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405" w:rsidRDefault="00CB0A50" w:rsidP="00E47405">
      <w:pPr>
        <w:pBdr>
          <w:bottom w:val="single" w:sz="12" w:space="0" w:color="auto"/>
        </w:pBdr>
        <w:tabs>
          <w:tab w:val="left" w:pos="2835"/>
          <w:tab w:val="left" w:pos="2880"/>
        </w:tabs>
        <w:rPr>
          <w:rFonts w:cs="Arial"/>
          <w:b/>
          <w:szCs w:val="24"/>
        </w:rPr>
      </w:pP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p>
    <w:p w:rsidR="00E47405" w:rsidRDefault="00E47405" w:rsidP="00E47405">
      <w:pPr>
        <w:pBdr>
          <w:bottom w:val="single" w:sz="12" w:space="0" w:color="auto"/>
        </w:pBdr>
        <w:tabs>
          <w:tab w:val="left" w:pos="2835"/>
          <w:tab w:val="left" w:pos="2880"/>
        </w:tabs>
        <w:rPr>
          <w:rFonts w:cs="Arial"/>
          <w:b/>
          <w:szCs w:val="24"/>
        </w:rPr>
      </w:pPr>
    </w:p>
    <w:p w:rsidR="00E47405" w:rsidRDefault="00E47405" w:rsidP="00E47405">
      <w:pPr>
        <w:pBdr>
          <w:bottom w:val="single" w:sz="12" w:space="0" w:color="auto"/>
        </w:pBdr>
        <w:tabs>
          <w:tab w:val="left" w:pos="2835"/>
          <w:tab w:val="left" w:pos="2880"/>
        </w:tabs>
        <w:rPr>
          <w:rFonts w:cs="Arial"/>
          <w:b/>
          <w:szCs w:val="24"/>
        </w:rPr>
      </w:pPr>
    </w:p>
    <w:p w:rsidR="00E47405" w:rsidRPr="00E47405" w:rsidRDefault="00E47405" w:rsidP="00E47405">
      <w:pPr>
        <w:rPr>
          <w:rFonts w:cs="Arial"/>
          <w:bCs/>
        </w:rPr>
      </w:pPr>
    </w:p>
    <w:p w:rsidR="00E47405" w:rsidRDefault="00E47405" w:rsidP="00E47405">
      <w:pPr>
        <w:jc w:val="center"/>
      </w:pPr>
      <w:r>
        <w:rPr>
          <w:noProof/>
          <w:lang w:eastAsia="en-GB"/>
        </w:rPr>
        <w:drawing>
          <wp:inline distT="0" distB="0" distL="0" distR="0">
            <wp:extent cx="5960853" cy="50477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1503" cy="504825"/>
                    </a:xfrm>
                    <a:prstGeom prst="rect">
                      <a:avLst/>
                    </a:prstGeom>
                    <a:noFill/>
                    <a:ln>
                      <a:noFill/>
                    </a:ln>
                  </pic:spPr>
                </pic:pic>
              </a:graphicData>
            </a:graphic>
          </wp:inline>
        </w:drawing>
      </w:r>
    </w:p>
    <w:p w:rsidR="00E47405" w:rsidRPr="00D741E8" w:rsidRDefault="00E47405" w:rsidP="00E47405">
      <w:pPr>
        <w:jc w:val="right"/>
        <w:rPr>
          <w:sz w:val="56"/>
          <w:szCs w:val="56"/>
        </w:rPr>
      </w:pPr>
    </w:p>
    <w:p w:rsidR="00E47405" w:rsidRPr="00F15904" w:rsidRDefault="00E47405" w:rsidP="00E47405">
      <w:pPr>
        <w:jc w:val="center"/>
        <w:rPr>
          <w:sz w:val="56"/>
          <w:szCs w:val="56"/>
        </w:rPr>
      </w:pPr>
      <w:r w:rsidRPr="00F15904">
        <w:rPr>
          <w:sz w:val="56"/>
          <w:szCs w:val="56"/>
        </w:rPr>
        <w:t>West Dunbartonshire</w:t>
      </w:r>
    </w:p>
    <w:p w:rsidR="00E47405" w:rsidRDefault="00E47405" w:rsidP="00E47405">
      <w:pPr>
        <w:jc w:val="center"/>
        <w:rPr>
          <w:sz w:val="56"/>
          <w:szCs w:val="56"/>
        </w:rPr>
      </w:pPr>
      <w:r w:rsidRPr="00F15904">
        <w:rPr>
          <w:sz w:val="56"/>
          <w:szCs w:val="56"/>
        </w:rPr>
        <w:t>Health and Social Care Partnership</w:t>
      </w:r>
    </w:p>
    <w:p w:rsidR="005300B5" w:rsidRDefault="005300B5" w:rsidP="00E47405">
      <w:pPr>
        <w:jc w:val="center"/>
        <w:rPr>
          <w:sz w:val="56"/>
          <w:szCs w:val="56"/>
        </w:rPr>
      </w:pPr>
    </w:p>
    <w:p w:rsidR="005300B5" w:rsidRPr="00F15904" w:rsidRDefault="005300B5" w:rsidP="00E47405">
      <w:pPr>
        <w:jc w:val="center"/>
        <w:rPr>
          <w:sz w:val="56"/>
          <w:szCs w:val="56"/>
        </w:rPr>
      </w:pPr>
    </w:p>
    <w:p w:rsidR="005300B5" w:rsidRPr="005300B5" w:rsidRDefault="00E47405" w:rsidP="005300B5">
      <w:pPr>
        <w:jc w:val="center"/>
        <w:rPr>
          <w:rFonts w:cs="Arial"/>
          <w:b/>
          <w:bCs/>
          <w:sz w:val="44"/>
          <w:szCs w:val="44"/>
        </w:rPr>
      </w:pPr>
      <w:r w:rsidRPr="005300B5">
        <w:rPr>
          <w:rFonts w:cs="Arial"/>
          <w:b/>
          <w:bCs/>
          <w:sz w:val="44"/>
          <w:szCs w:val="44"/>
        </w:rPr>
        <w:t>Charging Policy for No</w:t>
      </w:r>
      <w:r w:rsidR="005300B5" w:rsidRPr="005300B5">
        <w:rPr>
          <w:rFonts w:cs="Arial"/>
          <w:b/>
          <w:bCs/>
          <w:sz w:val="44"/>
          <w:szCs w:val="44"/>
        </w:rPr>
        <w:t>n-Residential Care Services 202</w:t>
      </w:r>
      <w:r w:rsidR="005B0B33">
        <w:rPr>
          <w:rFonts w:cs="Arial"/>
          <w:b/>
          <w:bCs/>
          <w:sz w:val="44"/>
          <w:szCs w:val="44"/>
        </w:rPr>
        <w:t>3/2024</w:t>
      </w:r>
    </w:p>
    <w:p w:rsidR="005300B5" w:rsidRDefault="005300B5" w:rsidP="005300B5">
      <w:pPr>
        <w:rPr>
          <w:rFonts w:cs="Arial"/>
          <w:b/>
          <w:bCs/>
        </w:rPr>
      </w:pPr>
    </w:p>
    <w:p w:rsidR="005300B5" w:rsidRDefault="005300B5" w:rsidP="005300B5">
      <w:pPr>
        <w:rPr>
          <w:rFonts w:cs="Arial"/>
          <w:b/>
          <w:bCs/>
        </w:rPr>
      </w:pPr>
    </w:p>
    <w:p w:rsidR="005300B5" w:rsidRDefault="005300B5" w:rsidP="005300B5">
      <w:pPr>
        <w:rPr>
          <w:rFonts w:cs="Arial"/>
          <w:b/>
          <w:bCs/>
        </w:rPr>
      </w:pPr>
    </w:p>
    <w:p w:rsidR="005300B5" w:rsidRDefault="005300B5" w:rsidP="005300B5">
      <w:pPr>
        <w:rPr>
          <w:rFonts w:cs="Arial"/>
          <w:b/>
          <w:bCs/>
        </w:rPr>
      </w:pPr>
    </w:p>
    <w:p w:rsidR="005300B5" w:rsidRDefault="005300B5" w:rsidP="005300B5">
      <w:pPr>
        <w:rPr>
          <w:rFonts w:cs="Arial"/>
          <w:b/>
          <w:bCs/>
        </w:rPr>
      </w:pPr>
    </w:p>
    <w:p w:rsidR="005300B5" w:rsidRDefault="005300B5" w:rsidP="005300B5">
      <w:pPr>
        <w:rPr>
          <w:rFonts w:cs="Arial"/>
          <w:b/>
          <w:bCs/>
        </w:rPr>
      </w:pPr>
    </w:p>
    <w:p w:rsidR="005300B5" w:rsidRDefault="005300B5" w:rsidP="005300B5">
      <w:pPr>
        <w:rPr>
          <w:rFonts w:cs="Arial"/>
          <w:b/>
          <w:bCs/>
        </w:rPr>
      </w:pPr>
    </w:p>
    <w:p w:rsidR="005300B5" w:rsidRDefault="005300B5" w:rsidP="005300B5">
      <w:pPr>
        <w:rPr>
          <w:rFonts w:cs="Arial"/>
          <w:b/>
          <w:bCs/>
        </w:rPr>
      </w:pPr>
    </w:p>
    <w:p w:rsidR="005300B5" w:rsidRDefault="005300B5" w:rsidP="005300B5">
      <w:pPr>
        <w:rPr>
          <w:rFonts w:cs="Arial"/>
          <w:b/>
          <w:bCs/>
        </w:rPr>
      </w:pPr>
    </w:p>
    <w:p w:rsidR="005300B5" w:rsidRDefault="005300B5" w:rsidP="005300B5">
      <w:pPr>
        <w:rPr>
          <w:rFonts w:cs="Arial"/>
          <w:b/>
          <w:bCs/>
        </w:rPr>
      </w:pPr>
    </w:p>
    <w:p w:rsidR="005300B5" w:rsidRDefault="005300B5" w:rsidP="005300B5">
      <w:pPr>
        <w:rPr>
          <w:rFonts w:cs="Arial"/>
          <w:b/>
          <w:bCs/>
        </w:rPr>
      </w:pPr>
    </w:p>
    <w:p w:rsidR="005300B5" w:rsidRDefault="005300B5" w:rsidP="005300B5">
      <w:pPr>
        <w:rPr>
          <w:rFonts w:cs="Arial"/>
          <w:b/>
          <w:bCs/>
        </w:rPr>
      </w:pPr>
    </w:p>
    <w:p w:rsidR="005300B5" w:rsidRPr="00F15904" w:rsidRDefault="005300B5" w:rsidP="005300B5">
      <w:pPr>
        <w:rPr>
          <w:rFonts w:cs="Arial"/>
          <w:b/>
          <w:bCs/>
        </w:rPr>
      </w:pPr>
    </w:p>
    <w:p w:rsidR="00E47405" w:rsidRDefault="00E47405" w:rsidP="00E47405">
      <w:pPr>
        <w:rPr>
          <w:color w:val="5B9BD5" w:themeColor="accent1"/>
          <w:sz w:val="56"/>
          <w:szCs w:val="56"/>
        </w:rPr>
      </w:pPr>
    </w:p>
    <w:tbl>
      <w:tblPr>
        <w:tblpPr w:leftFromText="180" w:rightFromText="180" w:vertAnchor="text" w:horzAnchor="margin" w:tblpY="-108"/>
        <w:tblW w:w="8755" w:type="dxa"/>
        <w:tblCellMar>
          <w:left w:w="0" w:type="dxa"/>
          <w:right w:w="0" w:type="dxa"/>
        </w:tblCellMar>
        <w:tblLook w:val="04A0" w:firstRow="1" w:lastRow="0" w:firstColumn="1" w:lastColumn="0" w:noHBand="0" w:noVBand="1"/>
      </w:tblPr>
      <w:tblGrid>
        <w:gridCol w:w="1670"/>
        <w:gridCol w:w="2691"/>
        <w:gridCol w:w="1843"/>
        <w:gridCol w:w="2551"/>
      </w:tblGrid>
      <w:tr w:rsidR="00E47405" w:rsidRPr="00AA3F2C" w:rsidTr="00E47405">
        <w:tc>
          <w:tcPr>
            <w:tcW w:w="1670" w:type="dxa"/>
            <w:tcBorders>
              <w:top w:val="single" w:sz="8" w:space="0" w:color="595959"/>
              <w:left w:val="single" w:sz="8" w:space="0" w:color="595959"/>
              <w:bottom w:val="single" w:sz="8" w:space="0" w:color="595959"/>
              <w:right w:val="single" w:sz="8" w:space="0" w:color="595959"/>
            </w:tcBorders>
            <w:tcMar>
              <w:top w:w="0" w:type="dxa"/>
              <w:left w:w="108" w:type="dxa"/>
              <w:bottom w:w="0" w:type="dxa"/>
              <w:right w:w="108" w:type="dxa"/>
            </w:tcMar>
            <w:hideMark/>
          </w:tcPr>
          <w:p w:rsidR="00E47405" w:rsidRPr="00CB284C" w:rsidRDefault="00E47405" w:rsidP="00E47405">
            <w:pPr>
              <w:rPr>
                <w:b/>
                <w:bCs/>
              </w:rPr>
            </w:pPr>
            <w:r w:rsidRPr="00CB284C">
              <w:rPr>
                <w:b/>
                <w:bCs/>
              </w:rPr>
              <w:t>Document Title:</w:t>
            </w:r>
          </w:p>
        </w:tc>
        <w:tc>
          <w:tcPr>
            <w:tcW w:w="2691" w:type="dxa"/>
            <w:tcBorders>
              <w:top w:val="single" w:sz="8" w:space="0" w:color="595959"/>
              <w:left w:val="nil"/>
              <w:bottom w:val="single" w:sz="8" w:space="0" w:color="595959"/>
              <w:right w:val="single" w:sz="8" w:space="0" w:color="595959"/>
            </w:tcBorders>
            <w:tcMar>
              <w:top w:w="0" w:type="dxa"/>
              <w:left w:w="108" w:type="dxa"/>
              <w:bottom w:w="0" w:type="dxa"/>
              <w:right w:w="108" w:type="dxa"/>
            </w:tcMar>
            <w:hideMark/>
          </w:tcPr>
          <w:p w:rsidR="00E47405" w:rsidRPr="00F372FB" w:rsidRDefault="00E47405" w:rsidP="00E47405">
            <w:r w:rsidRPr="00F372FB">
              <w:rPr>
                <w:rFonts w:cs="Arial"/>
                <w:bCs/>
              </w:rPr>
              <w:t xml:space="preserve">Charging Policy for Non-Residential Care </w:t>
            </w:r>
            <w:r w:rsidRPr="00A86E9F">
              <w:rPr>
                <w:rFonts w:cs="Arial"/>
                <w:bCs/>
              </w:rPr>
              <w:t>Services</w:t>
            </w:r>
          </w:p>
        </w:tc>
        <w:tc>
          <w:tcPr>
            <w:tcW w:w="1843" w:type="dxa"/>
            <w:tcBorders>
              <w:top w:val="single" w:sz="8" w:space="0" w:color="595959"/>
              <w:left w:val="nil"/>
              <w:bottom w:val="single" w:sz="8" w:space="0" w:color="595959"/>
              <w:right w:val="single" w:sz="8" w:space="0" w:color="595959"/>
            </w:tcBorders>
            <w:tcMar>
              <w:top w:w="0" w:type="dxa"/>
              <w:left w:w="108" w:type="dxa"/>
              <w:bottom w:w="0" w:type="dxa"/>
              <w:right w:w="108" w:type="dxa"/>
            </w:tcMar>
            <w:hideMark/>
          </w:tcPr>
          <w:p w:rsidR="00E47405" w:rsidRPr="00CB284C" w:rsidRDefault="00E47405" w:rsidP="00E47405">
            <w:pPr>
              <w:rPr>
                <w:b/>
                <w:bCs/>
              </w:rPr>
            </w:pPr>
            <w:r w:rsidRPr="00CB284C">
              <w:rPr>
                <w:b/>
                <w:bCs/>
              </w:rPr>
              <w:t>Owner:</w:t>
            </w:r>
          </w:p>
        </w:tc>
        <w:tc>
          <w:tcPr>
            <w:tcW w:w="2551" w:type="dxa"/>
            <w:tcBorders>
              <w:top w:val="single" w:sz="8" w:space="0" w:color="595959"/>
              <w:left w:val="nil"/>
              <w:bottom w:val="single" w:sz="8" w:space="0" w:color="595959"/>
              <w:right w:val="single" w:sz="8" w:space="0" w:color="595959"/>
            </w:tcBorders>
            <w:tcMar>
              <w:top w:w="0" w:type="dxa"/>
              <w:left w:w="108" w:type="dxa"/>
              <w:bottom w:w="0" w:type="dxa"/>
              <w:right w:w="108" w:type="dxa"/>
            </w:tcMar>
            <w:hideMark/>
          </w:tcPr>
          <w:p w:rsidR="00E47405" w:rsidRPr="00AA3F2C" w:rsidRDefault="00E47405" w:rsidP="00E47405">
            <w:r>
              <w:t>Julie Slavin</w:t>
            </w:r>
          </w:p>
        </w:tc>
      </w:tr>
      <w:tr w:rsidR="00E47405" w:rsidRPr="00AA3F2C" w:rsidTr="00E47405">
        <w:tc>
          <w:tcPr>
            <w:tcW w:w="1670" w:type="dxa"/>
            <w:tcBorders>
              <w:top w:val="nil"/>
              <w:left w:val="single" w:sz="8" w:space="0" w:color="595959"/>
              <w:bottom w:val="single" w:sz="8" w:space="0" w:color="595959"/>
              <w:right w:val="single" w:sz="8" w:space="0" w:color="595959"/>
            </w:tcBorders>
            <w:tcMar>
              <w:top w:w="0" w:type="dxa"/>
              <w:left w:w="108" w:type="dxa"/>
              <w:bottom w:w="0" w:type="dxa"/>
              <w:right w:w="108" w:type="dxa"/>
            </w:tcMar>
            <w:hideMark/>
          </w:tcPr>
          <w:p w:rsidR="00E47405" w:rsidRPr="00CB284C" w:rsidRDefault="00E47405" w:rsidP="00E47405">
            <w:pPr>
              <w:rPr>
                <w:b/>
                <w:bCs/>
              </w:rPr>
            </w:pPr>
            <w:r w:rsidRPr="00CB284C">
              <w:rPr>
                <w:b/>
                <w:bCs/>
              </w:rPr>
              <w:t>Version No.</w:t>
            </w:r>
          </w:p>
        </w:tc>
        <w:tc>
          <w:tcPr>
            <w:tcW w:w="2691" w:type="dxa"/>
            <w:tcBorders>
              <w:top w:val="nil"/>
              <w:left w:val="nil"/>
              <w:bottom w:val="single" w:sz="8" w:space="0" w:color="595959"/>
              <w:right w:val="single" w:sz="8" w:space="0" w:color="595959"/>
            </w:tcBorders>
            <w:tcMar>
              <w:top w:w="0" w:type="dxa"/>
              <w:left w:w="108" w:type="dxa"/>
              <w:bottom w:w="0" w:type="dxa"/>
              <w:right w:w="108" w:type="dxa"/>
            </w:tcMar>
            <w:hideMark/>
          </w:tcPr>
          <w:p w:rsidR="00E47405" w:rsidRPr="00AA3F2C" w:rsidRDefault="005B0B33" w:rsidP="00E47405">
            <w:r>
              <w:t>1.</w:t>
            </w:r>
            <w:r w:rsidR="00FA3774">
              <w:t>2</w:t>
            </w:r>
          </w:p>
        </w:tc>
        <w:tc>
          <w:tcPr>
            <w:tcW w:w="1843" w:type="dxa"/>
            <w:tcBorders>
              <w:top w:val="nil"/>
              <w:left w:val="nil"/>
              <w:bottom w:val="single" w:sz="8" w:space="0" w:color="595959"/>
              <w:right w:val="single" w:sz="8" w:space="0" w:color="595959"/>
            </w:tcBorders>
            <w:tcMar>
              <w:top w:w="0" w:type="dxa"/>
              <w:left w:w="108" w:type="dxa"/>
              <w:bottom w:w="0" w:type="dxa"/>
              <w:right w:w="108" w:type="dxa"/>
            </w:tcMar>
            <w:hideMark/>
          </w:tcPr>
          <w:p w:rsidR="00E47405" w:rsidRPr="00CB284C" w:rsidRDefault="00E47405" w:rsidP="00E47405">
            <w:pPr>
              <w:rPr>
                <w:b/>
                <w:bCs/>
              </w:rPr>
            </w:pPr>
            <w:r w:rsidRPr="00CB284C">
              <w:rPr>
                <w:b/>
                <w:bCs/>
              </w:rPr>
              <w:t>Superseded Version:</w:t>
            </w:r>
          </w:p>
        </w:tc>
        <w:tc>
          <w:tcPr>
            <w:tcW w:w="2551" w:type="dxa"/>
            <w:tcBorders>
              <w:top w:val="nil"/>
              <w:left w:val="nil"/>
              <w:bottom w:val="single" w:sz="8" w:space="0" w:color="595959"/>
              <w:right w:val="single" w:sz="8" w:space="0" w:color="595959"/>
            </w:tcBorders>
            <w:tcMar>
              <w:top w:w="0" w:type="dxa"/>
              <w:left w:w="108" w:type="dxa"/>
              <w:bottom w:w="0" w:type="dxa"/>
              <w:right w:w="108" w:type="dxa"/>
            </w:tcMar>
            <w:hideMark/>
          </w:tcPr>
          <w:p w:rsidR="00E47405" w:rsidRPr="00AA3F2C" w:rsidRDefault="005B0B33" w:rsidP="00E47405">
            <w:r>
              <w:t>V29 2022/2023</w:t>
            </w:r>
          </w:p>
        </w:tc>
      </w:tr>
      <w:tr w:rsidR="00E47405" w:rsidRPr="00AA3F2C" w:rsidTr="00E47405">
        <w:tc>
          <w:tcPr>
            <w:tcW w:w="1670" w:type="dxa"/>
            <w:tcBorders>
              <w:top w:val="nil"/>
              <w:left w:val="single" w:sz="8" w:space="0" w:color="595959"/>
              <w:bottom w:val="single" w:sz="8" w:space="0" w:color="595959"/>
              <w:right w:val="single" w:sz="8" w:space="0" w:color="595959"/>
            </w:tcBorders>
            <w:tcMar>
              <w:top w:w="0" w:type="dxa"/>
              <w:left w:w="108" w:type="dxa"/>
              <w:bottom w:w="0" w:type="dxa"/>
              <w:right w:w="108" w:type="dxa"/>
            </w:tcMar>
            <w:hideMark/>
          </w:tcPr>
          <w:p w:rsidR="00E47405" w:rsidRPr="00CB284C" w:rsidRDefault="00E47405" w:rsidP="00E47405">
            <w:pPr>
              <w:rPr>
                <w:b/>
                <w:bCs/>
              </w:rPr>
            </w:pPr>
            <w:r w:rsidRPr="00CB284C">
              <w:rPr>
                <w:b/>
                <w:bCs/>
              </w:rPr>
              <w:t>Date Effective:</w:t>
            </w:r>
          </w:p>
        </w:tc>
        <w:tc>
          <w:tcPr>
            <w:tcW w:w="2691" w:type="dxa"/>
            <w:tcBorders>
              <w:top w:val="nil"/>
              <w:left w:val="nil"/>
              <w:bottom w:val="single" w:sz="8" w:space="0" w:color="595959"/>
              <w:right w:val="single" w:sz="8" w:space="0" w:color="595959"/>
            </w:tcBorders>
            <w:tcMar>
              <w:top w:w="0" w:type="dxa"/>
              <w:left w:w="108" w:type="dxa"/>
              <w:bottom w:w="0" w:type="dxa"/>
              <w:right w:w="108" w:type="dxa"/>
            </w:tcMar>
            <w:hideMark/>
          </w:tcPr>
          <w:p w:rsidR="00E47405" w:rsidRPr="00AA3F2C" w:rsidRDefault="00AC71F3" w:rsidP="00E47405">
            <w:r>
              <w:t>1</w:t>
            </w:r>
            <w:r w:rsidRPr="00AC71F3">
              <w:rPr>
                <w:vertAlign w:val="superscript"/>
              </w:rPr>
              <w:t>st</w:t>
            </w:r>
            <w:r>
              <w:t xml:space="preserve"> April 202</w:t>
            </w:r>
            <w:r w:rsidR="005B0B33">
              <w:t>3</w:t>
            </w:r>
          </w:p>
        </w:tc>
        <w:tc>
          <w:tcPr>
            <w:tcW w:w="1843" w:type="dxa"/>
            <w:tcBorders>
              <w:top w:val="nil"/>
              <w:left w:val="nil"/>
              <w:bottom w:val="single" w:sz="8" w:space="0" w:color="595959"/>
              <w:right w:val="single" w:sz="8" w:space="0" w:color="595959"/>
            </w:tcBorders>
            <w:tcMar>
              <w:top w:w="0" w:type="dxa"/>
              <w:left w:w="108" w:type="dxa"/>
              <w:bottom w:w="0" w:type="dxa"/>
              <w:right w:w="108" w:type="dxa"/>
            </w:tcMar>
            <w:hideMark/>
          </w:tcPr>
          <w:p w:rsidR="00E47405" w:rsidRPr="00CB284C" w:rsidRDefault="00E47405" w:rsidP="00E47405">
            <w:pPr>
              <w:rPr>
                <w:b/>
                <w:bCs/>
              </w:rPr>
            </w:pPr>
            <w:r w:rsidRPr="00CB284C">
              <w:rPr>
                <w:b/>
                <w:bCs/>
              </w:rPr>
              <w:t>Review Date:</w:t>
            </w:r>
          </w:p>
        </w:tc>
        <w:tc>
          <w:tcPr>
            <w:tcW w:w="2551" w:type="dxa"/>
            <w:tcBorders>
              <w:top w:val="nil"/>
              <w:left w:val="nil"/>
              <w:bottom w:val="single" w:sz="8" w:space="0" w:color="595959"/>
              <w:right w:val="single" w:sz="8" w:space="0" w:color="595959"/>
            </w:tcBorders>
            <w:tcMar>
              <w:top w:w="0" w:type="dxa"/>
              <w:left w:w="108" w:type="dxa"/>
              <w:bottom w:w="0" w:type="dxa"/>
              <w:right w:w="108" w:type="dxa"/>
            </w:tcMar>
            <w:hideMark/>
          </w:tcPr>
          <w:p w:rsidR="00E47405" w:rsidRPr="00AA3F2C" w:rsidRDefault="00A86E9F" w:rsidP="00E47405">
            <w:r>
              <w:t>April 202</w:t>
            </w:r>
            <w:r w:rsidR="005B0B33">
              <w:t>4</w:t>
            </w:r>
          </w:p>
        </w:tc>
      </w:tr>
    </w:tbl>
    <w:p w:rsidR="00E47405" w:rsidRPr="0046290D" w:rsidRDefault="00E47405" w:rsidP="00E47405">
      <w:pPr>
        <w:rPr>
          <w:color w:val="5B9BD5" w:themeColor="accent1"/>
          <w:sz w:val="20"/>
        </w:rPr>
      </w:pPr>
    </w:p>
    <w:p w:rsidR="00E47405" w:rsidRPr="0046290D" w:rsidRDefault="00E47405" w:rsidP="00E47405">
      <w:pPr>
        <w:rPr>
          <w:color w:val="5B9BD5" w:themeColor="accent1"/>
          <w:sz w:val="20"/>
        </w:rPr>
      </w:pPr>
    </w:p>
    <w:p w:rsidR="00E47405" w:rsidRPr="0046290D" w:rsidRDefault="00E47405" w:rsidP="00E47405">
      <w:pPr>
        <w:rPr>
          <w:color w:val="5B9BD5" w:themeColor="accent1"/>
          <w:sz w:val="20"/>
        </w:rPr>
      </w:pPr>
    </w:p>
    <w:p w:rsidR="00E47405" w:rsidRPr="00845A5F" w:rsidRDefault="00E47405" w:rsidP="00E47405">
      <w:pPr>
        <w:jc w:val="center"/>
        <w:rPr>
          <w:rFonts w:ascii="Calibri" w:hAnsi="Calibri" w:cs="Calibri"/>
          <w:highlight w:val="yellow"/>
        </w:rPr>
      </w:pPr>
      <w:r w:rsidRPr="00D741E8" w:rsidDel="00A15BCD">
        <w:rPr>
          <w:color w:val="5B9BD5" w:themeColor="accent1"/>
          <w:sz w:val="56"/>
          <w:szCs w:val="56"/>
        </w:rPr>
        <w:t xml:space="preserve"> </w:t>
      </w:r>
      <w:r>
        <w:br w:type="page"/>
      </w:r>
      <w:r w:rsidRPr="00845A5F">
        <w:rPr>
          <w:rFonts w:ascii="Calibri" w:hAnsi="Calibri" w:cs="Calibri"/>
          <w:highlight w:val="yellow"/>
        </w:rPr>
        <w:lastRenderedPageBreak/>
        <w:t xml:space="preserve"> </w:t>
      </w:r>
    </w:p>
    <w:p w:rsidR="00E47405" w:rsidRDefault="00E47405" w:rsidP="00E47405"/>
    <w:p w:rsidR="005D28BB" w:rsidRDefault="00434A2A">
      <w:pPr>
        <w:pStyle w:val="TOC1"/>
        <w:tabs>
          <w:tab w:val="left" w:pos="2255"/>
          <w:tab w:val="right" w:leader="dot" w:pos="9350"/>
        </w:tabs>
        <w:rPr>
          <w:noProof/>
        </w:rPr>
      </w:pPr>
      <w:r w:rsidRPr="00434A2A">
        <w:rPr>
          <w:rFonts w:ascii="Arial" w:hAnsi="Arial" w:cs="Arial"/>
          <w:b/>
          <w:sz w:val="28"/>
          <w:szCs w:val="28"/>
        </w:rPr>
        <w:t>CONTENTS</w:t>
      </w:r>
      <w:r w:rsidR="00E55DA5" w:rsidRPr="00434A2A">
        <w:rPr>
          <w:rFonts w:ascii="Arial" w:hAnsi="Arial" w:cs="Arial"/>
          <w:b/>
          <w:sz w:val="28"/>
          <w:szCs w:val="28"/>
        </w:rPr>
        <w:fldChar w:fldCharType="begin"/>
      </w:r>
      <w:r w:rsidR="00E47405" w:rsidRPr="00434A2A">
        <w:rPr>
          <w:rFonts w:ascii="Arial" w:hAnsi="Arial" w:cs="Arial"/>
          <w:b/>
          <w:sz w:val="28"/>
          <w:szCs w:val="28"/>
        </w:rPr>
        <w:instrText xml:space="preserve"> TOC \o "1-1" \f \h \z \u </w:instrText>
      </w:r>
      <w:r w:rsidR="00E55DA5" w:rsidRPr="00434A2A">
        <w:rPr>
          <w:rFonts w:ascii="Arial" w:hAnsi="Arial" w:cs="Arial"/>
          <w:b/>
          <w:sz w:val="28"/>
          <w:szCs w:val="28"/>
        </w:rPr>
        <w:fldChar w:fldCharType="separate"/>
      </w:r>
    </w:p>
    <w:p w:rsidR="005D28BB" w:rsidRPr="005D28BB" w:rsidRDefault="00FA3774">
      <w:pPr>
        <w:pStyle w:val="TOC1"/>
        <w:tabs>
          <w:tab w:val="left" w:pos="480"/>
          <w:tab w:val="right" w:leader="dot" w:pos="9350"/>
        </w:tabs>
        <w:rPr>
          <w:rFonts w:ascii="Arial" w:eastAsiaTheme="minorEastAsia" w:hAnsi="Arial" w:cs="Arial"/>
          <w:noProof/>
          <w:lang w:eastAsia="en-GB"/>
        </w:rPr>
      </w:pPr>
      <w:hyperlink w:anchor="_Toc131412089" w:history="1">
        <w:r w:rsidR="005D28BB" w:rsidRPr="005D28BB">
          <w:rPr>
            <w:rStyle w:val="Hyperlink"/>
            <w:rFonts w:ascii="Arial" w:hAnsi="Arial" w:cs="Arial"/>
            <w:noProof/>
          </w:rPr>
          <w:t>1</w:t>
        </w:r>
        <w:r w:rsidR="005D28BB" w:rsidRPr="005D28BB">
          <w:rPr>
            <w:rFonts w:ascii="Arial" w:eastAsiaTheme="minorEastAsia" w:hAnsi="Arial" w:cs="Arial"/>
            <w:noProof/>
            <w:lang w:eastAsia="en-GB"/>
          </w:rPr>
          <w:tab/>
        </w:r>
        <w:r w:rsidR="005D28BB" w:rsidRPr="005D28BB">
          <w:rPr>
            <w:rStyle w:val="Hyperlink"/>
            <w:rFonts w:ascii="Arial" w:hAnsi="Arial" w:cs="Arial"/>
            <w:noProof/>
          </w:rPr>
          <w:t>Introduction</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_Toc131412089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4</w:t>
        </w:r>
        <w:r w:rsidR="005D28BB" w:rsidRPr="005D28BB">
          <w:rPr>
            <w:rFonts w:ascii="Arial" w:hAnsi="Arial" w:cs="Arial"/>
            <w:noProof/>
            <w:webHidden/>
          </w:rPr>
          <w:fldChar w:fldCharType="end"/>
        </w:r>
      </w:hyperlink>
    </w:p>
    <w:p w:rsidR="005D28BB" w:rsidRPr="005D28BB" w:rsidRDefault="00FA3774">
      <w:pPr>
        <w:pStyle w:val="TOC1"/>
        <w:tabs>
          <w:tab w:val="left" w:pos="480"/>
          <w:tab w:val="right" w:leader="dot" w:pos="9350"/>
        </w:tabs>
        <w:rPr>
          <w:rFonts w:ascii="Arial" w:eastAsiaTheme="minorEastAsia" w:hAnsi="Arial" w:cs="Arial"/>
          <w:noProof/>
          <w:lang w:eastAsia="en-GB"/>
        </w:rPr>
      </w:pPr>
      <w:hyperlink w:anchor="_Toc131412090" w:history="1">
        <w:r w:rsidR="005D28BB" w:rsidRPr="005D28BB">
          <w:rPr>
            <w:rStyle w:val="Hyperlink"/>
            <w:rFonts w:ascii="Arial" w:hAnsi="Arial" w:cs="Arial"/>
            <w:noProof/>
          </w:rPr>
          <w:t>2</w:t>
        </w:r>
        <w:r w:rsidR="005D28BB" w:rsidRPr="005D28BB">
          <w:rPr>
            <w:rFonts w:ascii="Arial" w:eastAsiaTheme="minorEastAsia" w:hAnsi="Arial" w:cs="Arial"/>
            <w:noProof/>
            <w:lang w:eastAsia="en-GB"/>
          </w:rPr>
          <w:tab/>
        </w:r>
        <w:r w:rsidR="005D28BB" w:rsidRPr="005D28BB">
          <w:rPr>
            <w:rStyle w:val="Hyperlink"/>
            <w:rFonts w:ascii="Arial" w:hAnsi="Arial" w:cs="Arial"/>
            <w:noProof/>
          </w:rPr>
          <w:t>Purpose of Document</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_Toc131412090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4</w:t>
        </w:r>
        <w:r w:rsidR="005D28BB" w:rsidRPr="005D28BB">
          <w:rPr>
            <w:rFonts w:ascii="Arial" w:hAnsi="Arial" w:cs="Arial"/>
            <w:noProof/>
            <w:webHidden/>
          </w:rPr>
          <w:fldChar w:fldCharType="end"/>
        </w:r>
      </w:hyperlink>
    </w:p>
    <w:p w:rsidR="005D28BB" w:rsidRPr="005D28BB" w:rsidRDefault="00FA3774">
      <w:pPr>
        <w:pStyle w:val="TOC1"/>
        <w:tabs>
          <w:tab w:val="left" w:pos="480"/>
          <w:tab w:val="right" w:leader="dot" w:pos="9350"/>
        </w:tabs>
        <w:rPr>
          <w:rFonts w:ascii="Arial" w:eastAsiaTheme="minorEastAsia" w:hAnsi="Arial" w:cs="Arial"/>
          <w:noProof/>
          <w:lang w:eastAsia="en-GB"/>
        </w:rPr>
      </w:pPr>
      <w:hyperlink w:anchor="_Toc131412091" w:history="1">
        <w:r w:rsidR="005D28BB" w:rsidRPr="005D28BB">
          <w:rPr>
            <w:rStyle w:val="Hyperlink"/>
            <w:rFonts w:ascii="Arial" w:hAnsi="Arial" w:cs="Arial"/>
            <w:noProof/>
          </w:rPr>
          <w:t>3</w:t>
        </w:r>
        <w:r w:rsidR="005D28BB" w:rsidRPr="005D28BB">
          <w:rPr>
            <w:rFonts w:ascii="Arial" w:eastAsiaTheme="minorEastAsia" w:hAnsi="Arial" w:cs="Arial"/>
            <w:noProof/>
            <w:lang w:eastAsia="en-GB"/>
          </w:rPr>
          <w:tab/>
        </w:r>
        <w:r w:rsidR="005D28BB" w:rsidRPr="005D28BB">
          <w:rPr>
            <w:rStyle w:val="Hyperlink"/>
            <w:rFonts w:ascii="Arial" w:hAnsi="Arial" w:cs="Arial"/>
            <w:noProof/>
          </w:rPr>
          <w:t>Background</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_Toc131412091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4</w:t>
        </w:r>
        <w:r w:rsidR="005D28BB" w:rsidRPr="005D28BB">
          <w:rPr>
            <w:rFonts w:ascii="Arial" w:hAnsi="Arial" w:cs="Arial"/>
            <w:noProof/>
            <w:webHidden/>
          </w:rPr>
          <w:fldChar w:fldCharType="end"/>
        </w:r>
      </w:hyperlink>
    </w:p>
    <w:p w:rsidR="005D28BB" w:rsidRPr="005D28BB" w:rsidRDefault="00FA3774">
      <w:pPr>
        <w:pStyle w:val="TOC1"/>
        <w:tabs>
          <w:tab w:val="left" w:pos="660"/>
          <w:tab w:val="right" w:leader="dot" w:pos="9350"/>
        </w:tabs>
        <w:rPr>
          <w:rFonts w:ascii="Arial" w:eastAsiaTheme="minorEastAsia" w:hAnsi="Arial" w:cs="Arial"/>
          <w:noProof/>
          <w:lang w:eastAsia="en-GB"/>
        </w:rPr>
      </w:pPr>
      <w:hyperlink w:anchor="_Toc131412092" w:history="1">
        <w:r w:rsidR="005D28BB" w:rsidRPr="005D28BB">
          <w:rPr>
            <w:rStyle w:val="Hyperlink"/>
            <w:rFonts w:ascii="Arial" w:hAnsi="Arial" w:cs="Arial"/>
            <w:noProof/>
          </w:rPr>
          <w:t>3.1</w:t>
        </w:r>
        <w:r w:rsidR="005D28BB" w:rsidRPr="005D28BB">
          <w:rPr>
            <w:rFonts w:ascii="Arial" w:eastAsiaTheme="minorEastAsia" w:hAnsi="Arial" w:cs="Arial"/>
            <w:noProof/>
            <w:lang w:eastAsia="en-GB"/>
          </w:rPr>
          <w:tab/>
        </w:r>
        <w:r w:rsidR="005D28BB" w:rsidRPr="005D28BB">
          <w:rPr>
            <w:rStyle w:val="Hyperlink"/>
            <w:rFonts w:ascii="Arial" w:hAnsi="Arial" w:cs="Arial"/>
            <w:noProof/>
          </w:rPr>
          <w:t>Aims of the Charging Policy</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_Toc131412092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5</w:t>
        </w:r>
        <w:r w:rsidR="005D28BB" w:rsidRPr="005D28BB">
          <w:rPr>
            <w:rFonts w:ascii="Arial" w:hAnsi="Arial" w:cs="Arial"/>
            <w:noProof/>
            <w:webHidden/>
          </w:rPr>
          <w:fldChar w:fldCharType="end"/>
        </w:r>
      </w:hyperlink>
    </w:p>
    <w:p w:rsidR="005D28BB" w:rsidRPr="005D28BB" w:rsidRDefault="00FA3774">
      <w:pPr>
        <w:pStyle w:val="TOC1"/>
        <w:tabs>
          <w:tab w:val="left" w:pos="480"/>
          <w:tab w:val="right" w:leader="dot" w:pos="9350"/>
        </w:tabs>
        <w:rPr>
          <w:rFonts w:ascii="Arial" w:eastAsiaTheme="minorEastAsia" w:hAnsi="Arial" w:cs="Arial"/>
          <w:noProof/>
          <w:lang w:eastAsia="en-GB"/>
        </w:rPr>
      </w:pPr>
      <w:hyperlink w:anchor="_Toc131412093" w:history="1">
        <w:r w:rsidR="005D28BB" w:rsidRPr="005D28BB">
          <w:rPr>
            <w:rStyle w:val="Hyperlink"/>
            <w:rFonts w:ascii="Arial" w:hAnsi="Arial" w:cs="Arial"/>
            <w:noProof/>
          </w:rPr>
          <w:t>4</w:t>
        </w:r>
        <w:r w:rsidR="005D28BB" w:rsidRPr="005D28BB">
          <w:rPr>
            <w:rFonts w:ascii="Arial" w:eastAsiaTheme="minorEastAsia" w:hAnsi="Arial" w:cs="Arial"/>
            <w:noProof/>
            <w:lang w:eastAsia="en-GB"/>
          </w:rPr>
          <w:tab/>
        </w:r>
        <w:r w:rsidR="005D28BB" w:rsidRPr="005D28BB">
          <w:rPr>
            <w:rStyle w:val="Hyperlink"/>
            <w:rFonts w:ascii="Arial" w:hAnsi="Arial" w:cs="Arial"/>
            <w:noProof/>
          </w:rPr>
          <w:t>Links to other Policy and Guidance</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_Toc131412093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5</w:t>
        </w:r>
        <w:r w:rsidR="005D28BB" w:rsidRPr="005D28BB">
          <w:rPr>
            <w:rFonts w:ascii="Arial" w:hAnsi="Arial" w:cs="Arial"/>
            <w:noProof/>
            <w:webHidden/>
          </w:rPr>
          <w:fldChar w:fldCharType="end"/>
        </w:r>
      </w:hyperlink>
    </w:p>
    <w:p w:rsidR="005D28BB" w:rsidRPr="005D28BB" w:rsidRDefault="00FA3774">
      <w:pPr>
        <w:pStyle w:val="TOC1"/>
        <w:tabs>
          <w:tab w:val="left" w:pos="660"/>
          <w:tab w:val="right" w:leader="dot" w:pos="9350"/>
        </w:tabs>
        <w:rPr>
          <w:rFonts w:ascii="Arial" w:eastAsiaTheme="minorEastAsia" w:hAnsi="Arial" w:cs="Arial"/>
          <w:noProof/>
          <w:lang w:eastAsia="en-GB"/>
        </w:rPr>
      </w:pPr>
      <w:hyperlink w:anchor="_Toc131412094" w:history="1">
        <w:r w:rsidR="005D28BB" w:rsidRPr="005D28BB">
          <w:rPr>
            <w:rStyle w:val="Hyperlink"/>
            <w:rFonts w:ascii="Arial" w:hAnsi="Arial" w:cs="Arial"/>
            <w:noProof/>
          </w:rPr>
          <w:t>4.1</w:t>
        </w:r>
        <w:r w:rsidR="005D28BB" w:rsidRPr="005D28BB">
          <w:rPr>
            <w:rFonts w:ascii="Arial" w:eastAsiaTheme="minorEastAsia" w:hAnsi="Arial" w:cs="Arial"/>
            <w:noProof/>
            <w:lang w:eastAsia="en-GB"/>
          </w:rPr>
          <w:tab/>
        </w:r>
        <w:r w:rsidR="005D28BB" w:rsidRPr="005D28BB">
          <w:rPr>
            <w:rStyle w:val="Hyperlink"/>
            <w:rFonts w:ascii="Arial" w:eastAsiaTheme="majorEastAsia" w:hAnsi="Arial" w:cs="Arial"/>
            <w:noProof/>
          </w:rPr>
          <w:t>Self-Directed Support (The Social Care (Self-Directed Support) (Scotland) Act 2013)</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_Toc131412094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5</w:t>
        </w:r>
        <w:r w:rsidR="005D28BB" w:rsidRPr="005D28BB">
          <w:rPr>
            <w:rFonts w:ascii="Arial" w:hAnsi="Arial" w:cs="Arial"/>
            <w:noProof/>
            <w:webHidden/>
          </w:rPr>
          <w:fldChar w:fldCharType="end"/>
        </w:r>
      </w:hyperlink>
    </w:p>
    <w:p w:rsidR="005D28BB" w:rsidRPr="005D28BB" w:rsidRDefault="00FA3774">
      <w:pPr>
        <w:pStyle w:val="TOC1"/>
        <w:tabs>
          <w:tab w:val="left" w:pos="660"/>
          <w:tab w:val="right" w:leader="dot" w:pos="9350"/>
        </w:tabs>
        <w:rPr>
          <w:rFonts w:ascii="Arial" w:eastAsiaTheme="minorEastAsia" w:hAnsi="Arial" w:cs="Arial"/>
          <w:noProof/>
          <w:lang w:eastAsia="en-GB"/>
        </w:rPr>
      </w:pPr>
      <w:hyperlink w:anchor="_Toc131412095" w:history="1">
        <w:r w:rsidR="005D28BB" w:rsidRPr="005D28BB">
          <w:rPr>
            <w:rStyle w:val="Hyperlink"/>
            <w:rFonts w:ascii="Arial" w:hAnsi="Arial" w:cs="Arial"/>
            <w:noProof/>
          </w:rPr>
          <w:t>4.2</w:t>
        </w:r>
        <w:r w:rsidR="005D28BB" w:rsidRPr="005D28BB">
          <w:rPr>
            <w:rFonts w:ascii="Arial" w:eastAsiaTheme="minorEastAsia" w:hAnsi="Arial" w:cs="Arial"/>
            <w:noProof/>
            <w:lang w:eastAsia="en-GB"/>
          </w:rPr>
          <w:tab/>
        </w:r>
        <w:r w:rsidR="005D28BB" w:rsidRPr="005D28BB">
          <w:rPr>
            <w:rStyle w:val="Hyperlink"/>
            <w:rFonts w:ascii="Arial" w:eastAsiaTheme="majorEastAsia" w:hAnsi="Arial" w:cs="Arial"/>
            <w:noProof/>
          </w:rPr>
          <w:t>Carers (Scotland) Act 2016</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_Toc131412095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5</w:t>
        </w:r>
        <w:r w:rsidR="005D28BB" w:rsidRPr="005D28BB">
          <w:rPr>
            <w:rFonts w:ascii="Arial" w:hAnsi="Arial" w:cs="Arial"/>
            <w:noProof/>
            <w:webHidden/>
          </w:rPr>
          <w:fldChar w:fldCharType="end"/>
        </w:r>
      </w:hyperlink>
    </w:p>
    <w:p w:rsidR="005D28BB" w:rsidRPr="005D28BB" w:rsidRDefault="00FA3774">
      <w:pPr>
        <w:pStyle w:val="TOC1"/>
        <w:tabs>
          <w:tab w:val="left" w:pos="660"/>
          <w:tab w:val="right" w:leader="dot" w:pos="9350"/>
        </w:tabs>
        <w:rPr>
          <w:rFonts w:ascii="Arial" w:eastAsiaTheme="minorEastAsia" w:hAnsi="Arial" w:cs="Arial"/>
          <w:noProof/>
          <w:lang w:eastAsia="en-GB"/>
        </w:rPr>
      </w:pPr>
      <w:hyperlink w:anchor="_Toc131412096" w:history="1">
        <w:r w:rsidR="005D28BB" w:rsidRPr="005D28BB">
          <w:rPr>
            <w:rStyle w:val="Hyperlink"/>
            <w:rFonts w:ascii="Arial" w:hAnsi="Arial" w:cs="Arial"/>
            <w:noProof/>
          </w:rPr>
          <w:t>4.3</w:t>
        </w:r>
        <w:r w:rsidR="005D28BB" w:rsidRPr="005D28BB">
          <w:rPr>
            <w:rFonts w:ascii="Arial" w:eastAsiaTheme="minorEastAsia" w:hAnsi="Arial" w:cs="Arial"/>
            <w:noProof/>
            <w:lang w:eastAsia="en-GB"/>
          </w:rPr>
          <w:tab/>
        </w:r>
        <w:r w:rsidR="005D28BB" w:rsidRPr="005D28BB">
          <w:rPr>
            <w:rStyle w:val="Hyperlink"/>
            <w:rFonts w:ascii="Arial" w:eastAsiaTheme="majorEastAsia" w:hAnsi="Arial" w:cs="Arial"/>
            <w:noProof/>
          </w:rPr>
          <w:t>Equality Act 2010</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_Toc131412096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5</w:t>
        </w:r>
        <w:r w:rsidR="005D28BB" w:rsidRPr="005D28BB">
          <w:rPr>
            <w:rFonts w:ascii="Arial" w:hAnsi="Arial" w:cs="Arial"/>
            <w:noProof/>
            <w:webHidden/>
          </w:rPr>
          <w:fldChar w:fldCharType="end"/>
        </w:r>
      </w:hyperlink>
    </w:p>
    <w:p w:rsidR="005D28BB" w:rsidRPr="005D28BB" w:rsidRDefault="00FA3774">
      <w:pPr>
        <w:pStyle w:val="TOC1"/>
        <w:tabs>
          <w:tab w:val="left" w:pos="660"/>
          <w:tab w:val="right" w:leader="dot" w:pos="9350"/>
        </w:tabs>
        <w:rPr>
          <w:rFonts w:ascii="Arial" w:eastAsiaTheme="minorEastAsia" w:hAnsi="Arial" w:cs="Arial"/>
          <w:noProof/>
          <w:lang w:eastAsia="en-GB"/>
        </w:rPr>
      </w:pPr>
      <w:hyperlink w:anchor="_Toc131412097" w:history="1">
        <w:r w:rsidR="005D28BB" w:rsidRPr="005D28BB">
          <w:rPr>
            <w:rStyle w:val="Hyperlink"/>
            <w:rFonts w:ascii="Arial" w:hAnsi="Arial" w:cs="Arial"/>
            <w:noProof/>
          </w:rPr>
          <w:t>4.4</w:t>
        </w:r>
        <w:r w:rsidR="005D28BB" w:rsidRPr="005D28BB">
          <w:rPr>
            <w:rFonts w:ascii="Arial" w:eastAsiaTheme="minorEastAsia" w:hAnsi="Arial" w:cs="Arial"/>
            <w:noProof/>
            <w:lang w:eastAsia="en-GB"/>
          </w:rPr>
          <w:tab/>
        </w:r>
        <w:r w:rsidR="005D28BB" w:rsidRPr="005D28BB">
          <w:rPr>
            <w:rStyle w:val="Hyperlink"/>
            <w:rFonts w:ascii="Arial" w:eastAsiaTheme="majorEastAsia" w:hAnsi="Arial" w:cs="Arial"/>
            <w:noProof/>
          </w:rPr>
          <w:t>Human Rights Act 1988</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_Toc131412097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6</w:t>
        </w:r>
        <w:r w:rsidR="005D28BB" w:rsidRPr="005D28BB">
          <w:rPr>
            <w:rFonts w:ascii="Arial" w:hAnsi="Arial" w:cs="Arial"/>
            <w:noProof/>
            <w:webHidden/>
          </w:rPr>
          <w:fldChar w:fldCharType="end"/>
        </w:r>
      </w:hyperlink>
    </w:p>
    <w:p w:rsidR="005D28BB" w:rsidRPr="005D28BB" w:rsidRDefault="00FA3774">
      <w:pPr>
        <w:pStyle w:val="TOC1"/>
        <w:tabs>
          <w:tab w:val="right" w:leader="dot" w:pos="9350"/>
        </w:tabs>
        <w:rPr>
          <w:rFonts w:ascii="Arial" w:eastAsiaTheme="minorEastAsia" w:hAnsi="Arial" w:cs="Arial"/>
          <w:noProof/>
          <w:lang w:eastAsia="en-GB"/>
        </w:rPr>
      </w:pPr>
      <w:hyperlink w:anchor="_Toc131412098" w:history="1">
        <w:r w:rsidR="005D28BB" w:rsidRPr="005D28BB">
          <w:rPr>
            <w:rStyle w:val="Hyperlink"/>
            <w:rFonts w:ascii="Arial" w:hAnsi="Arial" w:cs="Arial"/>
            <w:noProof/>
          </w:rPr>
          <w:t xml:space="preserve">4.5  </w:t>
        </w:r>
        <w:r w:rsidR="005D28BB" w:rsidRPr="005D28BB">
          <w:rPr>
            <w:rStyle w:val="Hyperlink"/>
            <w:rFonts w:ascii="Arial" w:eastAsiaTheme="majorEastAsia" w:hAnsi="Arial" w:cs="Arial"/>
            <w:noProof/>
          </w:rPr>
          <w:t xml:space="preserve"> </w:t>
        </w:r>
        <w:r w:rsidR="005D28BB" w:rsidRPr="005D28BB">
          <w:rPr>
            <w:rStyle w:val="Hyperlink"/>
            <w:rFonts w:ascii="Arial" w:eastAsiaTheme="majorEastAsia" w:hAnsi="Arial" w:cs="Arial"/>
            <w:noProof/>
            <w:shd w:val="clear" w:color="auto" w:fill="FFFFFF"/>
          </w:rPr>
          <w:t>The Community Care (Personal Care and Nursing Care) (Scotland) Amendment (No. 2) Regulations 2018</w:t>
        </w:r>
        <w:r w:rsidR="005D28BB" w:rsidRPr="005D28BB">
          <w:rPr>
            <w:rStyle w:val="Hyperlink"/>
            <w:rFonts w:ascii="Arial" w:eastAsiaTheme="majorEastAsia" w:hAnsi="Arial" w:cs="Arial"/>
            <w:noProof/>
          </w:rPr>
          <w:t xml:space="preserve"> (Franks Law)</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_Toc131412098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6</w:t>
        </w:r>
        <w:r w:rsidR="005D28BB" w:rsidRPr="005D28BB">
          <w:rPr>
            <w:rFonts w:ascii="Arial" w:hAnsi="Arial" w:cs="Arial"/>
            <w:noProof/>
            <w:webHidden/>
          </w:rPr>
          <w:fldChar w:fldCharType="end"/>
        </w:r>
      </w:hyperlink>
    </w:p>
    <w:p w:rsidR="005D28BB" w:rsidRPr="005D28BB" w:rsidRDefault="00FA3774">
      <w:pPr>
        <w:pStyle w:val="TOC1"/>
        <w:tabs>
          <w:tab w:val="left" w:pos="480"/>
          <w:tab w:val="right" w:leader="dot" w:pos="9350"/>
        </w:tabs>
        <w:rPr>
          <w:rFonts w:ascii="Arial" w:eastAsiaTheme="minorEastAsia" w:hAnsi="Arial" w:cs="Arial"/>
          <w:noProof/>
          <w:lang w:eastAsia="en-GB"/>
        </w:rPr>
      </w:pPr>
      <w:hyperlink w:anchor="_Toc131412099" w:history="1">
        <w:r w:rsidR="005D28BB" w:rsidRPr="005D28BB">
          <w:rPr>
            <w:rStyle w:val="Hyperlink"/>
            <w:rFonts w:ascii="Arial" w:hAnsi="Arial" w:cs="Arial"/>
            <w:noProof/>
          </w:rPr>
          <w:t>5</w:t>
        </w:r>
        <w:r w:rsidR="005D28BB" w:rsidRPr="005D28BB">
          <w:rPr>
            <w:rFonts w:ascii="Arial" w:eastAsiaTheme="minorEastAsia" w:hAnsi="Arial" w:cs="Arial"/>
            <w:noProof/>
            <w:lang w:eastAsia="en-GB"/>
          </w:rPr>
          <w:tab/>
        </w:r>
        <w:r w:rsidR="005D28BB" w:rsidRPr="005D28BB">
          <w:rPr>
            <w:rStyle w:val="Hyperlink"/>
            <w:rFonts w:ascii="Arial" w:hAnsi="Arial" w:cs="Arial"/>
            <w:noProof/>
          </w:rPr>
          <w:t>Non Residential Care</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_Toc131412099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6</w:t>
        </w:r>
        <w:r w:rsidR="005D28BB" w:rsidRPr="005D28BB">
          <w:rPr>
            <w:rFonts w:ascii="Arial" w:hAnsi="Arial" w:cs="Arial"/>
            <w:noProof/>
            <w:webHidden/>
          </w:rPr>
          <w:fldChar w:fldCharType="end"/>
        </w:r>
      </w:hyperlink>
    </w:p>
    <w:p w:rsidR="005D28BB" w:rsidRPr="005D28BB" w:rsidRDefault="00FA3774">
      <w:pPr>
        <w:pStyle w:val="TOC1"/>
        <w:tabs>
          <w:tab w:val="left" w:pos="480"/>
          <w:tab w:val="right" w:leader="dot" w:pos="9350"/>
        </w:tabs>
        <w:rPr>
          <w:rFonts w:ascii="Arial" w:eastAsiaTheme="minorEastAsia" w:hAnsi="Arial" w:cs="Arial"/>
          <w:noProof/>
          <w:lang w:eastAsia="en-GB"/>
        </w:rPr>
      </w:pPr>
      <w:hyperlink w:anchor="_Toc131412100" w:history="1">
        <w:r w:rsidR="005D28BB" w:rsidRPr="005D28BB">
          <w:rPr>
            <w:rStyle w:val="Hyperlink"/>
            <w:rFonts w:ascii="Arial" w:hAnsi="Arial" w:cs="Arial"/>
            <w:noProof/>
          </w:rPr>
          <w:t>6</w:t>
        </w:r>
        <w:r w:rsidR="005D28BB" w:rsidRPr="005D28BB">
          <w:rPr>
            <w:rFonts w:ascii="Arial" w:eastAsiaTheme="minorEastAsia" w:hAnsi="Arial" w:cs="Arial"/>
            <w:noProof/>
            <w:lang w:eastAsia="en-GB"/>
          </w:rPr>
          <w:tab/>
        </w:r>
        <w:r w:rsidR="005D28BB" w:rsidRPr="005D28BB">
          <w:rPr>
            <w:rStyle w:val="Hyperlink"/>
            <w:rFonts w:ascii="Arial" w:hAnsi="Arial" w:cs="Arial"/>
            <w:noProof/>
          </w:rPr>
          <w:t>Guiding Principles of Charging Policy</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_Toc131412100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7</w:t>
        </w:r>
        <w:r w:rsidR="005D28BB" w:rsidRPr="005D28BB">
          <w:rPr>
            <w:rFonts w:ascii="Arial" w:hAnsi="Arial" w:cs="Arial"/>
            <w:noProof/>
            <w:webHidden/>
          </w:rPr>
          <w:fldChar w:fldCharType="end"/>
        </w:r>
      </w:hyperlink>
    </w:p>
    <w:p w:rsidR="005D28BB" w:rsidRPr="005D28BB" w:rsidRDefault="00FA3774">
      <w:pPr>
        <w:pStyle w:val="TOC1"/>
        <w:tabs>
          <w:tab w:val="left" w:pos="480"/>
          <w:tab w:val="right" w:leader="dot" w:pos="9350"/>
        </w:tabs>
        <w:rPr>
          <w:rFonts w:ascii="Arial" w:eastAsiaTheme="minorEastAsia" w:hAnsi="Arial" w:cs="Arial"/>
          <w:noProof/>
          <w:lang w:eastAsia="en-GB"/>
        </w:rPr>
      </w:pPr>
      <w:hyperlink w:anchor="_Toc131412101" w:history="1">
        <w:r w:rsidR="005D28BB" w:rsidRPr="005D28BB">
          <w:rPr>
            <w:rStyle w:val="Hyperlink"/>
            <w:rFonts w:ascii="Arial" w:hAnsi="Arial" w:cs="Arial"/>
            <w:noProof/>
          </w:rPr>
          <w:t>7</w:t>
        </w:r>
        <w:r w:rsidR="005D28BB" w:rsidRPr="005D28BB">
          <w:rPr>
            <w:rFonts w:ascii="Arial" w:eastAsiaTheme="minorEastAsia" w:hAnsi="Arial" w:cs="Arial"/>
            <w:noProof/>
            <w:lang w:eastAsia="en-GB"/>
          </w:rPr>
          <w:tab/>
        </w:r>
        <w:r w:rsidR="005D28BB" w:rsidRPr="005D28BB">
          <w:rPr>
            <w:rStyle w:val="Hyperlink"/>
            <w:rFonts w:ascii="Arial" w:hAnsi="Arial" w:cs="Arial"/>
            <w:noProof/>
          </w:rPr>
          <w:t>Exemptions</w:t>
        </w:r>
        <w:r w:rsidR="005D28BB" w:rsidRPr="005D28BB">
          <w:rPr>
            <w:rStyle w:val="Hyperlink"/>
            <w:rFonts w:ascii="Arial" w:hAnsi="Arial" w:cs="Arial"/>
            <w:noProof/>
            <w:spacing w:val="-17"/>
          </w:rPr>
          <w:t xml:space="preserve"> </w:t>
        </w:r>
        <w:r w:rsidR="005D28BB" w:rsidRPr="005D28BB">
          <w:rPr>
            <w:rStyle w:val="Hyperlink"/>
            <w:rFonts w:ascii="Arial" w:hAnsi="Arial" w:cs="Arial"/>
            <w:noProof/>
          </w:rPr>
          <w:t>from</w:t>
        </w:r>
        <w:r w:rsidR="005D28BB" w:rsidRPr="005D28BB">
          <w:rPr>
            <w:rStyle w:val="Hyperlink"/>
            <w:rFonts w:ascii="Arial" w:hAnsi="Arial" w:cs="Arial"/>
            <w:noProof/>
            <w:spacing w:val="-8"/>
          </w:rPr>
          <w:t xml:space="preserve"> </w:t>
        </w:r>
        <w:r w:rsidR="005D28BB" w:rsidRPr="005D28BB">
          <w:rPr>
            <w:rStyle w:val="Hyperlink"/>
            <w:rFonts w:ascii="Arial" w:hAnsi="Arial" w:cs="Arial"/>
            <w:noProof/>
          </w:rPr>
          <w:t>Charging</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_Toc131412101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7</w:t>
        </w:r>
        <w:r w:rsidR="005D28BB" w:rsidRPr="005D28BB">
          <w:rPr>
            <w:rFonts w:ascii="Arial" w:hAnsi="Arial" w:cs="Arial"/>
            <w:noProof/>
            <w:webHidden/>
          </w:rPr>
          <w:fldChar w:fldCharType="end"/>
        </w:r>
      </w:hyperlink>
    </w:p>
    <w:p w:rsidR="005D28BB" w:rsidRPr="005D28BB" w:rsidRDefault="00FA3774">
      <w:pPr>
        <w:pStyle w:val="TOC1"/>
        <w:tabs>
          <w:tab w:val="left" w:pos="480"/>
          <w:tab w:val="right" w:leader="dot" w:pos="9350"/>
        </w:tabs>
        <w:rPr>
          <w:rFonts w:ascii="Arial" w:eastAsiaTheme="minorEastAsia" w:hAnsi="Arial" w:cs="Arial"/>
          <w:noProof/>
          <w:lang w:eastAsia="en-GB"/>
        </w:rPr>
      </w:pPr>
      <w:hyperlink w:anchor="_Toc131412102" w:history="1">
        <w:r w:rsidR="005D28BB" w:rsidRPr="005D28BB">
          <w:rPr>
            <w:rStyle w:val="Hyperlink"/>
            <w:rFonts w:ascii="Arial" w:hAnsi="Arial" w:cs="Arial"/>
            <w:noProof/>
          </w:rPr>
          <w:t>8</w:t>
        </w:r>
        <w:r w:rsidR="005D28BB" w:rsidRPr="005D28BB">
          <w:rPr>
            <w:rFonts w:ascii="Arial" w:eastAsiaTheme="minorEastAsia" w:hAnsi="Arial" w:cs="Arial"/>
            <w:noProof/>
            <w:lang w:eastAsia="en-GB"/>
          </w:rPr>
          <w:tab/>
        </w:r>
        <w:r w:rsidR="005D28BB" w:rsidRPr="005D28BB">
          <w:rPr>
            <w:rStyle w:val="Hyperlink"/>
            <w:rFonts w:ascii="Arial" w:hAnsi="Arial" w:cs="Arial"/>
            <w:noProof/>
          </w:rPr>
          <w:t>Charging Guidance</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_Toc131412102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8</w:t>
        </w:r>
        <w:r w:rsidR="005D28BB" w:rsidRPr="005D28BB">
          <w:rPr>
            <w:rFonts w:ascii="Arial" w:hAnsi="Arial" w:cs="Arial"/>
            <w:noProof/>
            <w:webHidden/>
          </w:rPr>
          <w:fldChar w:fldCharType="end"/>
        </w:r>
      </w:hyperlink>
    </w:p>
    <w:p w:rsidR="005D28BB" w:rsidRPr="005D28BB" w:rsidRDefault="00FA3774">
      <w:pPr>
        <w:pStyle w:val="TOC1"/>
        <w:tabs>
          <w:tab w:val="left" w:pos="660"/>
          <w:tab w:val="right" w:leader="dot" w:pos="9350"/>
        </w:tabs>
        <w:rPr>
          <w:rFonts w:ascii="Arial" w:eastAsiaTheme="minorEastAsia" w:hAnsi="Arial" w:cs="Arial"/>
          <w:noProof/>
          <w:lang w:eastAsia="en-GB"/>
        </w:rPr>
      </w:pPr>
      <w:hyperlink w:anchor="_Toc131412103" w:history="1">
        <w:r w:rsidR="005D28BB" w:rsidRPr="005D28BB">
          <w:rPr>
            <w:rStyle w:val="Hyperlink"/>
            <w:rFonts w:ascii="Arial" w:hAnsi="Arial" w:cs="Arial"/>
            <w:noProof/>
          </w:rPr>
          <w:t>8.1</w:t>
        </w:r>
        <w:r w:rsidR="005D28BB" w:rsidRPr="005D28BB">
          <w:rPr>
            <w:rFonts w:ascii="Arial" w:eastAsiaTheme="minorEastAsia" w:hAnsi="Arial" w:cs="Arial"/>
            <w:noProof/>
            <w:lang w:eastAsia="en-GB"/>
          </w:rPr>
          <w:tab/>
        </w:r>
        <w:r w:rsidR="005D28BB" w:rsidRPr="005D28BB">
          <w:rPr>
            <w:rStyle w:val="Hyperlink"/>
            <w:rFonts w:ascii="Arial" w:hAnsi="Arial" w:cs="Arial"/>
            <w:noProof/>
          </w:rPr>
          <w:t>Chargeable services</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_Toc131412103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8</w:t>
        </w:r>
        <w:r w:rsidR="005D28BB" w:rsidRPr="005D28BB">
          <w:rPr>
            <w:rFonts w:ascii="Arial" w:hAnsi="Arial" w:cs="Arial"/>
            <w:noProof/>
            <w:webHidden/>
          </w:rPr>
          <w:fldChar w:fldCharType="end"/>
        </w:r>
      </w:hyperlink>
    </w:p>
    <w:p w:rsidR="005D28BB" w:rsidRPr="005D28BB" w:rsidRDefault="00FA3774">
      <w:pPr>
        <w:pStyle w:val="TOC1"/>
        <w:tabs>
          <w:tab w:val="left" w:pos="660"/>
          <w:tab w:val="right" w:leader="dot" w:pos="9350"/>
        </w:tabs>
        <w:rPr>
          <w:rFonts w:ascii="Arial" w:eastAsiaTheme="minorEastAsia" w:hAnsi="Arial" w:cs="Arial"/>
          <w:noProof/>
          <w:lang w:eastAsia="en-GB"/>
        </w:rPr>
      </w:pPr>
      <w:hyperlink w:anchor="_Toc131412104" w:history="1">
        <w:r w:rsidR="005D28BB" w:rsidRPr="005D28BB">
          <w:rPr>
            <w:rStyle w:val="Hyperlink"/>
            <w:rFonts w:ascii="Arial" w:hAnsi="Arial" w:cs="Arial"/>
            <w:noProof/>
          </w:rPr>
          <w:t>8.2</w:t>
        </w:r>
        <w:r w:rsidR="005D28BB" w:rsidRPr="005D28BB">
          <w:rPr>
            <w:rFonts w:ascii="Arial" w:eastAsiaTheme="minorEastAsia" w:hAnsi="Arial" w:cs="Arial"/>
            <w:noProof/>
            <w:lang w:eastAsia="en-GB"/>
          </w:rPr>
          <w:tab/>
        </w:r>
        <w:r w:rsidR="005D28BB" w:rsidRPr="005D28BB">
          <w:rPr>
            <w:rStyle w:val="Hyperlink"/>
            <w:rFonts w:ascii="Arial" w:hAnsi="Arial" w:cs="Arial"/>
            <w:noProof/>
          </w:rPr>
          <w:t>Non Chargeable services</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_Toc131412104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8</w:t>
        </w:r>
        <w:r w:rsidR="005D28BB" w:rsidRPr="005D28BB">
          <w:rPr>
            <w:rFonts w:ascii="Arial" w:hAnsi="Arial" w:cs="Arial"/>
            <w:noProof/>
            <w:webHidden/>
          </w:rPr>
          <w:fldChar w:fldCharType="end"/>
        </w:r>
      </w:hyperlink>
    </w:p>
    <w:p w:rsidR="005D28BB" w:rsidRPr="005D28BB" w:rsidRDefault="00FA3774">
      <w:pPr>
        <w:pStyle w:val="TOC1"/>
        <w:tabs>
          <w:tab w:val="left" w:pos="660"/>
          <w:tab w:val="right" w:leader="dot" w:pos="9350"/>
        </w:tabs>
        <w:rPr>
          <w:rFonts w:ascii="Arial" w:eastAsiaTheme="minorEastAsia" w:hAnsi="Arial" w:cs="Arial"/>
          <w:noProof/>
          <w:lang w:eastAsia="en-GB"/>
        </w:rPr>
      </w:pPr>
      <w:hyperlink w:anchor="_Toc131412105" w:history="1">
        <w:r w:rsidR="005D28BB" w:rsidRPr="005D28BB">
          <w:rPr>
            <w:rStyle w:val="Hyperlink"/>
            <w:rFonts w:ascii="Arial" w:hAnsi="Arial" w:cs="Arial"/>
            <w:noProof/>
          </w:rPr>
          <w:t>8.3</w:t>
        </w:r>
        <w:r w:rsidR="005D28BB" w:rsidRPr="005D28BB">
          <w:rPr>
            <w:rFonts w:ascii="Arial" w:eastAsiaTheme="minorEastAsia" w:hAnsi="Arial" w:cs="Arial"/>
            <w:noProof/>
            <w:lang w:eastAsia="en-GB"/>
          </w:rPr>
          <w:tab/>
        </w:r>
        <w:r w:rsidR="005D28BB" w:rsidRPr="005D28BB">
          <w:rPr>
            <w:rStyle w:val="Hyperlink"/>
            <w:rFonts w:ascii="Arial" w:hAnsi="Arial" w:cs="Arial"/>
            <w:noProof/>
          </w:rPr>
          <w:t>Terminal Illness</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_Toc131412105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9</w:t>
        </w:r>
        <w:r w:rsidR="005D28BB" w:rsidRPr="005D28BB">
          <w:rPr>
            <w:rFonts w:ascii="Arial" w:hAnsi="Arial" w:cs="Arial"/>
            <w:noProof/>
            <w:webHidden/>
          </w:rPr>
          <w:fldChar w:fldCharType="end"/>
        </w:r>
      </w:hyperlink>
    </w:p>
    <w:p w:rsidR="005D28BB" w:rsidRPr="005D28BB" w:rsidRDefault="00FA3774">
      <w:pPr>
        <w:pStyle w:val="TOC1"/>
        <w:tabs>
          <w:tab w:val="right" w:leader="dot" w:pos="9350"/>
        </w:tabs>
        <w:rPr>
          <w:rFonts w:ascii="Arial" w:eastAsiaTheme="minorEastAsia" w:hAnsi="Arial" w:cs="Arial"/>
          <w:noProof/>
          <w:lang w:eastAsia="en-GB"/>
        </w:rPr>
      </w:pPr>
      <w:hyperlink w:anchor="_Toc131412106" w:history="1">
        <w:r w:rsidR="005D28BB" w:rsidRPr="005D28BB">
          <w:rPr>
            <w:rStyle w:val="Hyperlink"/>
            <w:rFonts w:ascii="Arial" w:hAnsi="Arial" w:cs="Arial"/>
            <w:noProof/>
          </w:rPr>
          <w:t>8.3.1 How to get BASRiS forms</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_Toc131412106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9</w:t>
        </w:r>
        <w:r w:rsidR="005D28BB" w:rsidRPr="005D28BB">
          <w:rPr>
            <w:rFonts w:ascii="Arial" w:hAnsi="Arial" w:cs="Arial"/>
            <w:noProof/>
            <w:webHidden/>
          </w:rPr>
          <w:fldChar w:fldCharType="end"/>
        </w:r>
      </w:hyperlink>
    </w:p>
    <w:p w:rsidR="005D28BB" w:rsidRPr="005D28BB" w:rsidRDefault="00FA3774">
      <w:pPr>
        <w:pStyle w:val="TOC1"/>
        <w:tabs>
          <w:tab w:val="right" w:leader="dot" w:pos="9350"/>
        </w:tabs>
        <w:rPr>
          <w:rFonts w:ascii="Arial" w:eastAsiaTheme="minorEastAsia" w:hAnsi="Arial" w:cs="Arial"/>
          <w:noProof/>
          <w:lang w:eastAsia="en-GB"/>
        </w:rPr>
      </w:pPr>
      <w:hyperlink w:anchor="_Toc131412107" w:history="1">
        <w:r w:rsidR="005D28BB" w:rsidRPr="005D28BB">
          <w:rPr>
            <w:rStyle w:val="Hyperlink"/>
            <w:rFonts w:ascii="Arial" w:hAnsi="Arial" w:cs="Arial"/>
            <w:noProof/>
          </w:rPr>
          <w:t>8.3.2 Additional Support</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_Toc131412107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10</w:t>
        </w:r>
        <w:r w:rsidR="005D28BB" w:rsidRPr="005D28BB">
          <w:rPr>
            <w:rFonts w:ascii="Arial" w:hAnsi="Arial" w:cs="Arial"/>
            <w:noProof/>
            <w:webHidden/>
          </w:rPr>
          <w:fldChar w:fldCharType="end"/>
        </w:r>
      </w:hyperlink>
    </w:p>
    <w:p w:rsidR="005D28BB" w:rsidRPr="005D28BB" w:rsidRDefault="00FA3774">
      <w:pPr>
        <w:pStyle w:val="TOC1"/>
        <w:tabs>
          <w:tab w:val="left" w:pos="480"/>
          <w:tab w:val="right" w:leader="dot" w:pos="9350"/>
        </w:tabs>
        <w:rPr>
          <w:rFonts w:ascii="Arial" w:eastAsiaTheme="minorEastAsia" w:hAnsi="Arial" w:cs="Arial"/>
          <w:noProof/>
          <w:lang w:eastAsia="en-GB"/>
        </w:rPr>
      </w:pPr>
      <w:hyperlink w:anchor="_Toc131412108" w:history="1">
        <w:r w:rsidR="005D28BB" w:rsidRPr="005D28BB">
          <w:rPr>
            <w:rStyle w:val="Hyperlink"/>
            <w:rFonts w:ascii="Arial" w:hAnsi="Arial" w:cs="Arial"/>
            <w:noProof/>
          </w:rPr>
          <w:t>9</w:t>
        </w:r>
        <w:r w:rsidR="005D28BB" w:rsidRPr="005D28BB">
          <w:rPr>
            <w:rFonts w:ascii="Arial" w:eastAsiaTheme="minorEastAsia" w:hAnsi="Arial" w:cs="Arial"/>
            <w:noProof/>
            <w:lang w:eastAsia="en-GB"/>
          </w:rPr>
          <w:tab/>
        </w:r>
        <w:r w:rsidR="005D28BB" w:rsidRPr="005D28BB">
          <w:rPr>
            <w:rStyle w:val="Hyperlink"/>
            <w:rFonts w:ascii="Arial" w:hAnsi="Arial" w:cs="Arial"/>
            <w:noProof/>
          </w:rPr>
          <w:t>Non Means Tested Fixed Charges and Means Tested Charges</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_Toc131412108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10</w:t>
        </w:r>
        <w:r w:rsidR="005D28BB" w:rsidRPr="005D28BB">
          <w:rPr>
            <w:rFonts w:ascii="Arial" w:hAnsi="Arial" w:cs="Arial"/>
            <w:noProof/>
            <w:webHidden/>
          </w:rPr>
          <w:fldChar w:fldCharType="end"/>
        </w:r>
      </w:hyperlink>
    </w:p>
    <w:p w:rsidR="005D28BB" w:rsidRPr="005D28BB" w:rsidRDefault="00FA3774">
      <w:pPr>
        <w:pStyle w:val="TOC1"/>
        <w:tabs>
          <w:tab w:val="left" w:pos="660"/>
          <w:tab w:val="right" w:leader="dot" w:pos="9350"/>
        </w:tabs>
        <w:rPr>
          <w:rFonts w:ascii="Arial" w:eastAsiaTheme="minorEastAsia" w:hAnsi="Arial" w:cs="Arial"/>
          <w:noProof/>
          <w:lang w:eastAsia="en-GB"/>
        </w:rPr>
      </w:pPr>
      <w:hyperlink w:anchor="_Toc131412109" w:history="1">
        <w:r w:rsidR="005D28BB" w:rsidRPr="005D28BB">
          <w:rPr>
            <w:rStyle w:val="Hyperlink"/>
            <w:rFonts w:ascii="Arial" w:hAnsi="Arial" w:cs="Arial"/>
            <w:noProof/>
          </w:rPr>
          <w:t>9.1</w:t>
        </w:r>
        <w:r w:rsidR="005D28BB" w:rsidRPr="005D28BB">
          <w:rPr>
            <w:rFonts w:ascii="Arial" w:eastAsiaTheme="minorEastAsia" w:hAnsi="Arial" w:cs="Arial"/>
            <w:noProof/>
            <w:lang w:eastAsia="en-GB"/>
          </w:rPr>
          <w:tab/>
        </w:r>
        <w:r w:rsidR="005D28BB" w:rsidRPr="005D28BB">
          <w:rPr>
            <w:rStyle w:val="Hyperlink"/>
            <w:rFonts w:ascii="Arial" w:hAnsi="Arial" w:cs="Arial"/>
            <w:noProof/>
          </w:rPr>
          <w:t>Non Means Tested (Fixed) Charges</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_Toc131412109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10</w:t>
        </w:r>
        <w:r w:rsidR="005D28BB" w:rsidRPr="005D28BB">
          <w:rPr>
            <w:rFonts w:ascii="Arial" w:hAnsi="Arial" w:cs="Arial"/>
            <w:noProof/>
            <w:webHidden/>
          </w:rPr>
          <w:fldChar w:fldCharType="end"/>
        </w:r>
      </w:hyperlink>
    </w:p>
    <w:p w:rsidR="005D28BB" w:rsidRPr="005D28BB" w:rsidRDefault="00FA3774">
      <w:pPr>
        <w:pStyle w:val="TOC1"/>
        <w:tabs>
          <w:tab w:val="left" w:pos="660"/>
          <w:tab w:val="right" w:leader="dot" w:pos="9350"/>
        </w:tabs>
        <w:rPr>
          <w:rFonts w:ascii="Arial" w:eastAsiaTheme="minorEastAsia" w:hAnsi="Arial" w:cs="Arial"/>
          <w:noProof/>
          <w:lang w:eastAsia="en-GB"/>
        </w:rPr>
      </w:pPr>
      <w:hyperlink w:anchor="_Toc131412110" w:history="1">
        <w:r w:rsidR="005D28BB" w:rsidRPr="005D28BB">
          <w:rPr>
            <w:rStyle w:val="Hyperlink"/>
            <w:rFonts w:ascii="Arial" w:hAnsi="Arial" w:cs="Arial"/>
            <w:bCs/>
            <w:noProof/>
          </w:rPr>
          <w:t>9.2</w:t>
        </w:r>
        <w:r w:rsidR="005D28BB" w:rsidRPr="005D28BB">
          <w:rPr>
            <w:rFonts w:ascii="Arial" w:eastAsiaTheme="minorEastAsia" w:hAnsi="Arial" w:cs="Arial"/>
            <w:noProof/>
            <w:lang w:eastAsia="en-GB"/>
          </w:rPr>
          <w:tab/>
        </w:r>
        <w:r w:rsidR="005D28BB" w:rsidRPr="005D28BB">
          <w:rPr>
            <w:rStyle w:val="Hyperlink"/>
            <w:rFonts w:ascii="Arial" w:hAnsi="Arial" w:cs="Arial"/>
            <w:bCs/>
            <w:noProof/>
          </w:rPr>
          <w:t>Means Tested Charges</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_Toc131412110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10</w:t>
        </w:r>
        <w:r w:rsidR="005D28BB" w:rsidRPr="005D28BB">
          <w:rPr>
            <w:rFonts w:ascii="Arial" w:hAnsi="Arial" w:cs="Arial"/>
            <w:noProof/>
            <w:webHidden/>
          </w:rPr>
          <w:fldChar w:fldCharType="end"/>
        </w:r>
      </w:hyperlink>
    </w:p>
    <w:p w:rsidR="005D28BB" w:rsidRPr="005D28BB" w:rsidRDefault="00FA3774">
      <w:pPr>
        <w:pStyle w:val="TOC1"/>
        <w:tabs>
          <w:tab w:val="left" w:pos="480"/>
          <w:tab w:val="right" w:leader="dot" w:pos="9350"/>
        </w:tabs>
        <w:rPr>
          <w:rFonts w:ascii="Arial" w:eastAsiaTheme="minorEastAsia" w:hAnsi="Arial" w:cs="Arial"/>
          <w:noProof/>
          <w:lang w:eastAsia="en-GB"/>
        </w:rPr>
      </w:pPr>
      <w:hyperlink w:anchor="_Toc131412111" w:history="1">
        <w:r w:rsidR="005D28BB" w:rsidRPr="005D28BB">
          <w:rPr>
            <w:rStyle w:val="Hyperlink"/>
            <w:rFonts w:ascii="Arial" w:hAnsi="Arial" w:cs="Arial"/>
            <w:noProof/>
          </w:rPr>
          <w:t>10</w:t>
        </w:r>
        <w:r w:rsidR="005D28BB" w:rsidRPr="005D28BB">
          <w:rPr>
            <w:rFonts w:ascii="Arial" w:eastAsiaTheme="minorEastAsia" w:hAnsi="Arial" w:cs="Arial"/>
            <w:noProof/>
            <w:lang w:eastAsia="en-GB"/>
          </w:rPr>
          <w:tab/>
        </w:r>
        <w:r w:rsidR="005D28BB" w:rsidRPr="005D28BB">
          <w:rPr>
            <w:rStyle w:val="Hyperlink"/>
            <w:rFonts w:ascii="Arial" w:hAnsi="Arial" w:cs="Arial"/>
            <w:noProof/>
          </w:rPr>
          <w:t>Appeals against a charge</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_Toc131412111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11</w:t>
        </w:r>
        <w:r w:rsidR="005D28BB" w:rsidRPr="005D28BB">
          <w:rPr>
            <w:rFonts w:ascii="Arial" w:hAnsi="Arial" w:cs="Arial"/>
            <w:noProof/>
            <w:webHidden/>
          </w:rPr>
          <w:fldChar w:fldCharType="end"/>
        </w:r>
      </w:hyperlink>
    </w:p>
    <w:p w:rsidR="005D28BB" w:rsidRPr="005D28BB" w:rsidRDefault="00FA3774">
      <w:pPr>
        <w:pStyle w:val="TOC1"/>
        <w:tabs>
          <w:tab w:val="left" w:pos="480"/>
          <w:tab w:val="right" w:leader="dot" w:pos="9350"/>
        </w:tabs>
        <w:rPr>
          <w:rFonts w:ascii="Arial" w:eastAsiaTheme="minorEastAsia" w:hAnsi="Arial" w:cs="Arial"/>
          <w:noProof/>
          <w:lang w:eastAsia="en-GB"/>
        </w:rPr>
      </w:pPr>
      <w:hyperlink w:anchor="_Toc131412112" w:history="1">
        <w:r w:rsidR="005D28BB" w:rsidRPr="005D28BB">
          <w:rPr>
            <w:rStyle w:val="Hyperlink"/>
            <w:rFonts w:ascii="Arial" w:hAnsi="Arial" w:cs="Arial"/>
            <w:noProof/>
          </w:rPr>
          <w:t>11</w:t>
        </w:r>
        <w:r w:rsidR="005D28BB" w:rsidRPr="005D28BB">
          <w:rPr>
            <w:rFonts w:ascii="Arial" w:eastAsiaTheme="minorEastAsia" w:hAnsi="Arial" w:cs="Arial"/>
            <w:noProof/>
            <w:lang w:eastAsia="en-GB"/>
          </w:rPr>
          <w:tab/>
        </w:r>
        <w:r w:rsidR="005D28BB" w:rsidRPr="005D28BB">
          <w:rPr>
            <w:rStyle w:val="Hyperlink"/>
            <w:rFonts w:ascii="Arial" w:hAnsi="Arial" w:cs="Arial"/>
            <w:noProof/>
          </w:rPr>
          <w:t>The Financial Assessment Process</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_Toc131412112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11</w:t>
        </w:r>
        <w:r w:rsidR="005D28BB" w:rsidRPr="005D28BB">
          <w:rPr>
            <w:rFonts w:ascii="Arial" w:hAnsi="Arial" w:cs="Arial"/>
            <w:noProof/>
            <w:webHidden/>
          </w:rPr>
          <w:fldChar w:fldCharType="end"/>
        </w:r>
      </w:hyperlink>
    </w:p>
    <w:p w:rsidR="005D28BB" w:rsidRPr="005D28BB" w:rsidRDefault="00FA3774">
      <w:pPr>
        <w:pStyle w:val="TOC1"/>
        <w:tabs>
          <w:tab w:val="left" w:pos="480"/>
          <w:tab w:val="right" w:leader="dot" w:pos="9350"/>
        </w:tabs>
        <w:rPr>
          <w:rFonts w:ascii="Arial" w:eastAsiaTheme="minorEastAsia" w:hAnsi="Arial" w:cs="Arial"/>
          <w:noProof/>
          <w:lang w:eastAsia="en-GB"/>
        </w:rPr>
      </w:pPr>
      <w:hyperlink w:anchor="_Toc131412113" w:history="1">
        <w:r w:rsidR="005D28BB" w:rsidRPr="005D28BB">
          <w:rPr>
            <w:rStyle w:val="Hyperlink"/>
            <w:rFonts w:ascii="Arial" w:hAnsi="Arial" w:cs="Arial"/>
            <w:noProof/>
          </w:rPr>
          <w:t>12</w:t>
        </w:r>
        <w:r w:rsidR="005D28BB" w:rsidRPr="005D28BB">
          <w:rPr>
            <w:rFonts w:ascii="Arial" w:eastAsiaTheme="minorEastAsia" w:hAnsi="Arial" w:cs="Arial"/>
            <w:noProof/>
            <w:lang w:eastAsia="en-GB"/>
          </w:rPr>
          <w:tab/>
        </w:r>
        <w:r w:rsidR="005D28BB" w:rsidRPr="005D28BB">
          <w:rPr>
            <w:rStyle w:val="Hyperlink"/>
            <w:rFonts w:ascii="Arial" w:hAnsi="Arial" w:cs="Arial"/>
            <w:noProof/>
          </w:rPr>
          <w:t>Fraud</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_Toc131412113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12</w:t>
        </w:r>
        <w:r w:rsidR="005D28BB" w:rsidRPr="005D28BB">
          <w:rPr>
            <w:rFonts w:ascii="Arial" w:hAnsi="Arial" w:cs="Arial"/>
            <w:noProof/>
            <w:webHidden/>
          </w:rPr>
          <w:fldChar w:fldCharType="end"/>
        </w:r>
      </w:hyperlink>
    </w:p>
    <w:p w:rsidR="005D28BB" w:rsidRPr="005D28BB" w:rsidRDefault="00FA3774">
      <w:pPr>
        <w:pStyle w:val="TOC1"/>
        <w:tabs>
          <w:tab w:val="left" w:pos="480"/>
          <w:tab w:val="right" w:leader="dot" w:pos="9350"/>
        </w:tabs>
        <w:rPr>
          <w:rFonts w:ascii="Arial" w:eastAsiaTheme="minorEastAsia" w:hAnsi="Arial" w:cs="Arial"/>
          <w:noProof/>
          <w:lang w:eastAsia="en-GB"/>
        </w:rPr>
      </w:pPr>
      <w:hyperlink w:anchor="_Toc131412114" w:history="1">
        <w:r w:rsidR="005D28BB" w:rsidRPr="005D28BB">
          <w:rPr>
            <w:rStyle w:val="Hyperlink"/>
            <w:rFonts w:ascii="Arial" w:hAnsi="Arial" w:cs="Arial"/>
            <w:noProof/>
          </w:rPr>
          <w:t>13</w:t>
        </w:r>
        <w:r w:rsidR="005D28BB" w:rsidRPr="005D28BB">
          <w:rPr>
            <w:rFonts w:ascii="Arial" w:eastAsiaTheme="minorEastAsia" w:hAnsi="Arial" w:cs="Arial"/>
            <w:noProof/>
            <w:lang w:eastAsia="en-GB"/>
          </w:rPr>
          <w:tab/>
        </w:r>
        <w:r w:rsidR="005D28BB" w:rsidRPr="005D28BB">
          <w:rPr>
            <w:rStyle w:val="Hyperlink"/>
            <w:rFonts w:ascii="Arial" w:hAnsi="Arial" w:cs="Arial"/>
            <w:noProof/>
          </w:rPr>
          <w:t>Deprivation of Capital</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_Toc131412114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12</w:t>
        </w:r>
        <w:r w:rsidR="005D28BB" w:rsidRPr="005D28BB">
          <w:rPr>
            <w:rFonts w:ascii="Arial" w:hAnsi="Arial" w:cs="Arial"/>
            <w:noProof/>
            <w:webHidden/>
          </w:rPr>
          <w:fldChar w:fldCharType="end"/>
        </w:r>
      </w:hyperlink>
    </w:p>
    <w:p w:rsidR="005D28BB" w:rsidRPr="005D28BB" w:rsidRDefault="00FA3774">
      <w:pPr>
        <w:pStyle w:val="TOC1"/>
        <w:tabs>
          <w:tab w:val="left" w:pos="480"/>
          <w:tab w:val="right" w:leader="dot" w:pos="9350"/>
        </w:tabs>
        <w:rPr>
          <w:rFonts w:ascii="Arial" w:eastAsiaTheme="minorEastAsia" w:hAnsi="Arial" w:cs="Arial"/>
          <w:noProof/>
          <w:lang w:eastAsia="en-GB"/>
        </w:rPr>
      </w:pPr>
      <w:hyperlink w:anchor="_Toc131412115" w:history="1">
        <w:r w:rsidR="005D28BB" w:rsidRPr="005D28BB">
          <w:rPr>
            <w:rStyle w:val="Hyperlink"/>
            <w:rFonts w:ascii="Arial" w:hAnsi="Arial" w:cs="Arial"/>
            <w:noProof/>
          </w:rPr>
          <w:t>14</w:t>
        </w:r>
        <w:r w:rsidR="005D28BB" w:rsidRPr="005D28BB">
          <w:rPr>
            <w:rFonts w:ascii="Arial" w:eastAsiaTheme="minorEastAsia" w:hAnsi="Arial" w:cs="Arial"/>
            <w:noProof/>
            <w:lang w:eastAsia="en-GB"/>
          </w:rPr>
          <w:tab/>
        </w:r>
        <w:r w:rsidR="005D28BB" w:rsidRPr="005D28BB">
          <w:rPr>
            <w:rStyle w:val="Hyperlink"/>
            <w:rFonts w:ascii="Arial" w:hAnsi="Arial" w:cs="Arial"/>
            <w:noProof/>
          </w:rPr>
          <w:t>Charge</w:t>
        </w:r>
        <w:r w:rsidR="005D28BB" w:rsidRPr="005D28BB">
          <w:rPr>
            <w:rStyle w:val="Hyperlink"/>
            <w:rFonts w:ascii="Arial" w:hAnsi="Arial" w:cs="Arial"/>
            <w:noProof/>
            <w:spacing w:val="-11"/>
          </w:rPr>
          <w:t xml:space="preserve"> </w:t>
        </w:r>
        <w:r w:rsidR="005D28BB" w:rsidRPr="005D28BB">
          <w:rPr>
            <w:rStyle w:val="Hyperlink"/>
            <w:rFonts w:ascii="Arial" w:hAnsi="Arial" w:cs="Arial"/>
            <w:noProof/>
          </w:rPr>
          <w:t>Tapers</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_Toc131412115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12</w:t>
        </w:r>
        <w:r w:rsidR="005D28BB" w:rsidRPr="005D28BB">
          <w:rPr>
            <w:rFonts w:ascii="Arial" w:hAnsi="Arial" w:cs="Arial"/>
            <w:noProof/>
            <w:webHidden/>
          </w:rPr>
          <w:fldChar w:fldCharType="end"/>
        </w:r>
      </w:hyperlink>
    </w:p>
    <w:p w:rsidR="005D28BB" w:rsidRPr="005D28BB" w:rsidRDefault="00FA3774">
      <w:pPr>
        <w:pStyle w:val="TOC1"/>
        <w:tabs>
          <w:tab w:val="left" w:pos="480"/>
          <w:tab w:val="right" w:leader="dot" w:pos="9350"/>
        </w:tabs>
        <w:rPr>
          <w:rFonts w:ascii="Arial" w:eastAsiaTheme="minorEastAsia" w:hAnsi="Arial" w:cs="Arial"/>
          <w:noProof/>
          <w:lang w:eastAsia="en-GB"/>
        </w:rPr>
      </w:pPr>
      <w:hyperlink w:anchor="_Toc131412116" w:history="1">
        <w:r w:rsidR="005D28BB" w:rsidRPr="005D28BB">
          <w:rPr>
            <w:rStyle w:val="Hyperlink"/>
            <w:rFonts w:ascii="Arial" w:hAnsi="Arial" w:cs="Arial"/>
            <w:noProof/>
          </w:rPr>
          <w:t>15</w:t>
        </w:r>
        <w:r w:rsidR="005D28BB" w:rsidRPr="005D28BB">
          <w:rPr>
            <w:rFonts w:ascii="Arial" w:eastAsiaTheme="minorEastAsia" w:hAnsi="Arial" w:cs="Arial"/>
            <w:noProof/>
            <w:lang w:eastAsia="en-GB"/>
          </w:rPr>
          <w:tab/>
        </w:r>
        <w:r w:rsidR="005D28BB" w:rsidRPr="005D28BB">
          <w:rPr>
            <w:rStyle w:val="Hyperlink"/>
            <w:rFonts w:ascii="Arial" w:hAnsi="Arial" w:cs="Arial"/>
            <w:noProof/>
          </w:rPr>
          <w:t>Income</w:t>
        </w:r>
        <w:r w:rsidR="005D28BB" w:rsidRPr="005D28BB">
          <w:rPr>
            <w:rStyle w:val="Hyperlink"/>
            <w:rFonts w:ascii="Arial" w:hAnsi="Arial" w:cs="Arial"/>
            <w:noProof/>
            <w:spacing w:val="-11"/>
          </w:rPr>
          <w:t xml:space="preserve"> </w:t>
        </w:r>
        <w:r w:rsidR="005D28BB" w:rsidRPr="005D28BB">
          <w:rPr>
            <w:rStyle w:val="Hyperlink"/>
            <w:rFonts w:ascii="Arial" w:hAnsi="Arial" w:cs="Arial"/>
            <w:noProof/>
            <w:spacing w:val="-1"/>
          </w:rPr>
          <w:t>to</w:t>
        </w:r>
        <w:r w:rsidR="005D28BB" w:rsidRPr="005D28BB">
          <w:rPr>
            <w:rStyle w:val="Hyperlink"/>
            <w:rFonts w:ascii="Arial" w:hAnsi="Arial" w:cs="Arial"/>
            <w:noProof/>
            <w:spacing w:val="-4"/>
          </w:rPr>
          <w:t xml:space="preserve"> </w:t>
        </w:r>
        <w:r w:rsidR="005D28BB" w:rsidRPr="005D28BB">
          <w:rPr>
            <w:rStyle w:val="Hyperlink"/>
            <w:rFonts w:ascii="Arial" w:hAnsi="Arial" w:cs="Arial"/>
            <w:noProof/>
            <w:spacing w:val="-1"/>
          </w:rPr>
          <w:t>be</w:t>
        </w:r>
        <w:r w:rsidR="005D28BB" w:rsidRPr="005D28BB">
          <w:rPr>
            <w:rStyle w:val="Hyperlink"/>
            <w:rFonts w:ascii="Arial" w:hAnsi="Arial" w:cs="Arial"/>
            <w:noProof/>
          </w:rPr>
          <w:t xml:space="preserve"> disregarded</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_Toc131412116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13</w:t>
        </w:r>
        <w:r w:rsidR="005D28BB" w:rsidRPr="005D28BB">
          <w:rPr>
            <w:rFonts w:ascii="Arial" w:hAnsi="Arial" w:cs="Arial"/>
            <w:noProof/>
            <w:webHidden/>
          </w:rPr>
          <w:fldChar w:fldCharType="end"/>
        </w:r>
      </w:hyperlink>
    </w:p>
    <w:p w:rsidR="005D28BB" w:rsidRPr="005D28BB" w:rsidRDefault="00FA3774">
      <w:pPr>
        <w:pStyle w:val="TOC1"/>
        <w:tabs>
          <w:tab w:val="left" w:pos="660"/>
          <w:tab w:val="right" w:leader="dot" w:pos="9350"/>
        </w:tabs>
        <w:rPr>
          <w:rFonts w:ascii="Arial" w:eastAsiaTheme="minorEastAsia" w:hAnsi="Arial" w:cs="Arial"/>
          <w:noProof/>
          <w:lang w:eastAsia="en-GB"/>
        </w:rPr>
      </w:pPr>
      <w:hyperlink w:anchor="_Toc131412117" w:history="1">
        <w:r w:rsidR="005D28BB" w:rsidRPr="005D28BB">
          <w:rPr>
            <w:rStyle w:val="Hyperlink"/>
            <w:rFonts w:ascii="Arial" w:hAnsi="Arial" w:cs="Arial"/>
            <w:noProof/>
          </w:rPr>
          <w:t>15.1</w:t>
        </w:r>
        <w:r w:rsidR="005D28BB" w:rsidRPr="005D28BB">
          <w:rPr>
            <w:rFonts w:ascii="Arial" w:eastAsiaTheme="minorEastAsia" w:hAnsi="Arial" w:cs="Arial"/>
            <w:noProof/>
            <w:lang w:eastAsia="en-GB"/>
          </w:rPr>
          <w:tab/>
        </w:r>
        <w:r w:rsidR="005D28BB" w:rsidRPr="005D28BB">
          <w:rPr>
            <w:rStyle w:val="Hyperlink"/>
            <w:rFonts w:ascii="Arial" w:hAnsi="Arial" w:cs="Arial"/>
            <w:noProof/>
          </w:rPr>
          <w:t>HSCP principles on income which can be disregarded</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_Toc131412117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13</w:t>
        </w:r>
        <w:r w:rsidR="005D28BB" w:rsidRPr="005D28BB">
          <w:rPr>
            <w:rFonts w:ascii="Arial" w:hAnsi="Arial" w:cs="Arial"/>
            <w:noProof/>
            <w:webHidden/>
          </w:rPr>
          <w:fldChar w:fldCharType="end"/>
        </w:r>
      </w:hyperlink>
    </w:p>
    <w:p w:rsidR="005D28BB" w:rsidRPr="005D28BB" w:rsidRDefault="00FA3774">
      <w:pPr>
        <w:pStyle w:val="TOC1"/>
        <w:tabs>
          <w:tab w:val="left" w:pos="660"/>
          <w:tab w:val="right" w:leader="dot" w:pos="9350"/>
        </w:tabs>
        <w:rPr>
          <w:rFonts w:ascii="Arial" w:eastAsiaTheme="minorEastAsia" w:hAnsi="Arial" w:cs="Arial"/>
          <w:noProof/>
          <w:lang w:eastAsia="en-GB"/>
        </w:rPr>
      </w:pPr>
      <w:hyperlink w:anchor="_Toc131412118" w:history="1">
        <w:r w:rsidR="005D28BB" w:rsidRPr="005D28BB">
          <w:rPr>
            <w:rStyle w:val="Hyperlink"/>
            <w:rFonts w:ascii="Arial" w:hAnsi="Arial" w:cs="Arial"/>
            <w:noProof/>
          </w:rPr>
          <w:t>15.2</w:t>
        </w:r>
        <w:r w:rsidR="005D28BB" w:rsidRPr="005D28BB">
          <w:rPr>
            <w:rFonts w:ascii="Arial" w:eastAsiaTheme="minorEastAsia" w:hAnsi="Arial" w:cs="Arial"/>
            <w:noProof/>
            <w:lang w:eastAsia="en-GB"/>
          </w:rPr>
          <w:tab/>
        </w:r>
        <w:r w:rsidR="005D28BB" w:rsidRPr="005D28BB">
          <w:rPr>
            <w:rStyle w:val="Hyperlink"/>
            <w:rFonts w:ascii="Arial" w:hAnsi="Arial" w:cs="Arial"/>
            <w:noProof/>
          </w:rPr>
          <w:t>Income which will be disregarded</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_Toc131412118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14</w:t>
        </w:r>
        <w:r w:rsidR="005D28BB" w:rsidRPr="005D28BB">
          <w:rPr>
            <w:rFonts w:ascii="Arial" w:hAnsi="Arial" w:cs="Arial"/>
            <w:noProof/>
            <w:webHidden/>
          </w:rPr>
          <w:fldChar w:fldCharType="end"/>
        </w:r>
      </w:hyperlink>
    </w:p>
    <w:p w:rsidR="005D28BB" w:rsidRPr="005D28BB" w:rsidRDefault="00FA3774">
      <w:pPr>
        <w:pStyle w:val="TOC1"/>
        <w:tabs>
          <w:tab w:val="left" w:pos="480"/>
          <w:tab w:val="right" w:leader="dot" w:pos="9350"/>
        </w:tabs>
        <w:rPr>
          <w:rFonts w:ascii="Arial" w:eastAsiaTheme="minorEastAsia" w:hAnsi="Arial" w:cs="Arial"/>
          <w:noProof/>
          <w:lang w:eastAsia="en-GB"/>
        </w:rPr>
      </w:pPr>
      <w:hyperlink w:anchor="_Toc131412119" w:history="1">
        <w:r w:rsidR="005D28BB" w:rsidRPr="005D28BB">
          <w:rPr>
            <w:rStyle w:val="Hyperlink"/>
            <w:rFonts w:ascii="Arial" w:hAnsi="Arial" w:cs="Arial"/>
            <w:noProof/>
          </w:rPr>
          <w:t>16</w:t>
        </w:r>
        <w:r w:rsidR="005D28BB" w:rsidRPr="005D28BB">
          <w:rPr>
            <w:rFonts w:ascii="Arial" w:eastAsiaTheme="minorEastAsia" w:hAnsi="Arial" w:cs="Arial"/>
            <w:noProof/>
            <w:lang w:eastAsia="en-GB"/>
          </w:rPr>
          <w:tab/>
        </w:r>
        <w:r w:rsidR="005D28BB" w:rsidRPr="005D28BB">
          <w:rPr>
            <w:rStyle w:val="Hyperlink"/>
            <w:rFonts w:ascii="Arial" w:eastAsiaTheme="majorEastAsia" w:hAnsi="Arial" w:cs="Arial"/>
            <w:noProof/>
          </w:rPr>
          <w:t>Disability Related Expenditure</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_Toc131412119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16</w:t>
        </w:r>
        <w:r w:rsidR="005D28BB" w:rsidRPr="005D28BB">
          <w:rPr>
            <w:rFonts w:ascii="Arial" w:hAnsi="Arial" w:cs="Arial"/>
            <w:noProof/>
            <w:webHidden/>
          </w:rPr>
          <w:fldChar w:fldCharType="end"/>
        </w:r>
      </w:hyperlink>
    </w:p>
    <w:p w:rsidR="005D28BB" w:rsidRPr="005D28BB" w:rsidRDefault="00FA3774">
      <w:pPr>
        <w:pStyle w:val="TOC1"/>
        <w:tabs>
          <w:tab w:val="left" w:pos="480"/>
          <w:tab w:val="right" w:leader="dot" w:pos="9350"/>
        </w:tabs>
        <w:rPr>
          <w:rFonts w:ascii="Arial" w:eastAsiaTheme="minorEastAsia" w:hAnsi="Arial" w:cs="Arial"/>
          <w:noProof/>
          <w:lang w:eastAsia="en-GB"/>
        </w:rPr>
      </w:pPr>
      <w:hyperlink w:anchor="_Toc131412120" w:history="1">
        <w:r w:rsidR="005D28BB" w:rsidRPr="005D28BB">
          <w:rPr>
            <w:rStyle w:val="Hyperlink"/>
            <w:rFonts w:ascii="Arial" w:hAnsi="Arial" w:cs="Arial"/>
            <w:noProof/>
          </w:rPr>
          <w:t>17</w:t>
        </w:r>
        <w:r w:rsidR="005D28BB" w:rsidRPr="005D28BB">
          <w:rPr>
            <w:rFonts w:ascii="Arial" w:eastAsiaTheme="minorEastAsia" w:hAnsi="Arial" w:cs="Arial"/>
            <w:noProof/>
            <w:lang w:eastAsia="en-GB"/>
          </w:rPr>
          <w:tab/>
        </w:r>
        <w:r w:rsidR="005D28BB" w:rsidRPr="005D28BB">
          <w:rPr>
            <w:rStyle w:val="Hyperlink"/>
            <w:rFonts w:ascii="Arial" w:hAnsi="Arial" w:cs="Arial"/>
            <w:noProof/>
          </w:rPr>
          <w:t>Financial Hardship</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_Toc131412120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16</w:t>
        </w:r>
        <w:r w:rsidR="005D28BB" w:rsidRPr="005D28BB">
          <w:rPr>
            <w:rFonts w:ascii="Arial" w:hAnsi="Arial" w:cs="Arial"/>
            <w:noProof/>
            <w:webHidden/>
          </w:rPr>
          <w:fldChar w:fldCharType="end"/>
        </w:r>
      </w:hyperlink>
    </w:p>
    <w:p w:rsidR="005D28BB" w:rsidRPr="005D28BB" w:rsidRDefault="00FA3774">
      <w:pPr>
        <w:pStyle w:val="TOC1"/>
        <w:tabs>
          <w:tab w:val="left" w:pos="480"/>
          <w:tab w:val="right" w:leader="dot" w:pos="9350"/>
        </w:tabs>
        <w:rPr>
          <w:rFonts w:ascii="Arial" w:eastAsiaTheme="minorEastAsia" w:hAnsi="Arial" w:cs="Arial"/>
          <w:noProof/>
          <w:lang w:eastAsia="en-GB"/>
        </w:rPr>
      </w:pPr>
      <w:hyperlink w:anchor="_Toc131412121" w:history="1">
        <w:r w:rsidR="005D28BB" w:rsidRPr="005D28BB">
          <w:rPr>
            <w:rStyle w:val="Hyperlink"/>
            <w:rFonts w:ascii="Arial" w:hAnsi="Arial" w:cs="Arial"/>
            <w:noProof/>
          </w:rPr>
          <w:t>18</w:t>
        </w:r>
        <w:r w:rsidR="005D28BB" w:rsidRPr="005D28BB">
          <w:rPr>
            <w:rFonts w:ascii="Arial" w:eastAsiaTheme="minorEastAsia" w:hAnsi="Arial" w:cs="Arial"/>
            <w:noProof/>
            <w:lang w:eastAsia="en-GB"/>
          </w:rPr>
          <w:tab/>
        </w:r>
        <w:r w:rsidR="005D28BB" w:rsidRPr="005D28BB">
          <w:rPr>
            <w:rStyle w:val="Hyperlink"/>
            <w:rFonts w:ascii="Arial" w:hAnsi="Arial" w:cs="Arial"/>
            <w:noProof/>
          </w:rPr>
          <w:t>Respite</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_Toc131412121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16</w:t>
        </w:r>
        <w:r w:rsidR="005D28BB" w:rsidRPr="005D28BB">
          <w:rPr>
            <w:rFonts w:ascii="Arial" w:hAnsi="Arial" w:cs="Arial"/>
            <w:noProof/>
            <w:webHidden/>
          </w:rPr>
          <w:fldChar w:fldCharType="end"/>
        </w:r>
      </w:hyperlink>
    </w:p>
    <w:p w:rsidR="005D28BB" w:rsidRPr="005D28BB" w:rsidRDefault="00FA3774">
      <w:pPr>
        <w:pStyle w:val="TOC1"/>
        <w:tabs>
          <w:tab w:val="right" w:leader="dot" w:pos="9350"/>
        </w:tabs>
        <w:rPr>
          <w:rFonts w:ascii="Arial" w:eastAsiaTheme="minorEastAsia" w:hAnsi="Arial" w:cs="Arial"/>
          <w:noProof/>
          <w:lang w:eastAsia="en-GB"/>
        </w:rPr>
      </w:pPr>
      <w:hyperlink w:anchor="_Toc131412122" w:history="1">
        <w:r w:rsidR="005D28BB" w:rsidRPr="005D28BB">
          <w:rPr>
            <w:rStyle w:val="Hyperlink"/>
            <w:rFonts w:ascii="Arial" w:hAnsi="Arial" w:cs="Arial"/>
            <w:noProof/>
          </w:rPr>
          <w:t>Appendix 1</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_Toc131412122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17</w:t>
        </w:r>
        <w:r w:rsidR="005D28BB" w:rsidRPr="005D28BB">
          <w:rPr>
            <w:rFonts w:ascii="Arial" w:hAnsi="Arial" w:cs="Arial"/>
            <w:noProof/>
            <w:webHidden/>
          </w:rPr>
          <w:fldChar w:fldCharType="end"/>
        </w:r>
      </w:hyperlink>
    </w:p>
    <w:p w:rsidR="005D28BB" w:rsidRPr="005D28BB" w:rsidRDefault="00FA3774">
      <w:pPr>
        <w:pStyle w:val="TOC1"/>
        <w:tabs>
          <w:tab w:val="right" w:leader="dot" w:pos="9350"/>
        </w:tabs>
        <w:rPr>
          <w:rFonts w:ascii="Arial" w:eastAsiaTheme="minorEastAsia" w:hAnsi="Arial" w:cs="Arial"/>
          <w:noProof/>
          <w:lang w:eastAsia="en-GB"/>
        </w:rPr>
      </w:pPr>
      <w:hyperlink w:anchor="_Toc131412123" w:history="1">
        <w:r w:rsidR="005D28BB" w:rsidRPr="005D28BB">
          <w:rPr>
            <w:rStyle w:val="Hyperlink"/>
            <w:rFonts w:ascii="Arial" w:hAnsi="Arial" w:cs="Arial"/>
            <w:noProof/>
          </w:rPr>
          <w:t>Personal Care Services exempt from charging (service user and/or partner combined)</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_Toc131412123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17</w:t>
        </w:r>
        <w:r w:rsidR="005D28BB" w:rsidRPr="005D28BB">
          <w:rPr>
            <w:rFonts w:ascii="Arial" w:hAnsi="Arial" w:cs="Arial"/>
            <w:noProof/>
            <w:webHidden/>
          </w:rPr>
          <w:fldChar w:fldCharType="end"/>
        </w:r>
      </w:hyperlink>
    </w:p>
    <w:p w:rsidR="005D28BB" w:rsidRPr="005D28BB" w:rsidRDefault="00FA3774">
      <w:pPr>
        <w:pStyle w:val="TOC1"/>
        <w:tabs>
          <w:tab w:val="right" w:leader="dot" w:pos="9350"/>
        </w:tabs>
        <w:rPr>
          <w:rFonts w:ascii="Arial" w:eastAsiaTheme="minorEastAsia" w:hAnsi="Arial" w:cs="Arial"/>
          <w:noProof/>
          <w:lang w:eastAsia="en-GB"/>
        </w:rPr>
      </w:pPr>
      <w:hyperlink w:anchor="_Toc131412124" w:history="1">
        <w:r w:rsidR="005D28BB" w:rsidRPr="005D28BB">
          <w:rPr>
            <w:rStyle w:val="Hyperlink"/>
            <w:rFonts w:ascii="Arial" w:hAnsi="Arial" w:cs="Arial"/>
            <w:noProof/>
          </w:rPr>
          <w:t>Appendix 2</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_Toc131412124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18</w:t>
        </w:r>
        <w:r w:rsidR="005D28BB" w:rsidRPr="005D28BB">
          <w:rPr>
            <w:rFonts w:ascii="Arial" w:hAnsi="Arial" w:cs="Arial"/>
            <w:noProof/>
            <w:webHidden/>
          </w:rPr>
          <w:fldChar w:fldCharType="end"/>
        </w:r>
      </w:hyperlink>
    </w:p>
    <w:p w:rsidR="005D28BB" w:rsidRPr="005D28BB" w:rsidRDefault="00FA3774">
      <w:pPr>
        <w:pStyle w:val="TOC1"/>
        <w:tabs>
          <w:tab w:val="right" w:leader="dot" w:pos="9350"/>
        </w:tabs>
        <w:rPr>
          <w:rFonts w:ascii="Arial" w:eastAsiaTheme="minorEastAsia" w:hAnsi="Arial" w:cs="Arial"/>
          <w:noProof/>
          <w:lang w:eastAsia="en-GB"/>
        </w:rPr>
      </w:pPr>
      <w:hyperlink w:anchor="_Toc131412125" w:history="1">
        <w:r w:rsidR="005D28BB" w:rsidRPr="005D28BB">
          <w:rPr>
            <w:rStyle w:val="Hyperlink"/>
            <w:rFonts w:ascii="Arial" w:hAnsi="Arial" w:cs="Arial"/>
            <w:noProof/>
          </w:rPr>
          <w:t>Minimum Income Thresholds 2023/2024</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_Toc131412125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18</w:t>
        </w:r>
        <w:r w:rsidR="005D28BB" w:rsidRPr="005D28BB">
          <w:rPr>
            <w:rFonts w:ascii="Arial" w:hAnsi="Arial" w:cs="Arial"/>
            <w:noProof/>
            <w:webHidden/>
          </w:rPr>
          <w:fldChar w:fldCharType="end"/>
        </w:r>
      </w:hyperlink>
    </w:p>
    <w:p w:rsidR="005D28BB" w:rsidRPr="005D28BB" w:rsidRDefault="00FA3774">
      <w:pPr>
        <w:pStyle w:val="TOC1"/>
        <w:tabs>
          <w:tab w:val="right" w:leader="dot" w:pos="9350"/>
        </w:tabs>
        <w:rPr>
          <w:rFonts w:ascii="Arial" w:eastAsiaTheme="minorEastAsia" w:hAnsi="Arial" w:cs="Arial"/>
          <w:noProof/>
          <w:lang w:eastAsia="en-GB"/>
        </w:rPr>
      </w:pPr>
      <w:hyperlink w:anchor="_Toc131412126" w:history="1">
        <w:r w:rsidR="005D28BB" w:rsidRPr="005D28BB">
          <w:rPr>
            <w:rStyle w:val="Hyperlink"/>
            <w:rFonts w:ascii="Arial" w:hAnsi="Arial" w:cs="Arial"/>
            <w:noProof/>
          </w:rPr>
          <w:t>Appendix 3</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_Toc131412126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19</w:t>
        </w:r>
        <w:r w:rsidR="005D28BB" w:rsidRPr="005D28BB">
          <w:rPr>
            <w:rFonts w:ascii="Arial" w:hAnsi="Arial" w:cs="Arial"/>
            <w:noProof/>
            <w:webHidden/>
          </w:rPr>
          <w:fldChar w:fldCharType="end"/>
        </w:r>
      </w:hyperlink>
    </w:p>
    <w:p w:rsidR="005D28BB" w:rsidRPr="005D28BB" w:rsidRDefault="00FA3774">
      <w:pPr>
        <w:pStyle w:val="TOC1"/>
        <w:tabs>
          <w:tab w:val="right" w:leader="dot" w:pos="9350"/>
        </w:tabs>
        <w:rPr>
          <w:rFonts w:ascii="Arial" w:eastAsiaTheme="minorEastAsia" w:hAnsi="Arial" w:cs="Arial"/>
          <w:noProof/>
          <w:lang w:eastAsia="en-GB"/>
        </w:rPr>
      </w:pPr>
      <w:hyperlink w:anchor="_Toc131412127" w:history="1">
        <w:r w:rsidR="005D28BB" w:rsidRPr="005D28BB">
          <w:rPr>
            <w:rStyle w:val="Hyperlink"/>
            <w:rFonts w:ascii="Arial" w:hAnsi="Arial" w:cs="Arial"/>
            <w:noProof/>
          </w:rPr>
          <w:t>Fixed Charges for HSCP services</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_Toc131412127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19</w:t>
        </w:r>
        <w:r w:rsidR="005D28BB" w:rsidRPr="005D28BB">
          <w:rPr>
            <w:rFonts w:ascii="Arial" w:hAnsi="Arial" w:cs="Arial"/>
            <w:noProof/>
            <w:webHidden/>
          </w:rPr>
          <w:fldChar w:fldCharType="end"/>
        </w:r>
      </w:hyperlink>
    </w:p>
    <w:p w:rsidR="005D28BB" w:rsidRPr="005D28BB" w:rsidRDefault="00FA3774">
      <w:pPr>
        <w:pStyle w:val="TOC1"/>
        <w:tabs>
          <w:tab w:val="right" w:leader="dot" w:pos="9350"/>
        </w:tabs>
        <w:rPr>
          <w:rFonts w:ascii="Arial" w:eastAsiaTheme="minorEastAsia" w:hAnsi="Arial" w:cs="Arial"/>
          <w:noProof/>
          <w:lang w:eastAsia="en-GB"/>
        </w:rPr>
      </w:pPr>
      <w:hyperlink w:anchor="_Toc131412128" w:history="1">
        <w:r w:rsidR="005D28BB" w:rsidRPr="005D28BB">
          <w:rPr>
            <w:rStyle w:val="Hyperlink"/>
            <w:rFonts w:ascii="Arial" w:hAnsi="Arial" w:cs="Arial"/>
            <w:noProof/>
          </w:rPr>
          <w:t>Appendix 4</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_Toc131412128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20</w:t>
        </w:r>
        <w:r w:rsidR="005D28BB" w:rsidRPr="005D28BB">
          <w:rPr>
            <w:rFonts w:ascii="Arial" w:hAnsi="Arial" w:cs="Arial"/>
            <w:noProof/>
            <w:webHidden/>
          </w:rPr>
          <w:fldChar w:fldCharType="end"/>
        </w:r>
      </w:hyperlink>
    </w:p>
    <w:p w:rsidR="005D28BB" w:rsidRPr="005D28BB" w:rsidRDefault="00FA3774">
      <w:pPr>
        <w:pStyle w:val="TOC1"/>
        <w:tabs>
          <w:tab w:val="right" w:leader="dot" w:pos="9350"/>
        </w:tabs>
        <w:rPr>
          <w:rFonts w:ascii="Arial" w:eastAsiaTheme="minorEastAsia" w:hAnsi="Arial" w:cs="Arial"/>
          <w:noProof/>
          <w:lang w:eastAsia="en-GB"/>
        </w:rPr>
      </w:pPr>
      <w:hyperlink w:anchor="_Toc131412129" w:history="1">
        <w:r w:rsidR="005D28BB" w:rsidRPr="005D28BB">
          <w:rPr>
            <w:rStyle w:val="Hyperlink"/>
            <w:rFonts w:ascii="Arial" w:hAnsi="Arial" w:cs="Arial"/>
            <w:noProof/>
          </w:rPr>
          <w:t>Charge Tapers</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_Toc131412129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20</w:t>
        </w:r>
        <w:r w:rsidR="005D28BB" w:rsidRPr="005D28BB">
          <w:rPr>
            <w:rFonts w:ascii="Arial" w:hAnsi="Arial" w:cs="Arial"/>
            <w:noProof/>
            <w:webHidden/>
          </w:rPr>
          <w:fldChar w:fldCharType="end"/>
        </w:r>
      </w:hyperlink>
    </w:p>
    <w:p w:rsidR="005D28BB" w:rsidRPr="005D28BB" w:rsidRDefault="00FA3774">
      <w:pPr>
        <w:pStyle w:val="TOC1"/>
        <w:tabs>
          <w:tab w:val="right" w:leader="dot" w:pos="9350"/>
        </w:tabs>
        <w:rPr>
          <w:rFonts w:ascii="Arial" w:eastAsiaTheme="minorEastAsia" w:hAnsi="Arial" w:cs="Arial"/>
          <w:noProof/>
          <w:lang w:eastAsia="en-GB"/>
        </w:rPr>
      </w:pPr>
      <w:hyperlink w:anchor="_Toc131412130" w:history="1">
        <w:r w:rsidR="005D28BB" w:rsidRPr="005D28BB">
          <w:rPr>
            <w:rStyle w:val="Hyperlink"/>
            <w:rFonts w:ascii="Arial" w:hAnsi="Arial" w:cs="Arial"/>
            <w:noProof/>
          </w:rPr>
          <w:t>Appendix 5</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_Toc131412130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20</w:t>
        </w:r>
        <w:r w:rsidR="005D28BB" w:rsidRPr="005D28BB">
          <w:rPr>
            <w:rFonts w:ascii="Arial" w:hAnsi="Arial" w:cs="Arial"/>
            <w:noProof/>
            <w:webHidden/>
          </w:rPr>
          <w:fldChar w:fldCharType="end"/>
        </w:r>
      </w:hyperlink>
    </w:p>
    <w:p w:rsidR="005D28BB" w:rsidRPr="005D28BB" w:rsidRDefault="00FA3774">
      <w:pPr>
        <w:pStyle w:val="TOC1"/>
        <w:tabs>
          <w:tab w:val="right" w:leader="dot" w:pos="9350"/>
        </w:tabs>
        <w:rPr>
          <w:rFonts w:ascii="Arial" w:eastAsiaTheme="minorEastAsia" w:hAnsi="Arial" w:cs="Arial"/>
          <w:noProof/>
          <w:lang w:eastAsia="en-GB"/>
        </w:rPr>
      </w:pPr>
      <w:hyperlink w:anchor="_Toc131412131" w:history="1">
        <w:r w:rsidR="005D28BB" w:rsidRPr="005D28BB">
          <w:rPr>
            <w:rStyle w:val="Hyperlink"/>
            <w:rFonts w:ascii="Arial" w:hAnsi="Arial" w:cs="Arial"/>
            <w:noProof/>
          </w:rPr>
          <w:t>The maximum weekly means tested charge levied by the Council</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_Toc131412131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20</w:t>
        </w:r>
        <w:r w:rsidR="005D28BB" w:rsidRPr="005D28BB">
          <w:rPr>
            <w:rFonts w:ascii="Arial" w:hAnsi="Arial" w:cs="Arial"/>
            <w:noProof/>
            <w:webHidden/>
          </w:rPr>
          <w:fldChar w:fldCharType="end"/>
        </w:r>
      </w:hyperlink>
    </w:p>
    <w:p w:rsidR="005D28BB" w:rsidRPr="005D28BB" w:rsidRDefault="00FA3774">
      <w:pPr>
        <w:pStyle w:val="TOC1"/>
        <w:tabs>
          <w:tab w:val="right" w:leader="dot" w:pos="9350"/>
        </w:tabs>
        <w:rPr>
          <w:rFonts w:ascii="Arial" w:eastAsiaTheme="minorEastAsia" w:hAnsi="Arial" w:cs="Arial"/>
          <w:noProof/>
          <w:lang w:eastAsia="en-GB"/>
        </w:rPr>
      </w:pPr>
      <w:hyperlink w:anchor="_Toc131412132" w:history="1">
        <w:r w:rsidR="005D28BB" w:rsidRPr="005D28BB">
          <w:rPr>
            <w:rStyle w:val="Hyperlink"/>
            <w:rFonts w:ascii="Arial" w:hAnsi="Arial" w:cs="Arial"/>
            <w:noProof/>
          </w:rPr>
          <w:t>Appendix 6</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_Toc131412132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21</w:t>
        </w:r>
        <w:r w:rsidR="005D28BB" w:rsidRPr="005D28BB">
          <w:rPr>
            <w:rFonts w:ascii="Arial" w:hAnsi="Arial" w:cs="Arial"/>
            <w:noProof/>
            <w:webHidden/>
          </w:rPr>
          <w:fldChar w:fldCharType="end"/>
        </w:r>
      </w:hyperlink>
    </w:p>
    <w:p w:rsidR="005D28BB" w:rsidRPr="005D28BB" w:rsidRDefault="00FA3774">
      <w:pPr>
        <w:pStyle w:val="TOC1"/>
        <w:tabs>
          <w:tab w:val="right" w:leader="dot" w:pos="9350"/>
        </w:tabs>
        <w:rPr>
          <w:rFonts w:ascii="Arial" w:eastAsiaTheme="minorEastAsia" w:hAnsi="Arial" w:cs="Arial"/>
          <w:noProof/>
          <w:lang w:eastAsia="en-GB"/>
        </w:rPr>
      </w:pPr>
      <w:hyperlink w:anchor="_Toc131412133" w:history="1">
        <w:r w:rsidR="005D28BB" w:rsidRPr="005D28BB">
          <w:rPr>
            <w:rStyle w:val="Hyperlink"/>
            <w:rFonts w:ascii="Arial" w:hAnsi="Arial" w:cs="Arial"/>
            <w:noProof/>
          </w:rPr>
          <w:t>Worked Examples to explain how charges are calculated</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_Toc131412133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21</w:t>
        </w:r>
        <w:r w:rsidR="005D28BB" w:rsidRPr="005D28BB">
          <w:rPr>
            <w:rFonts w:ascii="Arial" w:hAnsi="Arial" w:cs="Arial"/>
            <w:noProof/>
            <w:webHidden/>
          </w:rPr>
          <w:fldChar w:fldCharType="end"/>
        </w:r>
      </w:hyperlink>
    </w:p>
    <w:p w:rsidR="005D28BB" w:rsidRPr="005D28BB" w:rsidRDefault="00FA3774">
      <w:pPr>
        <w:pStyle w:val="TOC1"/>
        <w:tabs>
          <w:tab w:val="right" w:leader="dot" w:pos="9350"/>
        </w:tabs>
        <w:rPr>
          <w:rFonts w:ascii="Arial" w:eastAsiaTheme="minorEastAsia" w:hAnsi="Arial" w:cs="Arial"/>
          <w:noProof/>
          <w:lang w:eastAsia="en-GB"/>
        </w:rPr>
      </w:pPr>
      <w:hyperlink w:anchor="_Toc131412134" w:history="1">
        <w:r w:rsidR="005D28BB" w:rsidRPr="005D28BB">
          <w:rPr>
            <w:rStyle w:val="Hyperlink"/>
            <w:rFonts w:ascii="Arial" w:hAnsi="Arial" w:cs="Arial"/>
            <w:noProof/>
          </w:rPr>
          <w:t>Example 1</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_Toc131412134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21</w:t>
        </w:r>
        <w:r w:rsidR="005D28BB" w:rsidRPr="005D28BB">
          <w:rPr>
            <w:rFonts w:ascii="Arial" w:hAnsi="Arial" w:cs="Arial"/>
            <w:noProof/>
            <w:webHidden/>
          </w:rPr>
          <w:fldChar w:fldCharType="end"/>
        </w:r>
      </w:hyperlink>
    </w:p>
    <w:p w:rsidR="005D28BB" w:rsidRPr="005D28BB" w:rsidRDefault="00FA3774">
      <w:pPr>
        <w:pStyle w:val="TOC1"/>
        <w:tabs>
          <w:tab w:val="right" w:leader="dot" w:pos="9350"/>
        </w:tabs>
        <w:rPr>
          <w:rFonts w:ascii="Arial" w:eastAsiaTheme="minorEastAsia" w:hAnsi="Arial" w:cs="Arial"/>
          <w:noProof/>
          <w:lang w:eastAsia="en-GB"/>
        </w:rPr>
      </w:pPr>
      <w:hyperlink w:anchor="_Toc131412135" w:history="1">
        <w:r w:rsidR="005D28BB" w:rsidRPr="005D28BB">
          <w:rPr>
            <w:rStyle w:val="Hyperlink"/>
            <w:rFonts w:ascii="Arial" w:hAnsi="Arial" w:cs="Arial"/>
            <w:noProof/>
          </w:rPr>
          <w:t>Example 2</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_Toc131412135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21</w:t>
        </w:r>
        <w:r w:rsidR="005D28BB" w:rsidRPr="005D28BB">
          <w:rPr>
            <w:rFonts w:ascii="Arial" w:hAnsi="Arial" w:cs="Arial"/>
            <w:noProof/>
            <w:webHidden/>
          </w:rPr>
          <w:fldChar w:fldCharType="end"/>
        </w:r>
      </w:hyperlink>
    </w:p>
    <w:p w:rsidR="005D28BB" w:rsidRPr="005D28BB" w:rsidRDefault="00FA3774">
      <w:pPr>
        <w:pStyle w:val="TOC1"/>
        <w:tabs>
          <w:tab w:val="right" w:leader="dot" w:pos="9350"/>
        </w:tabs>
        <w:rPr>
          <w:rFonts w:ascii="Arial" w:eastAsiaTheme="minorEastAsia" w:hAnsi="Arial" w:cs="Arial"/>
          <w:noProof/>
          <w:lang w:eastAsia="en-GB"/>
        </w:rPr>
      </w:pPr>
      <w:hyperlink w:anchor="_Toc131412136" w:history="1">
        <w:r w:rsidR="005D28BB" w:rsidRPr="005D28BB">
          <w:rPr>
            <w:rStyle w:val="Hyperlink"/>
            <w:rFonts w:ascii="Arial" w:hAnsi="Arial" w:cs="Arial"/>
            <w:noProof/>
          </w:rPr>
          <w:t>Example 3</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_Toc131412136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21</w:t>
        </w:r>
        <w:r w:rsidR="005D28BB" w:rsidRPr="005D28BB">
          <w:rPr>
            <w:rFonts w:ascii="Arial" w:hAnsi="Arial" w:cs="Arial"/>
            <w:noProof/>
            <w:webHidden/>
          </w:rPr>
          <w:fldChar w:fldCharType="end"/>
        </w:r>
      </w:hyperlink>
    </w:p>
    <w:p w:rsidR="005D28BB" w:rsidRPr="005D28BB" w:rsidRDefault="00FA3774">
      <w:pPr>
        <w:pStyle w:val="TOC1"/>
        <w:tabs>
          <w:tab w:val="right" w:leader="dot" w:pos="9350"/>
        </w:tabs>
        <w:rPr>
          <w:rFonts w:ascii="Arial" w:eastAsiaTheme="minorEastAsia" w:hAnsi="Arial" w:cs="Arial"/>
          <w:noProof/>
          <w:lang w:eastAsia="en-GB"/>
        </w:rPr>
      </w:pPr>
      <w:hyperlink w:anchor="_Toc131412137" w:history="1">
        <w:r w:rsidR="005D28BB" w:rsidRPr="005D28BB">
          <w:rPr>
            <w:rStyle w:val="Hyperlink"/>
            <w:rFonts w:ascii="Arial" w:hAnsi="Arial" w:cs="Arial"/>
            <w:noProof/>
          </w:rPr>
          <w:t>Appendix 7</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_Toc131412137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22</w:t>
        </w:r>
        <w:r w:rsidR="005D28BB" w:rsidRPr="005D28BB">
          <w:rPr>
            <w:rFonts w:ascii="Arial" w:hAnsi="Arial" w:cs="Arial"/>
            <w:noProof/>
            <w:webHidden/>
          </w:rPr>
          <w:fldChar w:fldCharType="end"/>
        </w:r>
      </w:hyperlink>
    </w:p>
    <w:p w:rsidR="005D28BB" w:rsidRPr="005D28BB" w:rsidRDefault="00FA3774">
      <w:pPr>
        <w:pStyle w:val="TOC1"/>
        <w:tabs>
          <w:tab w:val="right" w:leader="dot" w:pos="9350"/>
        </w:tabs>
        <w:rPr>
          <w:rFonts w:ascii="Arial" w:eastAsiaTheme="minorEastAsia" w:hAnsi="Arial" w:cs="Arial"/>
          <w:noProof/>
          <w:lang w:eastAsia="en-GB"/>
        </w:rPr>
      </w:pPr>
      <w:hyperlink w:anchor="_Toc131412138" w:history="1">
        <w:r w:rsidR="005D28BB" w:rsidRPr="005D28BB">
          <w:rPr>
            <w:rStyle w:val="Hyperlink"/>
            <w:rFonts w:ascii="Arial" w:hAnsi="Arial" w:cs="Arial"/>
            <w:noProof/>
          </w:rPr>
          <w:t>Worked Examples of Non-Residential Social Care Service Charges 2022/2023</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_Toc131412138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22</w:t>
        </w:r>
        <w:r w:rsidR="005D28BB" w:rsidRPr="005D28BB">
          <w:rPr>
            <w:rFonts w:ascii="Arial" w:hAnsi="Arial" w:cs="Arial"/>
            <w:noProof/>
            <w:webHidden/>
          </w:rPr>
          <w:fldChar w:fldCharType="end"/>
        </w:r>
      </w:hyperlink>
    </w:p>
    <w:p w:rsidR="005D28BB" w:rsidRPr="005D28BB" w:rsidRDefault="00FA3774">
      <w:pPr>
        <w:pStyle w:val="TOC1"/>
        <w:tabs>
          <w:tab w:val="right" w:leader="dot" w:pos="9350"/>
        </w:tabs>
        <w:rPr>
          <w:rFonts w:ascii="Arial" w:eastAsiaTheme="minorEastAsia" w:hAnsi="Arial" w:cs="Arial"/>
          <w:noProof/>
          <w:lang w:eastAsia="en-GB"/>
        </w:rPr>
      </w:pPr>
      <w:hyperlink w:anchor="_Toc131412139" w:history="1">
        <w:r w:rsidR="005D28BB" w:rsidRPr="005D28BB">
          <w:rPr>
            <w:rStyle w:val="Hyperlink"/>
            <w:rFonts w:ascii="Arial" w:hAnsi="Arial" w:cs="Arial"/>
            <w:noProof/>
            <w:u w:color="000000"/>
          </w:rPr>
          <w:t>Appendix 8</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_Toc131412139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23</w:t>
        </w:r>
        <w:r w:rsidR="005D28BB" w:rsidRPr="005D28BB">
          <w:rPr>
            <w:rFonts w:ascii="Arial" w:hAnsi="Arial" w:cs="Arial"/>
            <w:noProof/>
            <w:webHidden/>
          </w:rPr>
          <w:fldChar w:fldCharType="end"/>
        </w:r>
      </w:hyperlink>
    </w:p>
    <w:p w:rsidR="005D28BB" w:rsidRPr="005D28BB" w:rsidRDefault="00FA3774">
      <w:pPr>
        <w:pStyle w:val="TOC1"/>
        <w:tabs>
          <w:tab w:val="right" w:leader="dot" w:pos="9350"/>
        </w:tabs>
        <w:rPr>
          <w:rFonts w:ascii="Arial" w:eastAsiaTheme="minorEastAsia" w:hAnsi="Arial" w:cs="Arial"/>
          <w:noProof/>
          <w:lang w:eastAsia="en-GB"/>
        </w:rPr>
      </w:pPr>
      <w:hyperlink w:anchor="_Toc131412140" w:history="1">
        <w:r w:rsidR="005D28BB" w:rsidRPr="005D28BB">
          <w:rPr>
            <w:rStyle w:val="Hyperlink"/>
            <w:rFonts w:ascii="Arial" w:hAnsi="Arial" w:cs="Arial"/>
            <w:noProof/>
          </w:rPr>
          <w:t>Residential</w:t>
        </w:r>
        <w:r w:rsidR="005D28BB" w:rsidRPr="005D28BB">
          <w:rPr>
            <w:rStyle w:val="Hyperlink"/>
            <w:rFonts w:ascii="Arial" w:hAnsi="Arial" w:cs="Arial"/>
            <w:noProof/>
            <w:spacing w:val="-12"/>
          </w:rPr>
          <w:t xml:space="preserve"> </w:t>
        </w:r>
        <w:r w:rsidR="005D28BB" w:rsidRPr="005D28BB">
          <w:rPr>
            <w:rStyle w:val="Hyperlink"/>
            <w:rFonts w:ascii="Arial" w:hAnsi="Arial" w:cs="Arial"/>
            <w:noProof/>
          </w:rPr>
          <w:t>Care</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_Toc131412140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23</w:t>
        </w:r>
        <w:r w:rsidR="005D28BB" w:rsidRPr="005D28BB">
          <w:rPr>
            <w:rFonts w:ascii="Arial" w:hAnsi="Arial" w:cs="Arial"/>
            <w:noProof/>
            <w:webHidden/>
          </w:rPr>
          <w:fldChar w:fldCharType="end"/>
        </w:r>
      </w:hyperlink>
    </w:p>
    <w:p w:rsidR="005D28BB" w:rsidRPr="005D28BB" w:rsidRDefault="00FA3774">
      <w:pPr>
        <w:pStyle w:val="TOC1"/>
        <w:tabs>
          <w:tab w:val="right" w:leader="dot" w:pos="9350"/>
        </w:tabs>
        <w:rPr>
          <w:rFonts w:ascii="Arial" w:eastAsiaTheme="minorEastAsia" w:hAnsi="Arial" w:cs="Arial"/>
          <w:noProof/>
          <w:lang w:eastAsia="en-GB"/>
        </w:rPr>
      </w:pPr>
      <w:hyperlink w:anchor="_Toc131412141" w:history="1">
        <w:r w:rsidR="005D28BB" w:rsidRPr="005D28BB">
          <w:rPr>
            <w:rStyle w:val="Hyperlink"/>
            <w:rFonts w:ascii="Arial" w:hAnsi="Arial" w:cs="Arial"/>
            <w:noProof/>
          </w:rPr>
          <w:t>Appendix 9</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_Toc131412141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23</w:t>
        </w:r>
        <w:r w:rsidR="005D28BB" w:rsidRPr="005D28BB">
          <w:rPr>
            <w:rFonts w:ascii="Arial" w:hAnsi="Arial" w:cs="Arial"/>
            <w:noProof/>
            <w:webHidden/>
          </w:rPr>
          <w:fldChar w:fldCharType="end"/>
        </w:r>
      </w:hyperlink>
    </w:p>
    <w:p w:rsidR="005D28BB" w:rsidRPr="005D28BB" w:rsidRDefault="00FA3774">
      <w:pPr>
        <w:pStyle w:val="TOC1"/>
        <w:tabs>
          <w:tab w:val="right" w:leader="dot" w:pos="9350"/>
        </w:tabs>
        <w:rPr>
          <w:rFonts w:ascii="Arial" w:eastAsiaTheme="minorEastAsia" w:hAnsi="Arial" w:cs="Arial"/>
          <w:noProof/>
          <w:lang w:eastAsia="en-GB"/>
        </w:rPr>
      </w:pPr>
      <w:hyperlink w:anchor="_Toc131412142" w:history="1">
        <w:r w:rsidR="005D28BB" w:rsidRPr="005D28BB">
          <w:rPr>
            <w:rStyle w:val="Hyperlink"/>
            <w:rFonts w:ascii="Arial" w:hAnsi="Arial" w:cs="Arial"/>
            <w:noProof/>
          </w:rPr>
          <w:t>Additional Information and Resources</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_Toc131412142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23</w:t>
        </w:r>
        <w:r w:rsidR="005D28BB" w:rsidRPr="005D28BB">
          <w:rPr>
            <w:rFonts w:ascii="Arial" w:hAnsi="Arial" w:cs="Arial"/>
            <w:noProof/>
            <w:webHidden/>
          </w:rPr>
          <w:fldChar w:fldCharType="end"/>
        </w:r>
      </w:hyperlink>
    </w:p>
    <w:p w:rsidR="005D28BB" w:rsidRPr="005D28BB" w:rsidRDefault="00FA3774">
      <w:pPr>
        <w:pStyle w:val="TOC1"/>
        <w:tabs>
          <w:tab w:val="right" w:leader="dot" w:pos="9350"/>
        </w:tabs>
        <w:rPr>
          <w:rFonts w:ascii="Arial" w:eastAsiaTheme="minorEastAsia" w:hAnsi="Arial" w:cs="Arial"/>
          <w:noProof/>
          <w:lang w:eastAsia="en-GB"/>
        </w:rPr>
      </w:pPr>
      <w:hyperlink w:anchor="_Toc131412143" w:history="1">
        <w:r w:rsidR="005D28BB" w:rsidRPr="005D28BB">
          <w:rPr>
            <w:rStyle w:val="Hyperlink"/>
            <w:rFonts w:ascii="Arial" w:hAnsi="Arial" w:cs="Arial"/>
            <w:noProof/>
            <w:u w:color="0000FF"/>
          </w:rPr>
          <w:t>Appendix 10</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_Toc131412143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24</w:t>
        </w:r>
        <w:r w:rsidR="005D28BB" w:rsidRPr="005D28BB">
          <w:rPr>
            <w:rFonts w:ascii="Arial" w:hAnsi="Arial" w:cs="Arial"/>
            <w:noProof/>
            <w:webHidden/>
          </w:rPr>
          <w:fldChar w:fldCharType="end"/>
        </w:r>
      </w:hyperlink>
    </w:p>
    <w:p w:rsidR="005D28BB" w:rsidRPr="005D28BB" w:rsidRDefault="00FA3774">
      <w:pPr>
        <w:pStyle w:val="TOC1"/>
        <w:tabs>
          <w:tab w:val="right" w:leader="dot" w:pos="9350"/>
        </w:tabs>
        <w:rPr>
          <w:rFonts w:ascii="Arial" w:eastAsiaTheme="minorEastAsia" w:hAnsi="Arial" w:cs="Arial"/>
          <w:noProof/>
          <w:lang w:eastAsia="en-GB"/>
        </w:rPr>
      </w:pPr>
      <w:hyperlink w:anchor="_Toc131412144" w:history="1">
        <w:r w:rsidR="005D28BB" w:rsidRPr="005D28BB">
          <w:rPr>
            <w:rStyle w:val="Hyperlink"/>
            <w:rFonts w:ascii="Arial" w:hAnsi="Arial" w:cs="Arial"/>
            <w:noProof/>
          </w:rPr>
          <w:t>Service Definitions</w:t>
        </w:r>
        <w:r w:rsidR="005D28BB" w:rsidRPr="005D28BB">
          <w:rPr>
            <w:rFonts w:ascii="Arial" w:hAnsi="Arial" w:cs="Arial"/>
            <w:noProof/>
            <w:webHidden/>
          </w:rPr>
          <w:tab/>
        </w:r>
        <w:r w:rsidR="005D28BB" w:rsidRPr="005D28BB">
          <w:rPr>
            <w:rFonts w:ascii="Arial" w:hAnsi="Arial" w:cs="Arial"/>
            <w:noProof/>
            <w:webHidden/>
          </w:rPr>
          <w:fldChar w:fldCharType="begin"/>
        </w:r>
        <w:r w:rsidR="005D28BB" w:rsidRPr="005D28BB">
          <w:rPr>
            <w:rFonts w:ascii="Arial" w:hAnsi="Arial" w:cs="Arial"/>
            <w:noProof/>
            <w:webHidden/>
          </w:rPr>
          <w:instrText xml:space="preserve"> PAGEREF _Toc131412144 \h </w:instrText>
        </w:r>
        <w:r w:rsidR="005D28BB" w:rsidRPr="005D28BB">
          <w:rPr>
            <w:rFonts w:ascii="Arial" w:hAnsi="Arial" w:cs="Arial"/>
            <w:noProof/>
            <w:webHidden/>
          </w:rPr>
        </w:r>
        <w:r w:rsidR="005D28BB" w:rsidRPr="005D28BB">
          <w:rPr>
            <w:rFonts w:ascii="Arial" w:hAnsi="Arial" w:cs="Arial"/>
            <w:noProof/>
            <w:webHidden/>
          </w:rPr>
          <w:fldChar w:fldCharType="separate"/>
        </w:r>
        <w:r w:rsidR="005D28BB" w:rsidRPr="005D28BB">
          <w:rPr>
            <w:rFonts w:ascii="Arial" w:hAnsi="Arial" w:cs="Arial"/>
            <w:noProof/>
            <w:webHidden/>
          </w:rPr>
          <w:t>24</w:t>
        </w:r>
        <w:r w:rsidR="005D28BB" w:rsidRPr="005D28BB">
          <w:rPr>
            <w:rFonts w:ascii="Arial" w:hAnsi="Arial" w:cs="Arial"/>
            <w:noProof/>
            <w:webHidden/>
          </w:rPr>
          <w:fldChar w:fldCharType="end"/>
        </w:r>
      </w:hyperlink>
    </w:p>
    <w:p w:rsidR="00E47405" w:rsidRPr="00A86E9F" w:rsidRDefault="00E55DA5" w:rsidP="00E47405">
      <w:pPr>
        <w:rPr>
          <w:rFonts w:cs="Arial"/>
        </w:rPr>
      </w:pPr>
      <w:r w:rsidRPr="00434A2A">
        <w:rPr>
          <w:rFonts w:cs="Arial"/>
          <w:b/>
        </w:rPr>
        <w:fldChar w:fldCharType="end"/>
      </w:r>
      <w:r w:rsidR="00E47405" w:rsidRPr="00A86E9F">
        <w:rPr>
          <w:rFonts w:cs="Arial"/>
        </w:rPr>
        <w:br w:type="page"/>
      </w:r>
    </w:p>
    <w:p w:rsidR="00E47405" w:rsidRPr="00CB6C16" w:rsidRDefault="00E47405" w:rsidP="00FE4A68">
      <w:pPr>
        <w:pStyle w:val="Heading1"/>
        <w:keepLines/>
        <w:numPr>
          <w:ilvl w:val="0"/>
          <w:numId w:val="6"/>
        </w:numPr>
        <w:spacing w:before="480" w:line="276" w:lineRule="auto"/>
        <w:rPr>
          <w:u w:val="single"/>
        </w:rPr>
      </w:pPr>
      <w:bookmarkStart w:id="0" w:name="_Toc131412089"/>
      <w:r w:rsidRPr="00CB6C16">
        <w:rPr>
          <w:u w:val="single"/>
        </w:rPr>
        <w:lastRenderedPageBreak/>
        <w:t>Introduction</w:t>
      </w:r>
      <w:bookmarkEnd w:id="0"/>
    </w:p>
    <w:p w:rsidR="00E47405" w:rsidRDefault="00E47405" w:rsidP="00E47405">
      <w:pPr>
        <w:pStyle w:val="BodyText"/>
      </w:pPr>
    </w:p>
    <w:p w:rsidR="00E47405" w:rsidRPr="0068308D" w:rsidRDefault="00E47405" w:rsidP="00E47405">
      <w:pPr>
        <w:pStyle w:val="BodyText"/>
        <w:rPr>
          <w:rFonts w:asciiTheme="majorHAnsi" w:hAnsiTheme="majorHAnsi"/>
        </w:rPr>
      </w:pPr>
      <w:r w:rsidRPr="00EF1911">
        <w:t>West Dunbartonshire Health and Social Care Partnership (hereafter referred to as HSCP) in partnership with West Dunbartonshire Council aims to support all of our citizens to live at home</w:t>
      </w:r>
      <w:r>
        <w:t xml:space="preserve"> or in a homely setting</w:t>
      </w:r>
      <w:r w:rsidRPr="00EF1911">
        <w:t xml:space="preserve"> independently, safely and for as long as possible.  </w:t>
      </w:r>
      <w:r w:rsidRPr="00EF1911">
        <w:rPr>
          <w:spacing w:val="-1"/>
        </w:rPr>
        <w:t>The</w:t>
      </w:r>
      <w:r w:rsidRPr="00EF1911">
        <w:rPr>
          <w:spacing w:val="-5"/>
        </w:rPr>
        <w:t xml:space="preserve"> </w:t>
      </w:r>
      <w:r w:rsidRPr="00EF1911">
        <w:t xml:space="preserve">Council’s </w:t>
      </w:r>
      <w:r w:rsidRPr="00EF1911">
        <w:rPr>
          <w:spacing w:val="-8"/>
        </w:rPr>
        <w:t>Non</w:t>
      </w:r>
      <w:r w:rsidRPr="00EF1911">
        <w:t>-Residential</w:t>
      </w:r>
      <w:r w:rsidRPr="00EF1911">
        <w:rPr>
          <w:spacing w:val="-17"/>
        </w:rPr>
        <w:t xml:space="preserve"> </w:t>
      </w:r>
      <w:r w:rsidRPr="00EF1911">
        <w:t>Charging</w:t>
      </w:r>
      <w:r w:rsidRPr="00EF1911">
        <w:rPr>
          <w:spacing w:val="-12"/>
        </w:rPr>
        <w:t xml:space="preserve"> </w:t>
      </w:r>
      <w:r w:rsidRPr="00EF1911">
        <w:t>Policy</w:t>
      </w:r>
      <w:r w:rsidRPr="00EF1911">
        <w:rPr>
          <w:spacing w:val="-8"/>
        </w:rPr>
        <w:t xml:space="preserve"> </w:t>
      </w:r>
      <w:r w:rsidRPr="00EF1911">
        <w:rPr>
          <w:spacing w:val="-1"/>
        </w:rPr>
        <w:t>sets</w:t>
      </w:r>
      <w:r w:rsidRPr="00EF1911">
        <w:t xml:space="preserve"> out the</w:t>
      </w:r>
      <w:r w:rsidRPr="00EF1911">
        <w:rPr>
          <w:spacing w:val="49"/>
        </w:rPr>
        <w:t xml:space="preserve"> </w:t>
      </w:r>
      <w:r w:rsidRPr="00EF1911">
        <w:t>legislative background</w:t>
      </w:r>
      <w:r w:rsidRPr="00EF1911">
        <w:rPr>
          <w:spacing w:val="-5"/>
        </w:rPr>
        <w:t xml:space="preserve"> </w:t>
      </w:r>
      <w:r w:rsidRPr="00EF1911">
        <w:t xml:space="preserve">to charges </w:t>
      </w:r>
      <w:r w:rsidRPr="00EF1911">
        <w:rPr>
          <w:spacing w:val="-1"/>
        </w:rPr>
        <w:t xml:space="preserve">for </w:t>
      </w:r>
      <w:r w:rsidRPr="00EF1911">
        <w:t>non-residential</w:t>
      </w:r>
      <w:r w:rsidRPr="00EF1911">
        <w:rPr>
          <w:spacing w:val="-1"/>
        </w:rPr>
        <w:t xml:space="preserve"> </w:t>
      </w:r>
      <w:r w:rsidRPr="00EF1911">
        <w:t xml:space="preserve">social </w:t>
      </w:r>
      <w:r w:rsidRPr="00EF1911">
        <w:rPr>
          <w:spacing w:val="-1"/>
        </w:rPr>
        <w:t>care</w:t>
      </w:r>
      <w:r w:rsidRPr="00EF1911">
        <w:t xml:space="preserve"> </w:t>
      </w:r>
      <w:r w:rsidRPr="00EF1911">
        <w:rPr>
          <w:spacing w:val="-1"/>
        </w:rPr>
        <w:t>services,</w:t>
      </w:r>
      <w:r w:rsidRPr="00EF1911">
        <w:t xml:space="preserve"> </w:t>
      </w:r>
      <w:r w:rsidRPr="00EF1911">
        <w:rPr>
          <w:spacing w:val="-1"/>
        </w:rPr>
        <w:t>and</w:t>
      </w:r>
      <w:r w:rsidRPr="00EF1911">
        <w:rPr>
          <w:spacing w:val="40"/>
        </w:rPr>
        <w:t xml:space="preserve"> </w:t>
      </w:r>
      <w:r w:rsidRPr="00EF1911">
        <w:t>describes</w:t>
      </w:r>
      <w:r w:rsidRPr="00EF1911">
        <w:rPr>
          <w:spacing w:val="-1"/>
        </w:rPr>
        <w:t xml:space="preserve"> the </w:t>
      </w:r>
      <w:r w:rsidRPr="00EF1911">
        <w:t>services</w:t>
      </w:r>
      <w:r w:rsidRPr="00EF1911">
        <w:rPr>
          <w:spacing w:val="1"/>
        </w:rPr>
        <w:t xml:space="preserve"> </w:t>
      </w:r>
      <w:r>
        <w:t>for</w:t>
      </w:r>
      <w:r w:rsidRPr="00EF1911">
        <w:t xml:space="preserve"> which</w:t>
      </w:r>
      <w:r w:rsidRPr="00EF1911">
        <w:rPr>
          <w:spacing w:val="-1"/>
        </w:rPr>
        <w:t xml:space="preserve"> </w:t>
      </w:r>
      <w:r w:rsidRPr="00EF1911">
        <w:t>charges</w:t>
      </w:r>
      <w:r>
        <w:t xml:space="preserve"> may</w:t>
      </w:r>
      <w:r w:rsidRPr="00EF1911">
        <w:rPr>
          <w:spacing w:val="-3"/>
        </w:rPr>
        <w:t xml:space="preserve"> </w:t>
      </w:r>
      <w:r>
        <w:rPr>
          <w:spacing w:val="-1"/>
        </w:rPr>
        <w:t xml:space="preserve">apply.  </w:t>
      </w:r>
      <w:r w:rsidRPr="00EF1911">
        <w:t xml:space="preserve">This charging policy complies with the </w:t>
      </w:r>
      <w:hyperlink r:id="rId9" w:history="1">
        <w:r w:rsidRPr="000A4F03">
          <w:rPr>
            <w:rStyle w:val="Hyperlink"/>
            <w:rFonts w:eastAsiaTheme="majorEastAsia"/>
          </w:rPr>
          <w:t>COSLA (Convention of Scottish Local Authorities) National Strategy and Guidance on Charges Applying to Non-Residential Social Care Services</w:t>
        </w:r>
      </w:hyperlink>
      <w:r w:rsidRPr="00EF1911">
        <w:rPr>
          <w:rStyle w:val="FootnoteReference"/>
          <w:rFonts w:eastAsiaTheme="majorEastAsia"/>
        </w:rPr>
        <w:footnoteReference w:id="1"/>
      </w:r>
      <w:r w:rsidRPr="00EF1911">
        <w:t xml:space="preserve"> and the </w:t>
      </w:r>
      <w:hyperlink r:id="rId10" w:history="1">
        <w:r w:rsidRPr="009C0E76">
          <w:rPr>
            <w:rStyle w:val="Hyperlink"/>
            <w:rFonts w:eastAsiaTheme="majorEastAsia"/>
          </w:rPr>
          <w:t>Social Work (Scotland) Act 1968 Section 87</w:t>
        </w:r>
      </w:hyperlink>
      <w:r>
        <w:rPr>
          <w:rStyle w:val="FootnoteReference"/>
          <w:rFonts w:eastAsiaTheme="majorEastAsia"/>
        </w:rPr>
        <w:footnoteReference w:id="2"/>
      </w:r>
      <w:r w:rsidRPr="00EF1911">
        <w:t xml:space="preserve">, which sets out the powers local authorities, </w:t>
      </w:r>
      <w:r>
        <w:t>can use to</w:t>
      </w:r>
      <w:r w:rsidRPr="00EF1911">
        <w:t xml:space="preserve"> charge for a range of non-residential services</w:t>
      </w:r>
      <w:r>
        <w:t>.</w:t>
      </w:r>
    </w:p>
    <w:p w:rsidR="00E47405" w:rsidRPr="00CB6C16" w:rsidRDefault="00E47405" w:rsidP="00FE4A68">
      <w:pPr>
        <w:pStyle w:val="Heading1"/>
        <w:keepLines/>
        <w:numPr>
          <w:ilvl w:val="0"/>
          <w:numId w:val="6"/>
        </w:numPr>
        <w:spacing w:before="480" w:line="276" w:lineRule="auto"/>
        <w:rPr>
          <w:u w:val="single"/>
        </w:rPr>
      </w:pPr>
      <w:bookmarkStart w:id="1" w:name="_Toc131412090"/>
      <w:r w:rsidRPr="00CB6C16">
        <w:rPr>
          <w:u w:val="single"/>
        </w:rPr>
        <w:t>Purpose of Document</w:t>
      </w:r>
      <w:bookmarkEnd w:id="1"/>
    </w:p>
    <w:p w:rsidR="00E47405" w:rsidRPr="00131173" w:rsidRDefault="00E47405" w:rsidP="00E47405"/>
    <w:p w:rsidR="00E47405" w:rsidRDefault="00E47405" w:rsidP="00E47405">
      <w:pPr>
        <w:pStyle w:val="BodyText"/>
      </w:pPr>
      <w:r w:rsidRPr="00D014B1">
        <w:t>This document sets out the Council’s Social Work Services (as delivered by the HSCP) Charging Policy.  Due to the complexities of Residential care charging, this document will concentrate o</w:t>
      </w:r>
      <w:r>
        <w:t>n</w:t>
      </w:r>
      <w:r w:rsidRPr="00D014B1">
        <w:t xml:space="preserve"> Non-Residential Charging.</w:t>
      </w:r>
      <w:r>
        <w:t xml:space="preserve">  However, some signposting relating to information on</w:t>
      </w:r>
      <w:r w:rsidRPr="00D014B1">
        <w:t xml:space="preserve"> </w:t>
      </w:r>
      <w:r>
        <w:t>Residential Care charging can be found in the appendix.</w:t>
      </w:r>
    </w:p>
    <w:p w:rsidR="00E47405" w:rsidRPr="00CB6C16" w:rsidRDefault="00E47405" w:rsidP="00FE4A68">
      <w:pPr>
        <w:pStyle w:val="Heading1"/>
        <w:keepLines/>
        <w:numPr>
          <w:ilvl w:val="0"/>
          <w:numId w:val="6"/>
        </w:numPr>
        <w:spacing w:before="480" w:line="276" w:lineRule="auto"/>
        <w:rPr>
          <w:u w:val="single"/>
        </w:rPr>
      </w:pPr>
      <w:bookmarkStart w:id="2" w:name="_Toc131412091"/>
      <w:r w:rsidRPr="00CB6C16">
        <w:rPr>
          <w:u w:val="single"/>
        </w:rPr>
        <w:t>Background</w:t>
      </w:r>
      <w:bookmarkEnd w:id="2"/>
    </w:p>
    <w:p w:rsidR="00E47405" w:rsidRDefault="00E47405" w:rsidP="00E47405"/>
    <w:p w:rsidR="00E47405" w:rsidRDefault="00E47405" w:rsidP="00E47405">
      <w:pPr>
        <w:pStyle w:val="BodyText"/>
      </w:pPr>
      <w:r>
        <w:t>The Charging Policy complies with the COSLA guidance to help the HSCP determine</w:t>
      </w:r>
      <w:r w:rsidRPr="00B25FB0">
        <w:t xml:space="preserve"> whether to charge a person for social care</w:t>
      </w:r>
      <w:r>
        <w:t xml:space="preserve"> support and in calculating how much this charge may be.  </w:t>
      </w:r>
      <w:r w:rsidRPr="00B25FB0">
        <w:t xml:space="preserve">The </w:t>
      </w:r>
      <w:r>
        <w:t>COSLA g</w:t>
      </w:r>
      <w:r w:rsidRPr="00B25FB0">
        <w:t xml:space="preserve">uidance describes a number of best practice steps that should be taken when developing </w:t>
      </w:r>
      <w:r>
        <w:t xml:space="preserve">a </w:t>
      </w:r>
      <w:r w:rsidRPr="00B25FB0">
        <w:t>local charging policy, taking into consideration the full range of lega</w:t>
      </w:r>
      <w:r>
        <w:t xml:space="preserve">l, financial and policy drivers and these have all been considered when this Charging Policy has been written. </w:t>
      </w:r>
    </w:p>
    <w:p w:rsidR="00E47405" w:rsidRDefault="00E47405" w:rsidP="00E47405">
      <w:pPr>
        <w:pStyle w:val="BodyText"/>
      </w:pPr>
    </w:p>
    <w:p w:rsidR="00E47405" w:rsidRPr="00447237" w:rsidRDefault="00E47405" w:rsidP="00E47405">
      <w:pPr>
        <w:pStyle w:val="BodyText"/>
        <w:rPr>
          <w:spacing w:val="-2"/>
        </w:rPr>
      </w:pPr>
      <w:r>
        <w:t>T</w:t>
      </w:r>
      <w:r w:rsidRPr="0068308D">
        <w:t xml:space="preserve">his policy will apply equally to all service users regardless of the delivery mechanism(s) deployed, with the principles of </w:t>
      </w:r>
      <w:hyperlink r:id="rId11" w:history="1">
        <w:r w:rsidRPr="009C0E76">
          <w:rPr>
            <w:rStyle w:val="Hyperlink"/>
            <w:rFonts w:eastAsiaTheme="majorEastAsia"/>
          </w:rPr>
          <w:t>Self Directed Support (The Social Care (Self-Directed Support) (Scotland) Act 2013)</w:t>
        </w:r>
      </w:hyperlink>
      <w:r w:rsidRPr="0068308D">
        <w:t xml:space="preserve"> at the centre of </w:t>
      </w:r>
      <w:r>
        <w:t xml:space="preserve">the </w:t>
      </w:r>
      <w:r w:rsidRPr="0068308D">
        <w:t>assessment process to ensure choice and control of people with eligible support ne</w:t>
      </w:r>
      <w:r>
        <w:t xml:space="preserve">eds.  </w:t>
      </w:r>
    </w:p>
    <w:p w:rsidR="00E47405" w:rsidRPr="004F152D" w:rsidRDefault="00E47405" w:rsidP="00E47405">
      <w:pPr>
        <w:pStyle w:val="BodyText"/>
      </w:pPr>
      <w:r w:rsidRPr="004F152D">
        <w:t>The</w:t>
      </w:r>
      <w:r>
        <w:t xml:space="preserve"> SDS options are</w:t>
      </w:r>
      <w:r w:rsidRPr="004F152D">
        <w:t>:</w:t>
      </w:r>
    </w:p>
    <w:p w:rsidR="00E47405" w:rsidRPr="004F152D" w:rsidRDefault="004E67E4" w:rsidP="00FE4A68">
      <w:pPr>
        <w:pStyle w:val="BodyText"/>
        <w:numPr>
          <w:ilvl w:val="0"/>
          <w:numId w:val="22"/>
        </w:numPr>
        <w:autoSpaceDE w:val="0"/>
        <w:autoSpaceDN w:val="0"/>
        <w:adjustRightInd w:val="0"/>
        <w:spacing w:after="0"/>
        <w:rPr>
          <w:spacing w:val="-2"/>
        </w:rPr>
      </w:pPr>
      <w:r w:rsidRPr="004F152D">
        <w:rPr>
          <w:spacing w:val="-2"/>
        </w:rPr>
        <w:t>Direct payments to service users to enable them to arrange their own care in line with agreed personal outcomes;</w:t>
      </w:r>
      <w:r>
        <w:rPr>
          <w:spacing w:val="-2"/>
        </w:rPr>
        <w:t xml:space="preserve"> </w:t>
      </w:r>
    </w:p>
    <w:p w:rsidR="00E47405" w:rsidRPr="004F152D" w:rsidRDefault="00E47405" w:rsidP="00FE4A68">
      <w:pPr>
        <w:pStyle w:val="BodyText"/>
        <w:numPr>
          <w:ilvl w:val="0"/>
          <w:numId w:val="22"/>
        </w:numPr>
        <w:autoSpaceDE w:val="0"/>
        <w:autoSpaceDN w:val="0"/>
        <w:adjustRightInd w:val="0"/>
        <w:spacing w:after="0"/>
        <w:rPr>
          <w:spacing w:val="-2"/>
        </w:rPr>
      </w:pPr>
      <w:r w:rsidRPr="004F152D">
        <w:rPr>
          <w:spacing w:val="-2"/>
        </w:rPr>
        <w:t xml:space="preserve">Indirect service delivery through services commissioned from the private and voluntary sectors by the HSCP on the service user’s behalf; </w:t>
      </w:r>
    </w:p>
    <w:p w:rsidR="00E47405" w:rsidRPr="004F152D" w:rsidRDefault="004E67E4" w:rsidP="00FE4A68">
      <w:pPr>
        <w:pStyle w:val="BodyText"/>
        <w:numPr>
          <w:ilvl w:val="0"/>
          <w:numId w:val="22"/>
        </w:numPr>
        <w:autoSpaceDE w:val="0"/>
        <w:autoSpaceDN w:val="0"/>
        <w:adjustRightInd w:val="0"/>
        <w:spacing w:after="0"/>
        <w:rPr>
          <w:spacing w:val="-2"/>
        </w:rPr>
      </w:pPr>
      <w:r w:rsidRPr="004F152D">
        <w:rPr>
          <w:spacing w:val="-2"/>
        </w:rPr>
        <w:t>Direct service delivery by HSCP staff;</w:t>
      </w:r>
      <w:r>
        <w:rPr>
          <w:spacing w:val="-2"/>
        </w:rPr>
        <w:t xml:space="preserve"> </w:t>
      </w:r>
      <w:r w:rsidR="00E47405">
        <w:rPr>
          <w:spacing w:val="-2"/>
        </w:rPr>
        <w:t>or</w:t>
      </w:r>
    </w:p>
    <w:p w:rsidR="00E47405" w:rsidRPr="004F152D" w:rsidRDefault="00E47405" w:rsidP="00FE4A68">
      <w:pPr>
        <w:pStyle w:val="BodyText"/>
        <w:numPr>
          <w:ilvl w:val="0"/>
          <w:numId w:val="22"/>
        </w:numPr>
        <w:autoSpaceDE w:val="0"/>
        <w:autoSpaceDN w:val="0"/>
        <w:adjustRightInd w:val="0"/>
        <w:spacing w:after="0"/>
        <w:rPr>
          <w:spacing w:val="-2"/>
        </w:rPr>
      </w:pPr>
      <w:r>
        <w:rPr>
          <w:spacing w:val="-2"/>
        </w:rPr>
        <w:t>A</w:t>
      </w:r>
      <w:r w:rsidRPr="004F152D">
        <w:rPr>
          <w:spacing w:val="-2"/>
        </w:rPr>
        <w:t xml:space="preserve"> mix of the above options for different types of support.</w:t>
      </w:r>
    </w:p>
    <w:p w:rsidR="00E47405" w:rsidRDefault="00E47405" w:rsidP="00E47405">
      <w:pPr>
        <w:pStyle w:val="BodyText"/>
        <w:rPr>
          <w:spacing w:val="-2"/>
        </w:rPr>
      </w:pPr>
    </w:p>
    <w:p w:rsidR="00E47405" w:rsidRDefault="00E47405" w:rsidP="00E47405">
      <w:pPr>
        <w:pStyle w:val="BodyText"/>
        <w:rPr>
          <w:spacing w:val="-2"/>
        </w:rPr>
      </w:pPr>
      <w:r>
        <w:rPr>
          <w:spacing w:val="-2"/>
        </w:rPr>
        <w:t>All charges will be reviewed annually and reflect any changes to a service users income through the Financial Assessment and Income Maximisation process.</w:t>
      </w:r>
    </w:p>
    <w:p w:rsidR="00E47405" w:rsidRPr="00CB6C16" w:rsidRDefault="00E47405" w:rsidP="00447237">
      <w:pPr>
        <w:pStyle w:val="Heading1"/>
        <w:keepLines/>
        <w:numPr>
          <w:ilvl w:val="1"/>
          <w:numId w:val="6"/>
        </w:numPr>
        <w:spacing w:before="480" w:line="276" w:lineRule="auto"/>
        <w:rPr>
          <w:u w:val="single"/>
        </w:rPr>
      </w:pPr>
      <w:bookmarkStart w:id="3" w:name="_Toc131412092"/>
      <w:r w:rsidRPr="00CB6C16">
        <w:rPr>
          <w:u w:val="single"/>
        </w:rPr>
        <w:t>Aims of the Charging Policy</w:t>
      </w:r>
      <w:bookmarkEnd w:id="3"/>
      <w:r w:rsidRPr="00CB6C16">
        <w:rPr>
          <w:u w:val="single"/>
        </w:rPr>
        <w:t xml:space="preserve"> </w:t>
      </w:r>
    </w:p>
    <w:p w:rsidR="00447237" w:rsidRPr="00447237" w:rsidRDefault="00447237" w:rsidP="00447237">
      <w:pPr>
        <w:rPr>
          <w:lang w:eastAsia="en-GB"/>
        </w:rPr>
      </w:pPr>
    </w:p>
    <w:p w:rsidR="00E47405" w:rsidRDefault="00E47405" w:rsidP="00AE4F15">
      <w:pPr>
        <w:pStyle w:val="BodyText"/>
        <w:widowControl w:val="0"/>
        <w:tabs>
          <w:tab w:val="left" w:pos="709"/>
        </w:tabs>
        <w:spacing w:after="0"/>
        <w:ind w:left="720" w:right="617" w:hanging="720"/>
        <w:rPr>
          <w:spacing w:val="-2"/>
        </w:rPr>
      </w:pPr>
      <w:r>
        <w:rPr>
          <w:spacing w:val="-2"/>
        </w:rPr>
        <w:t>The main aims of the charging policy are:</w:t>
      </w:r>
    </w:p>
    <w:p w:rsidR="00E47405" w:rsidRPr="00413D24" w:rsidRDefault="00E47405" w:rsidP="00AE4F15">
      <w:pPr>
        <w:pStyle w:val="BodyText"/>
        <w:widowControl w:val="0"/>
        <w:tabs>
          <w:tab w:val="left" w:pos="709"/>
        </w:tabs>
        <w:spacing w:after="0"/>
        <w:ind w:left="720" w:right="617" w:hanging="720"/>
        <w:rPr>
          <w:spacing w:val="-2"/>
        </w:rPr>
      </w:pPr>
    </w:p>
    <w:p w:rsidR="00E47405" w:rsidRDefault="00E47405" w:rsidP="00FE4A68">
      <w:pPr>
        <w:pStyle w:val="BodyText"/>
        <w:widowControl w:val="0"/>
        <w:numPr>
          <w:ilvl w:val="0"/>
          <w:numId w:val="5"/>
        </w:numPr>
        <w:tabs>
          <w:tab w:val="left" w:pos="709"/>
        </w:tabs>
        <w:spacing w:after="0"/>
        <w:ind w:left="833" w:right="617"/>
        <w:rPr>
          <w:spacing w:val="-2"/>
        </w:rPr>
      </w:pPr>
      <w:r>
        <w:rPr>
          <w:spacing w:val="-2"/>
        </w:rPr>
        <w:t>Provide a consistent, fair and transparent framework for charging;</w:t>
      </w:r>
    </w:p>
    <w:p w:rsidR="00E47405" w:rsidRDefault="00E47405" w:rsidP="00FE4A68">
      <w:pPr>
        <w:pStyle w:val="BodyText"/>
        <w:widowControl w:val="0"/>
        <w:numPr>
          <w:ilvl w:val="0"/>
          <w:numId w:val="5"/>
        </w:numPr>
        <w:tabs>
          <w:tab w:val="left" w:pos="709"/>
        </w:tabs>
        <w:spacing w:after="0"/>
        <w:ind w:left="833" w:right="617"/>
        <w:rPr>
          <w:spacing w:val="-2"/>
        </w:rPr>
      </w:pPr>
      <w:r>
        <w:rPr>
          <w:spacing w:val="-2"/>
        </w:rPr>
        <w:t>Recover appropriate costs of service provision;</w:t>
      </w:r>
    </w:p>
    <w:p w:rsidR="00E47405" w:rsidRDefault="00E47405" w:rsidP="00FE4A68">
      <w:pPr>
        <w:pStyle w:val="BodyText"/>
        <w:widowControl w:val="0"/>
        <w:numPr>
          <w:ilvl w:val="0"/>
          <w:numId w:val="5"/>
        </w:numPr>
        <w:tabs>
          <w:tab w:val="left" w:pos="709"/>
        </w:tabs>
        <w:spacing w:after="0"/>
        <w:ind w:left="833" w:right="617"/>
        <w:rPr>
          <w:spacing w:val="-2"/>
        </w:rPr>
      </w:pPr>
      <w:r>
        <w:rPr>
          <w:spacing w:val="-2"/>
        </w:rPr>
        <w:t>Maintain essential services; and</w:t>
      </w:r>
    </w:p>
    <w:p w:rsidR="00E47405" w:rsidRPr="009546A7" w:rsidRDefault="00E47405" w:rsidP="00FE4A68">
      <w:pPr>
        <w:pStyle w:val="BodyText"/>
        <w:widowControl w:val="0"/>
        <w:numPr>
          <w:ilvl w:val="0"/>
          <w:numId w:val="5"/>
        </w:numPr>
        <w:tabs>
          <w:tab w:val="left" w:pos="709"/>
        </w:tabs>
        <w:spacing w:after="0"/>
        <w:ind w:left="833" w:right="617"/>
        <w:rPr>
          <w:spacing w:val="-2"/>
        </w:rPr>
      </w:pPr>
      <w:r>
        <w:rPr>
          <w:spacing w:val="-2"/>
        </w:rPr>
        <w:t>Maximise the income of service users and their carers.</w:t>
      </w:r>
    </w:p>
    <w:p w:rsidR="00E47405" w:rsidRPr="00CB6C16" w:rsidRDefault="00E47405" w:rsidP="00FE4A68">
      <w:pPr>
        <w:pStyle w:val="Heading1"/>
        <w:keepLines/>
        <w:numPr>
          <w:ilvl w:val="0"/>
          <w:numId w:val="6"/>
        </w:numPr>
        <w:spacing w:before="480" w:line="276" w:lineRule="auto"/>
        <w:rPr>
          <w:u w:val="single"/>
        </w:rPr>
      </w:pPr>
      <w:bookmarkStart w:id="4" w:name="_Toc131412093"/>
      <w:r w:rsidRPr="00CB6C16">
        <w:rPr>
          <w:u w:val="single"/>
        </w:rPr>
        <w:t>Links to other Policy and Guidance</w:t>
      </w:r>
      <w:bookmarkEnd w:id="4"/>
      <w:r w:rsidRPr="00CB6C16">
        <w:rPr>
          <w:u w:val="single"/>
        </w:rPr>
        <w:t xml:space="preserve">  </w:t>
      </w:r>
    </w:p>
    <w:p w:rsidR="00E47405" w:rsidRDefault="00E47405" w:rsidP="00E47405">
      <w:pPr>
        <w:pStyle w:val="BodyText"/>
      </w:pPr>
    </w:p>
    <w:p w:rsidR="00E47405" w:rsidRDefault="00E47405" w:rsidP="00E47405">
      <w:pPr>
        <w:pStyle w:val="BodyText"/>
      </w:pPr>
      <w:r w:rsidRPr="00641912">
        <w:t>T</w:t>
      </w:r>
      <w:r w:rsidRPr="00CF7B48">
        <w:t>h</w:t>
      </w:r>
      <w:r>
        <w:t>e charging p</w:t>
      </w:r>
      <w:r w:rsidRPr="00CF7B48">
        <w:t>olicy links to a number of other po</w:t>
      </w:r>
      <w:r>
        <w:t>licies, strategies and guidance including:</w:t>
      </w:r>
    </w:p>
    <w:p w:rsidR="00E47405" w:rsidRDefault="00FA3774" w:rsidP="00FE4A68">
      <w:pPr>
        <w:pStyle w:val="Heading1"/>
        <w:keepLines/>
        <w:numPr>
          <w:ilvl w:val="1"/>
          <w:numId w:val="6"/>
        </w:numPr>
        <w:spacing w:before="480" w:line="276" w:lineRule="auto"/>
      </w:pPr>
      <w:hyperlink r:id="rId12" w:history="1">
        <w:bookmarkStart w:id="5" w:name="_Toc131412094"/>
        <w:r w:rsidR="00E47405" w:rsidRPr="009546A7">
          <w:rPr>
            <w:rStyle w:val="Hyperlink"/>
            <w:rFonts w:eastAsiaTheme="majorEastAsia"/>
          </w:rPr>
          <w:t>Self-Directed Support (The Social Care (Self-Directed Support) (Scotland) Act 2013)</w:t>
        </w:r>
        <w:r w:rsidR="00E47405" w:rsidRPr="009546A7">
          <w:rPr>
            <w:rStyle w:val="Hyperlink"/>
            <w:rFonts w:eastAsiaTheme="majorEastAsia"/>
            <w:b w:val="0"/>
            <w:bCs/>
            <w:vertAlign w:val="superscript"/>
          </w:rPr>
          <w:footnoteReference w:id="3"/>
        </w:r>
        <w:bookmarkEnd w:id="5"/>
      </w:hyperlink>
    </w:p>
    <w:p w:rsidR="00E47405" w:rsidRDefault="00E47405" w:rsidP="00E47405">
      <w:pPr>
        <w:pStyle w:val="BodyText"/>
      </w:pPr>
    </w:p>
    <w:p w:rsidR="00683AE5" w:rsidRPr="0068308D" w:rsidRDefault="00E47405" w:rsidP="00E47405">
      <w:pPr>
        <w:pStyle w:val="BodyText"/>
      </w:pPr>
      <w:r>
        <w:t>T</w:t>
      </w:r>
      <w:r w:rsidRPr="00641912">
        <w:t xml:space="preserve">he principles of Self Directed Support </w:t>
      </w:r>
      <w:r>
        <w:t xml:space="preserve">are </w:t>
      </w:r>
      <w:r w:rsidRPr="00641912">
        <w:t xml:space="preserve">at the centre of </w:t>
      </w:r>
      <w:r>
        <w:t xml:space="preserve">the </w:t>
      </w:r>
      <w:r w:rsidRPr="00641912">
        <w:t>assessment process to ensure</w:t>
      </w:r>
      <w:r>
        <w:t xml:space="preserve"> the</w:t>
      </w:r>
      <w:r w:rsidRPr="00641912">
        <w:t xml:space="preserve"> choice and control of people with eligible support needs.  </w:t>
      </w:r>
      <w:r>
        <w:t xml:space="preserve">This policy </w:t>
      </w:r>
      <w:r w:rsidRPr="00641912">
        <w:t>appl</w:t>
      </w:r>
      <w:r>
        <w:t>ies</w:t>
      </w:r>
      <w:r w:rsidRPr="00641912">
        <w:t xml:space="preserve"> to all service users regardless of the delivery mechanism(s) deployed</w:t>
      </w:r>
      <w:r>
        <w:t>.</w:t>
      </w:r>
    </w:p>
    <w:p w:rsidR="00E47405" w:rsidRDefault="00FA3774" w:rsidP="00FE4A68">
      <w:pPr>
        <w:pStyle w:val="Heading1"/>
        <w:keepLines/>
        <w:numPr>
          <w:ilvl w:val="1"/>
          <w:numId w:val="6"/>
        </w:numPr>
        <w:spacing w:before="480" w:line="276" w:lineRule="auto"/>
      </w:pPr>
      <w:hyperlink r:id="rId13" w:history="1">
        <w:bookmarkStart w:id="6" w:name="_Toc131412095"/>
        <w:r w:rsidR="00E47405" w:rsidRPr="00612A82">
          <w:rPr>
            <w:rStyle w:val="Hyperlink"/>
            <w:rFonts w:eastAsiaTheme="majorEastAsia"/>
          </w:rPr>
          <w:t>Carers (Scotland) Act 2016</w:t>
        </w:r>
        <w:bookmarkEnd w:id="6"/>
      </w:hyperlink>
    </w:p>
    <w:p w:rsidR="00E47405" w:rsidRPr="00413D24" w:rsidRDefault="00E47405" w:rsidP="00E47405"/>
    <w:p w:rsidR="00E47405" w:rsidRPr="0068308D" w:rsidRDefault="00E47405" w:rsidP="00E47405">
      <w:pPr>
        <w:pStyle w:val="BodyText"/>
        <w:jc w:val="both"/>
      </w:pPr>
      <w:r w:rsidRPr="0068308D">
        <w:rPr>
          <w:shd w:val="clear" w:color="auto" w:fill="FFFFFF"/>
        </w:rPr>
        <w:t xml:space="preserve">The </w:t>
      </w:r>
      <w:r w:rsidRPr="0068308D">
        <w:rPr>
          <w:rStyle w:val="Emphasis"/>
          <w:rFonts w:cstheme="minorHAnsi"/>
          <w:i w:val="0"/>
          <w:iCs w:val="0"/>
          <w:color w:val="000000" w:themeColor="text1"/>
          <w:shd w:val="clear" w:color="auto" w:fill="FFFFFF"/>
        </w:rPr>
        <w:t>Carers</w:t>
      </w:r>
      <w:r w:rsidRPr="0068308D" w:rsidDel="00D540B7">
        <w:rPr>
          <w:shd w:val="clear" w:color="auto" w:fill="FFFFFF"/>
        </w:rPr>
        <w:t xml:space="preserve"> </w:t>
      </w:r>
      <w:r w:rsidRPr="0068308D">
        <w:rPr>
          <w:shd w:val="clear" w:color="auto" w:fill="FFFFFF"/>
        </w:rPr>
        <w:t>(Scotland)</w:t>
      </w:r>
      <w:r w:rsidRPr="0068308D" w:rsidDel="00D540B7">
        <w:rPr>
          <w:shd w:val="clear" w:color="auto" w:fill="FFFFFF"/>
        </w:rPr>
        <w:t xml:space="preserve"> </w:t>
      </w:r>
      <w:r w:rsidRPr="0068308D">
        <w:rPr>
          <w:rStyle w:val="Emphasis"/>
          <w:rFonts w:cstheme="minorHAnsi"/>
          <w:i w:val="0"/>
          <w:iCs w:val="0"/>
          <w:color w:val="000000" w:themeColor="text1"/>
          <w:shd w:val="clear" w:color="auto" w:fill="FFFFFF"/>
        </w:rPr>
        <w:t xml:space="preserve">Act 2016 </w:t>
      </w:r>
      <w:r w:rsidRPr="0068308D">
        <w:rPr>
          <w:shd w:val="clear" w:color="auto" w:fill="FFFFFF"/>
        </w:rPr>
        <w:t xml:space="preserve">is designed to support </w:t>
      </w:r>
      <w:r w:rsidRPr="0068308D">
        <w:rPr>
          <w:rStyle w:val="Emphasis"/>
          <w:rFonts w:cstheme="minorHAnsi"/>
          <w:i w:val="0"/>
          <w:iCs w:val="0"/>
          <w:color w:val="000000" w:themeColor="text1"/>
          <w:shd w:val="clear" w:color="auto" w:fill="FFFFFF"/>
        </w:rPr>
        <w:t>carers</w:t>
      </w:r>
      <w:r w:rsidRPr="0068308D">
        <w:rPr>
          <w:shd w:val="clear" w:color="auto" w:fill="FFFFFF"/>
        </w:rPr>
        <w:t>' health and wellbeing and help make caring more sustainable.</w:t>
      </w:r>
      <w:r>
        <w:rPr>
          <w:rStyle w:val="FootnoteReference"/>
          <w:rFonts w:eastAsiaTheme="majorEastAsia" w:cstheme="minorHAnsi"/>
          <w:color w:val="000000" w:themeColor="text1"/>
          <w:shd w:val="clear" w:color="auto" w:fill="FFFFFF"/>
        </w:rPr>
        <w:footnoteReference w:id="4"/>
      </w:r>
    </w:p>
    <w:p w:rsidR="00E47405" w:rsidRDefault="00FA3774" w:rsidP="00FE4A68">
      <w:pPr>
        <w:pStyle w:val="Heading1"/>
        <w:keepLines/>
        <w:numPr>
          <w:ilvl w:val="1"/>
          <w:numId w:val="6"/>
        </w:numPr>
        <w:spacing w:before="480" w:line="276" w:lineRule="auto"/>
      </w:pPr>
      <w:hyperlink r:id="rId14" w:history="1">
        <w:bookmarkStart w:id="7" w:name="_Toc131412096"/>
        <w:r w:rsidR="00E47405" w:rsidRPr="00612A82">
          <w:rPr>
            <w:rStyle w:val="Hyperlink"/>
            <w:rFonts w:eastAsiaTheme="majorEastAsia"/>
          </w:rPr>
          <w:t>Equality Act 2010</w:t>
        </w:r>
        <w:bookmarkEnd w:id="7"/>
      </w:hyperlink>
    </w:p>
    <w:p w:rsidR="00E47405" w:rsidRDefault="00E47405" w:rsidP="00E47405">
      <w:pPr>
        <w:pStyle w:val="BodyText"/>
      </w:pPr>
    </w:p>
    <w:p w:rsidR="00E47405" w:rsidRDefault="00E47405" w:rsidP="00AE4F15">
      <w:pPr>
        <w:pStyle w:val="BodyText"/>
        <w:spacing w:after="0"/>
      </w:pPr>
      <w:r>
        <w:t>The Equality Act 2010 places both a general duty and a specific duty on the HSCP.  Both of which are relevant to the development of the charging policy. The general duty requires a HSCP to have due regard to the need to:</w:t>
      </w:r>
    </w:p>
    <w:p w:rsidR="00E47405" w:rsidRPr="00B875A5" w:rsidRDefault="00E47405" w:rsidP="00AE4F15">
      <w:pPr>
        <w:pStyle w:val="BodyText"/>
        <w:spacing w:after="0"/>
      </w:pPr>
    </w:p>
    <w:p w:rsidR="00E47405" w:rsidRDefault="00E47405" w:rsidP="00FE4A68">
      <w:pPr>
        <w:pStyle w:val="BodyText"/>
        <w:numPr>
          <w:ilvl w:val="0"/>
          <w:numId w:val="9"/>
        </w:numPr>
        <w:autoSpaceDE w:val="0"/>
        <w:autoSpaceDN w:val="0"/>
        <w:adjustRightInd w:val="0"/>
        <w:spacing w:after="0"/>
      </w:pPr>
      <w:r>
        <w:t>Eliminate discrimination, harassment and victimisation;</w:t>
      </w:r>
    </w:p>
    <w:p w:rsidR="00E47405" w:rsidRDefault="00E47405" w:rsidP="00FE4A68">
      <w:pPr>
        <w:pStyle w:val="BodyText"/>
        <w:numPr>
          <w:ilvl w:val="0"/>
          <w:numId w:val="9"/>
        </w:numPr>
        <w:autoSpaceDE w:val="0"/>
        <w:autoSpaceDN w:val="0"/>
        <w:adjustRightInd w:val="0"/>
        <w:spacing w:after="0"/>
      </w:pPr>
      <w:r>
        <w:t xml:space="preserve">Advance equality of opportunity; and </w:t>
      </w:r>
    </w:p>
    <w:p w:rsidR="00E47405" w:rsidRDefault="00E47405" w:rsidP="00FE4A68">
      <w:pPr>
        <w:pStyle w:val="BodyText"/>
        <w:numPr>
          <w:ilvl w:val="0"/>
          <w:numId w:val="9"/>
        </w:numPr>
        <w:autoSpaceDE w:val="0"/>
        <w:autoSpaceDN w:val="0"/>
        <w:adjustRightInd w:val="0"/>
        <w:spacing w:after="0"/>
      </w:pPr>
      <w:r>
        <w:lastRenderedPageBreak/>
        <w:t>Promote good relations between persons who share a relevant protected characteristic and persons who do not share it.</w:t>
      </w:r>
    </w:p>
    <w:p w:rsidR="00E47405" w:rsidRDefault="00E47405" w:rsidP="00E47405">
      <w:pPr>
        <w:pStyle w:val="BodyText"/>
        <w:ind w:left="833"/>
        <w:jc w:val="both"/>
      </w:pPr>
    </w:p>
    <w:p w:rsidR="00E47405" w:rsidRPr="00B875A5" w:rsidRDefault="00E47405" w:rsidP="00E47405">
      <w:pPr>
        <w:pStyle w:val="BodyText"/>
      </w:pPr>
      <w:r w:rsidRPr="00683AE5">
        <w:t>The HSCP alongside</w:t>
      </w:r>
      <w:r>
        <w:t xml:space="preserve"> the council will continue to ensure that the charging policy minimises any disadvantage experienced by any people of a protected characteristic.</w:t>
      </w:r>
    </w:p>
    <w:p w:rsidR="00E47405" w:rsidRDefault="00FA3774" w:rsidP="00FE4A68">
      <w:pPr>
        <w:pStyle w:val="Heading1"/>
        <w:keepLines/>
        <w:numPr>
          <w:ilvl w:val="1"/>
          <w:numId w:val="6"/>
        </w:numPr>
        <w:spacing w:before="480" w:line="276" w:lineRule="auto"/>
      </w:pPr>
      <w:hyperlink r:id="rId15" w:history="1">
        <w:bookmarkStart w:id="8" w:name="_Toc131412097"/>
        <w:r w:rsidR="00E47405" w:rsidRPr="009546A7">
          <w:rPr>
            <w:rStyle w:val="Hyperlink"/>
            <w:rFonts w:eastAsiaTheme="majorEastAsia"/>
          </w:rPr>
          <w:t>Human Rights Act 1988</w:t>
        </w:r>
        <w:bookmarkEnd w:id="8"/>
      </w:hyperlink>
    </w:p>
    <w:p w:rsidR="00E47405" w:rsidRPr="002A0678" w:rsidRDefault="00E47405" w:rsidP="00E47405">
      <w:pPr>
        <w:jc w:val="both"/>
      </w:pPr>
    </w:p>
    <w:p w:rsidR="00E47405" w:rsidRDefault="00E47405" w:rsidP="00E47405">
      <w:pPr>
        <w:pStyle w:val="BodyText"/>
      </w:pPr>
      <w:r>
        <w:t>The HSCP continues to ensure that it does not act in ways, which are incompatible with the European Convention on Human Rights (ECHR) under section 6 of the Human Rights Act 1998.  Article 8 (right to private and family life, including autonomy in decision making, the right to work an</w:t>
      </w:r>
      <w:r w:rsidRPr="001F4A8C">
        <w:t xml:space="preserve">d the right to live with dignity) and Article 14 (non-discrimination on a number </w:t>
      </w:r>
      <w:r>
        <w:t>of grounds, including “any other status”) connect to this Charging Policy in relation to equality across the totality of the range of services being charged for, and issues around Income Maximisation.</w:t>
      </w:r>
    </w:p>
    <w:p w:rsidR="00E47405" w:rsidRDefault="00E47405" w:rsidP="00E47405">
      <w:pPr>
        <w:pStyle w:val="BodyText"/>
      </w:pPr>
    </w:p>
    <w:p w:rsidR="00E47405" w:rsidRDefault="00E47405" w:rsidP="00AE4F15">
      <w:pPr>
        <w:pStyle w:val="Heading1"/>
        <w:ind w:left="567" w:hanging="567"/>
      </w:pPr>
      <w:bookmarkStart w:id="9" w:name="_Toc131412098"/>
      <w:r>
        <w:t>4.5</w:t>
      </w:r>
      <w:r w:rsidR="00AE4F15">
        <w:t xml:space="preserve">  </w:t>
      </w:r>
      <w:hyperlink r:id="rId16" w:history="1">
        <w:r w:rsidRPr="00B901BF">
          <w:rPr>
            <w:rStyle w:val="Hyperlink"/>
            <w:rFonts w:eastAsiaTheme="majorEastAsia"/>
          </w:rPr>
          <w:t xml:space="preserve"> </w:t>
        </w:r>
        <w:r w:rsidRPr="00B901BF">
          <w:rPr>
            <w:rStyle w:val="Hyperlink"/>
            <w:rFonts w:eastAsiaTheme="majorEastAsia"/>
            <w:shd w:val="clear" w:color="auto" w:fill="FFFFFF"/>
          </w:rPr>
          <w:t>The Community Care (Personal Care and Nursing Care) (Scotland) Amendment (No. 2) Regulations 2018</w:t>
        </w:r>
        <w:r w:rsidRPr="00B901BF">
          <w:rPr>
            <w:rStyle w:val="Hyperlink"/>
            <w:rFonts w:eastAsiaTheme="majorEastAsia"/>
          </w:rPr>
          <w:t xml:space="preserve"> (Franks Law)</w:t>
        </w:r>
        <w:bookmarkEnd w:id="9"/>
      </w:hyperlink>
    </w:p>
    <w:p w:rsidR="00E47405" w:rsidRDefault="00E47405" w:rsidP="00E47405">
      <w:pPr>
        <w:pStyle w:val="BodyText"/>
      </w:pPr>
    </w:p>
    <w:p w:rsidR="005B0B33" w:rsidRDefault="00E47405" w:rsidP="00E47405">
      <w:pPr>
        <w:pStyle w:val="BodyText"/>
      </w:pPr>
      <w:r w:rsidRPr="007D60A1">
        <w:t>Free Personal Care has been available in Scotland for adults aged 65 or over since 2002</w:t>
      </w:r>
      <w:r>
        <w:rPr>
          <w:rStyle w:val="FootnoteReference"/>
          <w:rFonts w:eastAsiaTheme="majorEastAsia"/>
        </w:rPr>
        <w:footnoteReference w:id="5"/>
      </w:r>
      <w:r w:rsidRPr="007D60A1">
        <w:t>. The Scottish Government has legislated to ensure that by 1 April 2019 adults of any age, no matter their condition, capital or income, who are assessed by their local authority as needing this service, are entitled to receive this without charge</w:t>
      </w:r>
      <w:r>
        <w:rPr>
          <w:rStyle w:val="FootnoteReference"/>
          <w:rFonts w:eastAsiaTheme="majorEastAsia"/>
        </w:rPr>
        <w:footnoteReference w:id="6"/>
      </w:r>
      <w:r w:rsidRPr="007D60A1">
        <w:t>.</w:t>
      </w:r>
      <w:r>
        <w:t xml:space="preserve">  </w:t>
      </w:r>
      <w:r w:rsidRPr="007D60A1">
        <w:t>The expansion of free personal care – which was previously only available to those aged over 65 - comes into force on April 1 2019 and is often referred to as ‘Frank’s Law’</w:t>
      </w:r>
      <w:r>
        <w:t>.</w:t>
      </w:r>
    </w:p>
    <w:p w:rsidR="00E47405" w:rsidRPr="00CB6C16" w:rsidRDefault="00E47405" w:rsidP="00FE4A68">
      <w:pPr>
        <w:pStyle w:val="Heading1"/>
        <w:keepLines/>
        <w:numPr>
          <w:ilvl w:val="0"/>
          <w:numId w:val="6"/>
        </w:numPr>
        <w:spacing w:before="480" w:line="276" w:lineRule="auto"/>
        <w:rPr>
          <w:u w:val="single"/>
        </w:rPr>
      </w:pPr>
      <w:bookmarkStart w:id="10" w:name="_Toc131412099"/>
      <w:r w:rsidRPr="00CB6C16">
        <w:rPr>
          <w:u w:val="single"/>
        </w:rPr>
        <w:t>Non Residential Care</w:t>
      </w:r>
      <w:bookmarkStart w:id="11" w:name="_Residential_Care"/>
      <w:bookmarkEnd w:id="11"/>
      <w:bookmarkEnd w:id="10"/>
    </w:p>
    <w:p w:rsidR="00E47405" w:rsidRPr="002A0678" w:rsidRDefault="00E47405" w:rsidP="00E47405"/>
    <w:p w:rsidR="00E47405" w:rsidRDefault="00E47405" w:rsidP="00E47405">
      <w:pPr>
        <w:pStyle w:val="BodyText"/>
      </w:pPr>
      <w:r w:rsidRPr="00641912">
        <w:t>The legal basis for charging</w:t>
      </w:r>
      <w:r>
        <w:t xml:space="preserve"> for non-residential services can be found in</w:t>
      </w:r>
      <w:r w:rsidRPr="00641912">
        <w:t xml:space="preserve"> </w:t>
      </w:r>
      <w:r w:rsidRPr="005B565C">
        <w:rPr>
          <w:spacing w:val="-1"/>
        </w:rPr>
        <w:t>the</w:t>
      </w:r>
      <w:r w:rsidRPr="005B565C">
        <w:rPr>
          <w:spacing w:val="-4"/>
        </w:rPr>
        <w:t xml:space="preserve"> </w:t>
      </w:r>
      <w:hyperlink r:id="rId17" w:history="1">
        <w:r w:rsidRPr="004E4273">
          <w:rPr>
            <w:rStyle w:val="Hyperlink"/>
            <w:rFonts w:eastAsiaTheme="majorEastAsia"/>
          </w:rPr>
          <w:t>Social</w:t>
        </w:r>
        <w:r w:rsidRPr="004E4273">
          <w:rPr>
            <w:rStyle w:val="Hyperlink"/>
            <w:rFonts w:eastAsiaTheme="majorEastAsia"/>
            <w:spacing w:val="-16"/>
          </w:rPr>
          <w:t xml:space="preserve"> </w:t>
        </w:r>
        <w:r w:rsidRPr="004E4273">
          <w:rPr>
            <w:rStyle w:val="Hyperlink"/>
            <w:rFonts w:eastAsiaTheme="majorEastAsia"/>
          </w:rPr>
          <w:t>Work</w:t>
        </w:r>
        <w:r w:rsidRPr="004E4273">
          <w:rPr>
            <w:rStyle w:val="Hyperlink"/>
            <w:rFonts w:eastAsiaTheme="majorEastAsia"/>
            <w:spacing w:val="-4"/>
          </w:rPr>
          <w:t xml:space="preserve"> </w:t>
        </w:r>
        <w:r w:rsidRPr="004E4273">
          <w:rPr>
            <w:rStyle w:val="Hyperlink"/>
            <w:rFonts w:eastAsiaTheme="majorEastAsia"/>
          </w:rPr>
          <w:t>(Scotland)</w:t>
        </w:r>
        <w:r w:rsidRPr="004E4273">
          <w:rPr>
            <w:rStyle w:val="Hyperlink"/>
            <w:rFonts w:eastAsiaTheme="majorEastAsia"/>
            <w:spacing w:val="-14"/>
          </w:rPr>
          <w:t xml:space="preserve"> </w:t>
        </w:r>
        <w:r w:rsidRPr="004E4273">
          <w:rPr>
            <w:rStyle w:val="Hyperlink"/>
            <w:rFonts w:eastAsiaTheme="majorEastAsia"/>
            <w:spacing w:val="-1"/>
          </w:rPr>
          <w:t>Act</w:t>
        </w:r>
        <w:r w:rsidRPr="004E4273">
          <w:rPr>
            <w:rStyle w:val="Hyperlink"/>
            <w:rFonts w:eastAsiaTheme="majorEastAsia"/>
            <w:spacing w:val="-3"/>
          </w:rPr>
          <w:t xml:space="preserve"> </w:t>
        </w:r>
        <w:r w:rsidRPr="004E4273">
          <w:rPr>
            <w:rStyle w:val="Hyperlink"/>
            <w:rFonts w:eastAsiaTheme="majorEastAsia"/>
          </w:rPr>
          <w:t>1968</w:t>
        </w:r>
      </w:hyperlink>
      <w:r>
        <w:rPr>
          <w:rStyle w:val="FootnoteReference"/>
          <w:rFonts w:eastAsiaTheme="majorEastAsia"/>
        </w:rPr>
        <w:footnoteReference w:id="7"/>
      </w:r>
      <w:r w:rsidRPr="00641912">
        <w:t xml:space="preserve">, the </w:t>
      </w:r>
      <w:hyperlink r:id="rId18" w:history="1">
        <w:r w:rsidRPr="004E4273">
          <w:rPr>
            <w:rStyle w:val="Hyperlink"/>
            <w:rFonts w:eastAsiaTheme="majorEastAsia"/>
          </w:rPr>
          <w:t>Community Care and Health (Scotland) Act 2002</w:t>
        </w:r>
      </w:hyperlink>
      <w:r>
        <w:rPr>
          <w:rStyle w:val="FootnoteReference"/>
          <w:rFonts w:eastAsiaTheme="majorEastAsia"/>
        </w:rPr>
        <w:footnoteReference w:id="8"/>
      </w:r>
      <w:r w:rsidRPr="005B565C">
        <w:rPr>
          <w:spacing w:val="-1"/>
        </w:rPr>
        <w:t xml:space="preserve">and </w:t>
      </w:r>
      <w:r w:rsidRPr="005B565C">
        <w:rPr>
          <w:spacing w:val="-5"/>
        </w:rPr>
        <w:t xml:space="preserve">the </w:t>
      </w:r>
      <w:hyperlink r:id="rId19" w:history="1">
        <w:r w:rsidRPr="004E4273">
          <w:rPr>
            <w:rStyle w:val="Hyperlink"/>
            <w:rFonts w:eastAsiaTheme="majorEastAsia"/>
            <w:spacing w:val="-5"/>
          </w:rPr>
          <w:t>Mental Health (Care and Treatment) (Scotland) Act 2003</w:t>
        </w:r>
      </w:hyperlink>
      <w:r w:rsidRPr="005B565C">
        <w:rPr>
          <w:spacing w:val="-5"/>
        </w:rPr>
        <w:t>.</w:t>
      </w:r>
      <w:r>
        <w:rPr>
          <w:rStyle w:val="FootnoteReference"/>
          <w:rFonts w:eastAsiaTheme="majorEastAsia"/>
          <w:spacing w:val="-5"/>
        </w:rPr>
        <w:footnoteReference w:id="9"/>
      </w:r>
      <w:r w:rsidRPr="005B565C">
        <w:rPr>
          <w:spacing w:val="-1"/>
        </w:rPr>
        <w:t>With</w:t>
      </w:r>
      <w:r w:rsidRPr="005B565C">
        <w:rPr>
          <w:spacing w:val="-4"/>
        </w:rPr>
        <w:t xml:space="preserve"> </w:t>
      </w:r>
      <w:r w:rsidRPr="005B565C">
        <w:rPr>
          <w:spacing w:val="-2"/>
        </w:rPr>
        <w:t>regard</w:t>
      </w:r>
      <w:r w:rsidRPr="005B565C">
        <w:rPr>
          <w:spacing w:val="-7"/>
        </w:rPr>
        <w:t xml:space="preserve"> </w:t>
      </w:r>
      <w:r w:rsidRPr="005B565C">
        <w:rPr>
          <w:spacing w:val="-1"/>
        </w:rPr>
        <w:t>to</w:t>
      </w:r>
      <w:r w:rsidRPr="005B565C">
        <w:rPr>
          <w:spacing w:val="-2"/>
        </w:rPr>
        <w:t xml:space="preserve"> the</w:t>
      </w:r>
      <w:r w:rsidRPr="00641912">
        <w:t xml:space="preserve"> </w:t>
      </w:r>
      <w:r w:rsidRPr="005B565C">
        <w:rPr>
          <w:spacing w:val="-2"/>
        </w:rPr>
        <w:t>initial</w:t>
      </w:r>
      <w:r w:rsidRPr="00641912">
        <w:t xml:space="preserve"> </w:t>
      </w:r>
      <w:r w:rsidRPr="005B565C">
        <w:rPr>
          <w:spacing w:val="-2"/>
        </w:rPr>
        <w:t>guidance</w:t>
      </w:r>
      <w:r w:rsidRPr="005B565C">
        <w:rPr>
          <w:spacing w:val="-10"/>
        </w:rPr>
        <w:t xml:space="preserve"> </w:t>
      </w:r>
      <w:r w:rsidRPr="005B565C">
        <w:rPr>
          <w:spacing w:val="-1"/>
        </w:rPr>
        <w:t>on</w:t>
      </w:r>
      <w:r w:rsidRPr="005B565C">
        <w:rPr>
          <w:spacing w:val="-2"/>
        </w:rPr>
        <w:t xml:space="preserve"> charging,</w:t>
      </w:r>
      <w:r w:rsidRPr="005B565C">
        <w:rPr>
          <w:spacing w:val="-11"/>
        </w:rPr>
        <w:t xml:space="preserve"> </w:t>
      </w:r>
      <w:r w:rsidRPr="005B565C">
        <w:rPr>
          <w:spacing w:val="-1"/>
        </w:rPr>
        <w:t>as</w:t>
      </w:r>
      <w:r w:rsidRPr="005B565C">
        <w:rPr>
          <w:spacing w:val="-3"/>
        </w:rPr>
        <w:t xml:space="preserve"> </w:t>
      </w:r>
      <w:r w:rsidRPr="005B565C">
        <w:rPr>
          <w:spacing w:val="-1"/>
        </w:rPr>
        <w:t>set</w:t>
      </w:r>
      <w:r w:rsidRPr="005B565C">
        <w:rPr>
          <w:spacing w:val="-3"/>
        </w:rPr>
        <w:t xml:space="preserve"> </w:t>
      </w:r>
      <w:r w:rsidRPr="005B565C">
        <w:rPr>
          <w:spacing w:val="-2"/>
        </w:rPr>
        <w:t>out</w:t>
      </w:r>
      <w:r w:rsidRPr="00641912">
        <w:t xml:space="preserve"> </w:t>
      </w:r>
      <w:r w:rsidRPr="005B565C">
        <w:rPr>
          <w:spacing w:val="-1"/>
        </w:rPr>
        <w:t>in</w:t>
      </w:r>
      <w:r w:rsidRPr="005B565C">
        <w:rPr>
          <w:spacing w:val="-3"/>
        </w:rPr>
        <w:t xml:space="preserve"> </w:t>
      </w:r>
      <w:r w:rsidRPr="005B565C">
        <w:rPr>
          <w:spacing w:val="-2"/>
        </w:rPr>
        <w:t>the</w:t>
      </w:r>
      <w:r w:rsidRPr="005B565C">
        <w:rPr>
          <w:spacing w:val="-3"/>
        </w:rPr>
        <w:t xml:space="preserve"> </w:t>
      </w:r>
      <w:r w:rsidRPr="00D7758B">
        <w:t>Social Work (Scotland) Act 1968 Section 87</w:t>
      </w:r>
      <w:r>
        <w:rPr>
          <w:rStyle w:val="EndnoteReference"/>
          <w:spacing w:val="-1"/>
        </w:rPr>
        <w:endnoteReference w:id="1"/>
      </w:r>
      <w:r w:rsidRPr="005B565C">
        <w:rPr>
          <w:spacing w:val="-1"/>
        </w:rPr>
        <w:t>,</w:t>
      </w:r>
      <w:r w:rsidRPr="005B565C">
        <w:rPr>
          <w:spacing w:val="-17"/>
        </w:rPr>
        <w:t xml:space="preserve"> </w:t>
      </w:r>
      <w:r w:rsidRPr="005B565C">
        <w:rPr>
          <w:spacing w:val="-1"/>
        </w:rPr>
        <w:t>and</w:t>
      </w:r>
      <w:r w:rsidRPr="00641912">
        <w:t xml:space="preserve"> </w:t>
      </w:r>
      <w:r w:rsidRPr="005B565C">
        <w:rPr>
          <w:spacing w:val="-1"/>
        </w:rPr>
        <w:t>with</w:t>
      </w:r>
      <w:r w:rsidRPr="00641912">
        <w:t xml:space="preserve"> </w:t>
      </w:r>
      <w:r w:rsidRPr="005B565C">
        <w:rPr>
          <w:spacing w:val="-1"/>
        </w:rPr>
        <w:t>regard</w:t>
      </w:r>
      <w:r w:rsidRPr="005B565C">
        <w:rPr>
          <w:spacing w:val="-7"/>
        </w:rPr>
        <w:t xml:space="preserve"> </w:t>
      </w:r>
      <w:r w:rsidRPr="00641912">
        <w:t>to</w:t>
      </w:r>
      <w:r w:rsidRPr="005B565C">
        <w:rPr>
          <w:spacing w:val="-2"/>
        </w:rPr>
        <w:t xml:space="preserve"> subsequent</w:t>
      </w:r>
      <w:r w:rsidRPr="005B565C">
        <w:rPr>
          <w:spacing w:val="-13"/>
        </w:rPr>
        <w:t xml:space="preserve"> development of COSLA </w:t>
      </w:r>
      <w:r w:rsidRPr="005B565C">
        <w:rPr>
          <w:spacing w:val="-2"/>
        </w:rPr>
        <w:t>guidance,</w:t>
      </w:r>
      <w:r w:rsidRPr="00641912">
        <w:t xml:space="preserve"> councils have the power </w:t>
      </w:r>
      <w:r w:rsidRPr="002A0678">
        <w:t>to charge for a range of non-residential soci</w:t>
      </w:r>
      <w:r>
        <w:t xml:space="preserve">al care services.  </w:t>
      </w:r>
    </w:p>
    <w:p w:rsidR="00447237" w:rsidRDefault="00447237" w:rsidP="00E47405">
      <w:pPr>
        <w:pStyle w:val="BodyText"/>
      </w:pPr>
    </w:p>
    <w:p w:rsidR="00447237" w:rsidRPr="000F59CA" w:rsidRDefault="00447237" w:rsidP="00E47405">
      <w:pPr>
        <w:pStyle w:val="BodyText"/>
      </w:pPr>
    </w:p>
    <w:p w:rsidR="00E47405" w:rsidRPr="00CB6C16" w:rsidRDefault="00E47405" w:rsidP="00E47405">
      <w:pPr>
        <w:pStyle w:val="Heading1"/>
        <w:keepLines/>
        <w:numPr>
          <w:ilvl w:val="0"/>
          <w:numId w:val="6"/>
        </w:numPr>
        <w:spacing w:before="480" w:line="276" w:lineRule="auto"/>
        <w:rPr>
          <w:u w:val="single"/>
        </w:rPr>
      </w:pPr>
      <w:bookmarkStart w:id="12" w:name="_Charging_Guidance."/>
      <w:bookmarkStart w:id="13" w:name="_Toc131412100"/>
      <w:bookmarkEnd w:id="12"/>
      <w:r w:rsidRPr="00CB6C16">
        <w:rPr>
          <w:u w:val="single"/>
        </w:rPr>
        <w:lastRenderedPageBreak/>
        <w:t>Guiding Principles of Charging Policy</w:t>
      </w:r>
      <w:bookmarkEnd w:id="13"/>
    </w:p>
    <w:p w:rsidR="000C3C50" w:rsidRPr="000C3C50" w:rsidRDefault="000C3C50" w:rsidP="000C3C50">
      <w:pPr>
        <w:rPr>
          <w:lang w:eastAsia="en-GB"/>
        </w:rPr>
      </w:pPr>
    </w:p>
    <w:p w:rsidR="00E47405" w:rsidRPr="000C3C50" w:rsidRDefault="00E47405" w:rsidP="00E47405">
      <w:pPr>
        <w:pStyle w:val="BodyText"/>
      </w:pPr>
      <w:r w:rsidRPr="00CF6A52">
        <w:t>The main principles of the policy are:</w:t>
      </w:r>
    </w:p>
    <w:p w:rsidR="00E47405" w:rsidRDefault="00E47405" w:rsidP="00FE4A68">
      <w:pPr>
        <w:pStyle w:val="BodyText"/>
        <w:numPr>
          <w:ilvl w:val="0"/>
          <w:numId w:val="11"/>
        </w:numPr>
        <w:autoSpaceDE w:val="0"/>
        <w:autoSpaceDN w:val="0"/>
        <w:adjustRightInd w:val="0"/>
        <w:spacing w:after="0"/>
      </w:pPr>
      <w:r>
        <w:t>Income M</w:t>
      </w:r>
      <w:r w:rsidRPr="002A0678">
        <w:t xml:space="preserve">aximisation to the </w:t>
      </w:r>
      <w:r>
        <w:t>service user:</w:t>
      </w:r>
    </w:p>
    <w:p w:rsidR="00E47405" w:rsidRPr="00970F83" w:rsidRDefault="00E47405" w:rsidP="00FE4A68">
      <w:pPr>
        <w:pStyle w:val="BodyText"/>
        <w:numPr>
          <w:ilvl w:val="1"/>
          <w:numId w:val="11"/>
        </w:numPr>
        <w:autoSpaceDE w:val="0"/>
        <w:autoSpaceDN w:val="0"/>
        <w:adjustRightInd w:val="0"/>
        <w:spacing w:after="0"/>
      </w:pPr>
      <w:r>
        <w:t>A</w:t>
      </w:r>
      <w:r w:rsidRPr="00970F83">
        <w:t xml:space="preserve">ll </w:t>
      </w:r>
      <w:r>
        <w:t>service users</w:t>
      </w:r>
      <w:r w:rsidRPr="00970F83">
        <w:t xml:space="preserve"> will be offered an Income Maximisation service at the point of assessment.  This allows service users to be made aware of the range of benefits they may be entitled to</w:t>
      </w:r>
      <w:r>
        <w:t>; and</w:t>
      </w:r>
    </w:p>
    <w:p w:rsidR="00E47405" w:rsidRDefault="00E47405" w:rsidP="00FE4A68">
      <w:pPr>
        <w:pStyle w:val="BodyText"/>
        <w:numPr>
          <w:ilvl w:val="1"/>
          <w:numId w:val="11"/>
        </w:numPr>
        <w:autoSpaceDE w:val="0"/>
        <w:autoSpaceDN w:val="0"/>
        <w:adjustRightInd w:val="0"/>
        <w:spacing w:after="0"/>
      </w:pPr>
      <w:r w:rsidRPr="002A0678">
        <w:t xml:space="preserve">Prior to taking up services,  all service users </w:t>
      </w:r>
      <w:r>
        <w:t xml:space="preserve">will be supported and expected to optimise their </w:t>
      </w:r>
      <w:r w:rsidRPr="002A0678">
        <w:t>access to income</w:t>
      </w:r>
      <w:r>
        <w:t xml:space="preserve"> and entitlements</w:t>
      </w:r>
      <w:r w:rsidRPr="002A0678">
        <w:t xml:space="preserve">, </w:t>
      </w:r>
      <w:r>
        <w:t>for example,</w:t>
      </w:r>
      <w:r w:rsidRPr="002A0678">
        <w:t xml:space="preserve"> </w:t>
      </w:r>
      <w:r>
        <w:t>Independent Living Fund income and</w:t>
      </w:r>
      <w:r w:rsidRPr="002A0678">
        <w:t xml:space="preserve"> person</w:t>
      </w:r>
      <w:r>
        <w:t>al/injury compensation payments.</w:t>
      </w:r>
    </w:p>
    <w:p w:rsidR="00E47405" w:rsidRPr="002A0678" w:rsidRDefault="00E47405" w:rsidP="00FE4A68">
      <w:pPr>
        <w:pStyle w:val="BodyText"/>
        <w:numPr>
          <w:ilvl w:val="1"/>
          <w:numId w:val="11"/>
        </w:numPr>
        <w:autoSpaceDE w:val="0"/>
        <w:autoSpaceDN w:val="0"/>
        <w:adjustRightInd w:val="0"/>
        <w:spacing w:after="0"/>
      </w:pPr>
      <w:r>
        <w:t>S</w:t>
      </w:r>
      <w:r w:rsidRPr="002A0678">
        <w:t xml:space="preserve">ervice users in receipt of benefits for specific purposes such as mobility </w:t>
      </w:r>
      <w:r>
        <w:t>component</w:t>
      </w:r>
      <w:r w:rsidRPr="002A0678">
        <w:t xml:space="preserve"> will utilise these to s</w:t>
      </w:r>
      <w:r>
        <w:t>upport their access to services.</w:t>
      </w:r>
    </w:p>
    <w:p w:rsidR="00E47405" w:rsidRPr="002A0678" w:rsidRDefault="00E47405" w:rsidP="00FE4A68">
      <w:pPr>
        <w:pStyle w:val="BodyText"/>
        <w:numPr>
          <w:ilvl w:val="0"/>
          <w:numId w:val="11"/>
        </w:numPr>
        <w:autoSpaceDE w:val="0"/>
        <w:autoSpaceDN w:val="0"/>
        <w:adjustRightInd w:val="0"/>
        <w:spacing w:after="0"/>
      </w:pPr>
      <w:r w:rsidRPr="002A0678">
        <w:t>Financial assessments take</w:t>
      </w:r>
      <w:r>
        <w:t xml:space="preserve"> into</w:t>
      </w:r>
      <w:r w:rsidRPr="002A0678">
        <w:t xml:space="preserve"> account</w:t>
      </w:r>
      <w:r>
        <w:t xml:space="preserve"> </w:t>
      </w:r>
      <w:r w:rsidRPr="002A0678">
        <w:t>of the co</w:t>
      </w:r>
      <w:r>
        <w:t>st of any fixed charges applied;</w:t>
      </w:r>
    </w:p>
    <w:p w:rsidR="00E47405" w:rsidRPr="002A0678" w:rsidRDefault="00E47405" w:rsidP="00FE4A68">
      <w:pPr>
        <w:pStyle w:val="BodyText"/>
        <w:numPr>
          <w:ilvl w:val="1"/>
          <w:numId w:val="11"/>
        </w:numPr>
        <w:autoSpaceDE w:val="0"/>
        <w:autoSpaceDN w:val="0"/>
        <w:adjustRightInd w:val="0"/>
        <w:spacing w:after="0"/>
      </w:pPr>
      <w:r w:rsidRPr="002A0678">
        <w:t>Where a service user</w:t>
      </w:r>
      <w:r>
        <w:t xml:space="preserve"> receives more than one service, </w:t>
      </w:r>
      <w:r w:rsidRPr="002A0678">
        <w:t>a consolidated assessment will be undertaken to ensure they are not charged more than they can afford for the package</w:t>
      </w:r>
      <w:r>
        <w:t xml:space="preserve"> of care services they receive;</w:t>
      </w:r>
    </w:p>
    <w:p w:rsidR="00E47405" w:rsidRPr="002A0678" w:rsidRDefault="00E47405" w:rsidP="00FE4A68">
      <w:pPr>
        <w:pStyle w:val="BodyText"/>
        <w:numPr>
          <w:ilvl w:val="0"/>
          <w:numId w:val="11"/>
        </w:numPr>
        <w:autoSpaceDE w:val="0"/>
        <w:autoSpaceDN w:val="0"/>
        <w:adjustRightInd w:val="0"/>
        <w:spacing w:after="0"/>
      </w:pPr>
      <w:r>
        <w:t xml:space="preserve">The impact </w:t>
      </w:r>
      <w:r w:rsidRPr="002A0678">
        <w:t xml:space="preserve">on the well-being of </w:t>
      </w:r>
      <w:hyperlink r:id="rId20" w:history="1">
        <w:r w:rsidRPr="006A420C">
          <w:rPr>
            <w:rStyle w:val="Hyperlink"/>
            <w:rFonts w:eastAsiaTheme="majorEastAsia"/>
            <w:color w:val="auto"/>
          </w:rPr>
          <w:t>carers</w:t>
        </w:r>
      </w:hyperlink>
      <w:r w:rsidRPr="006A420C">
        <w:rPr>
          <w:rStyle w:val="Hyperlink"/>
          <w:rFonts w:eastAsiaTheme="majorEastAsia"/>
          <w:color w:val="auto"/>
        </w:rPr>
        <w:t xml:space="preserve"> and service users</w:t>
      </w:r>
      <w:r w:rsidRPr="002A0678">
        <w:t xml:space="preserve"> is considered when charges are applied</w:t>
      </w:r>
      <w:r>
        <w:t>;</w:t>
      </w:r>
    </w:p>
    <w:p w:rsidR="00E47405" w:rsidRPr="002A0678" w:rsidRDefault="00E47405" w:rsidP="00FE4A68">
      <w:pPr>
        <w:pStyle w:val="BodyText"/>
        <w:numPr>
          <w:ilvl w:val="0"/>
          <w:numId w:val="11"/>
        </w:numPr>
        <w:autoSpaceDE w:val="0"/>
        <w:autoSpaceDN w:val="0"/>
        <w:adjustRightInd w:val="0"/>
        <w:spacing w:after="0"/>
      </w:pPr>
      <w:r w:rsidRPr="002A0678">
        <w:t>Charges are set at a level whereby the charge rarely covers the full economic cost of the service provided and will never exceed</w:t>
      </w:r>
      <w:r>
        <w:t xml:space="preserve"> the full cost of service; and</w:t>
      </w:r>
    </w:p>
    <w:p w:rsidR="00E47405" w:rsidRPr="002975E3" w:rsidRDefault="00E47405" w:rsidP="00E47405">
      <w:pPr>
        <w:pStyle w:val="BodyText"/>
        <w:numPr>
          <w:ilvl w:val="0"/>
          <w:numId w:val="11"/>
        </w:numPr>
        <w:autoSpaceDE w:val="0"/>
        <w:autoSpaceDN w:val="0"/>
        <w:adjustRightInd w:val="0"/>
        <w:spacing w:after="0"/>
      </w:pPr>
      <w:r w:rsidRPr="002A0678">
        <w:t>Free Personal Care will apply to all service users regardless of age, sex, disability or any other protected characteristic</w:t>
      </w:r>
      <w:r>
        <w:t>.</w:t>
      </w:r>
    </w:p>
    <w:p w:rsidR="00E47405" w:rsidRPr="00CB6C16" w:rsidRDefault="00E47405" w:rsidP="00FE4A68">
      <w:pPr>
        <w:pStyle w:val="Heading1"/>
        <w:keepLines/>
        <w:numPr>
          <w:ilvl w:val="0"/>
          <w:numId w:val="6"/>
        </w:numPr>
        <w:spacing w:before="480" w:line="276" w:lineRule="auto"/>
        <w:rPr>
          <w:u w:val="single"/>
        </w:rPr>
      </w:pPr>
      <w:bookmarkStart w:id="14" w:name="_Exemptions_from_Charging"/>
      <w:bookmarkStart w:id="15" w:name="_Toc131412101"/>
      <w:bookmarkEnd w:id="14"/>
      <w:r w:rsidRPr="00CB6C16">
        <w:rPr>
          <w:u w:val="single"/>
        </w:rPr>
        <w:t>Exemptions</w:t>
      </w:r>
      <w:r w:rsidRPr="00CB6C16">
        <w:rPr>
          <w:spacing w:val="-17"/>
          <w:u w:val="single"/>
        </w:rPr>
        <w:t xml:space="preserve"> </w:t>
      </w:r>
      <w:r w:rsidRPr="00CB6C16">
        <w:rPr>
          <w:u w:val="single"/>
        </w:rPr>
        <w:t>from</w:t>
      </w:r>
      <w:r w:rsidRPr="00CB6C16">
        <w:rPr>
          <w:spacing w:val="-8"/>
          <w:u w:val="single"/>
        </w:rPr>
        <w:t xml:space="preserve"> </w:t>
      </w:r>
      <w:r w:rsidRPr="00CB6C16">
        <w:rPr>
          <w:u w:val="single"/>
        </w:rPr>
        <w:t>Charging</w:t>
      </w:r>
      <w:bookmarkEnd w:id="15"/>
    </w:p>
    <w:p w:rsidR="00E47405" w:rsidRDefault="00E47405" w:rsidP="00E47405"/>
    <w:p w:rsidR="00E47405" w:rsidRDefault="00E47405" w:rsidP="00E47405">
      <w:r>
        <w:t>The Charging Policy will not be applied to anyone facing the following circumstances:</w:t>
      </w:r>
    </w:p>
    <w:p w:rsidR="000C3C50" w:rsidRPr="002975E3" w:rsidRDefault="000C3C50" w:rsidP="000C3C50"/>
    <w:p w:rsidR="00E47405" w:rsidRPr="00085F07" w:rsidRDefault="00E47405" w:rsidP="00FE4A68">
      <w:pPr>
        <w:pStyle w:val="BodyText"/>
        <w:numPr>
          <w:ilvl w:val="0"/>
          <w:numId w:val="12"/>
        </w:numPr>
        <w:autoSpaceDE w:val="0"/>
        <w:autoSpaceDN w:val="0"/>
        <w:adjustRightInd w:val="0"/>
        <w:spacing w:after="0"/>
      </w:pPr>
      <w:r>
        <w:t>Service users</w:t>
      </w:r>
      <w:r w:rsidRPr="00442FD8">
        <w:t xml:space="preserve"> presenting as homeless are exempt from charging for a period </w:t>
      </w:r>
      <w:r w:rsidRPr="00085F07">
        <w:t>of up to 2 years or until the point that they are resettled into their accommodatio</w:t>
      </w:r>
      <w:r>
        <w:t>n;</w:t>
      </w:r>
      <w:r w:rsidRPr="00085F07">
        <w:t xml:space="preserve">  </w:t>
      </w:r>
    </w:p>
    <w:p w:rsidR="00E47405" w:rsidRPr="00085F07" w:rsidRDefault="00E47405" w:rsidP="00FE4A68">
      <w:pPr>
        <w:pStyle w:val="BodyText"/>
        <w:numPr>
          <w:ilvl w:val="0"/>
          <w:numId w:val="12"/>
        </w:numPr>
        <w:autoSpaceDE w:val="0"/>
        <w:autoSpaceDN w:val="0"/>
        <w:adjustRightInd w:val="0"/>
        <w:spacing w:after="0"/>
      </w:pPr>
      <w:r w:rsidRPr="00085F07">
        <w:t>Services directly attributable to Carers are not chargeable</w:t>
      </w:r>
      <w:r>
        <w:t>;</w:t>
      </w:r>
      <w:r w:rsidRPr="00085F07">
        <w:t xml:space="preserve"> </w:t>
      </w:r>
    </w:p>
    <w:p w:rsidR="00E47405" w:rsidRPr="00085F07" w:rsidRDefault="00E47405" w:rsidP="00FE4A68">
      <w:pPr>
        <w:pStyle w:val="BodyText"/>
        <w:numPr>
          <w:ilvl w:val="0"/>
          <w:numId w:val="12"/>
        </w:numPr>
        <w:autoSpaceDE w:val="0"/>
        <w:autoSpaceDN w:val="0"/>
        <w:adjustRightInd w:val="0"/>
        <w:spacing w:after="0"/>
      </w:pPr>
      <w:r w:rsidRPr="00085F07">
        <w:t>People who ar</w:t>
      </w:r>
      <w:r>
        <w:t xml:space="preserve">e subject to a </w:t>
      </w:r>
      <w:hyperlink r:id="rId21" w:history="1">
        <w:r w:rsidRPr="006A420C">
          <w:rPr>
            <w:rStyle w:val="Hyperlink"/>
          </w:rPr>
          <w:t>Compulsion Order</w:t>
        </w:r>
      </w:hyperlink>
      <w:r w:rsidR="006A420C" w:rsidRPr="006A420C">
        <w:rPr>
          <w:rStyle w:val="FootnoteReference"/>
        </w:rPr>
        <w:footnoteReference w:id="10"/>
      </w:r>
      <w:r w:rsidRPr="006A420C">
        <w:t>;</w:t>
      </w:r>
    </w:p>
    <w:p w:rsidR="00E47405" w:rsidRDefault="00E47405" w:rsidP="00FE4A68">
      <w:pPr>
        <w:pStyle w:val="BodyText"/>
        <w:numPr>
          <w:ilvl w:val="0"/>
          <w:numId w:val="12"/>
        </w:numPr>
        <w:autoSpaceDE w:val="0"/>
        <w:autoSpaceDN w:val="0"/>
        <w:adjustRightInd w:val="0"/>
        <w:spacing w:after="0"/>
      </w:pPr>
      <w:r w:rsidRPr="00085F07">
        <w:t>Services for children (under 19 years of age) will continue to be exempt from charging for non</w:t>
      </w:r>
      <w:r>
        <w:t>-residential services;</w:t>
      </w:r>
    </w:p>
    <w:p w:rsidR="00E47405" w:rsidRDefault="00E47405" w:rsidP="00FE4A68">
      <w:pPr>
        <w:pStyle w:val="BodyText"/>
        <w:numPr>
          <w:ilvl w:val="0"/>
          <w:numId w:val="12"/>
        </w:numPr>
        <w:autoSpaceDE w:val="0"/>
        <w:autoSpaceDN w:val="0"/>
        <w:adjustRightInd w:val="0"/>
        <w:spacing w:after="0"/>
      </w:pPr>
      <w:r>
        <w:t xml:space="preserve">People who are </w:t>
      </w:r>
      <w:r w:rsidRPr="00F50071">
        <w:t>terminally ill</w:t>
      </w:r>
      <w:r w:rsidR="00F50071" w:rsidRPr="00F50071">
        <w:t xml:space="preserve"> (see </w:t>
      </w:r>
      <w:hyperlink w:anchor="_Terminal_Illness" w:history="1">
        <w:r w:rsidR="00F50071" w:rsidRPr="006A420C">
          <w:rPr>
            <w:rStyle w:val="Hyperlink"/>
          </w:rPr>
          <w:t>section 8.3</w:t>
        </w:r>
      </w:hyperlink>
      <w:r w:rsidR="00F50071" w:rsidRPr="00F50071">
        <w:t xml:space="preserve"> below)</w:t>
      </w:r>
      <w:r w:rsidRPr="00F50071">
        <w:t>;</w:t>
      </w:r>
    </w:p>
    <w:p w:rsidR="00E47405" w:rsidRPr="00CE555B" w:rsidRDefault="00E47405" w:rsidP="00FE4A68">
      <w:pPr>
        <w:pStyle w:val="BodyText"/>
        <w:numPr>
          <w:ilvl w:val="0"/>
          <w:numId w:val="12"/>
        </w:numPr>
        <w:autoSpaceDE w:val="0"/>
        <w:autoSpaceDN w:val="0"/>
        <w:adjustRightInd w:val="0"/>
        <w:spacing w:after="0"/>
      </w:pPr>
      <w:r w:rsidRPr="00CE555B">
        <w:t>A service user who is in receipt of the Independent Living Fund</w:t>
      </w:r>
      <w:r w:rsidR="00746206">
        <w:t xml:space="preserve"> and makes a contribution to their weekly award</w:t>
      </w:r>
      <w:r w:rsidR="006F2465">
        <w:t xml:space="preserve"> will be exempt from</w:t>
      </w:r>
      <w:r w:rsidR="006D10C8">
        <w:t xml:space="preserve"> non residential</w:t>
      </w:r>
      <w:r w:rsidR="006F2465">
        <w:t xml:space="preserve"> means tested charges and fixed charges for day </w:t>
      </w:r>
      <w:r w:rsidR="006D10C8">
        <w:t xml:space="preserve">opportunities. </w:t>
      </w:r>
    </w:p>
    <w:p w:rsidR="00E47405" w:rsidRPr="00CB6C16" w:rsidRDefault="00E47405" w:rsidP="00FE4A68">
      <w:pPr>
        <w:pStyle w:val="Heading1"/>
        <w:keepLines/>
        <w:numPr>
          <w:ilvl w:val="0"/>
          <w:numId w:val="6"/>
        </w:numPr>
        <w:spacing w:before="480" w:line="276" w:lineRule="auto"/>
        <w:rPr>
          <w:u w:val="single"/>
        </w:rPr>
      </w:pPr>
      <w:bookmarkStart w:id="16" w:name="_Charging_Guidance"/>
      <w:bookmarkStart w:id="17" w:name="_Toc131412102"/>
      <w:bookmarkEnd w:id="16"/>
      <w:r w:rsidRPr="00CB6C16">
        <w:rPr>
          <w:u w:val="single"/>
        </w:rPr>
        <w:lastRenderedPageBreak/>
        <w:t>Charging Guidance</w:t>
      </w:r>
      <w:bookmarkEnd w:id="17"/>
    </w:p>
    <w:p w:rsidR="00E47405" w:rsidRPr="00CB6C16" w:rsidRDefault="00E47405" w:rsidP="00FE4A68">
      <w:pPr>
        <w:pStyle w:val="Heading1"/>
        <w:keepLines/>
        <w:numPr>
          <w:ilvl w:val="1"/>
          <w:numId w:val="6"/>
        </w:numPr>
        <w:spacing w:before="480" w:line="276" w:lineRule="auto"/>
        <w:rPr>
          <w:u w:val="single"/>
        </w:rPr>
      </w:pPr>
      <w:bookmarkStart w:id="18" w:name="_Toc131412103"/>
      <w:r w:rsidRPr="00CB6C16">
        <w:rPr>
          <w:u w:val="single"/>
        </w:rPr>
        <w:t>Chargeable services</w:t>
      </w:r>
      <w:bookmarkEnd w:id="18"/>
      <w:r w:rsidRPr="00CB6C16">
        <w:rPr>
          <w:u w:val="single"/>
        </w:rPr>
        <w:t xml:space="preserve"> </w:t>
      </w:r>
    </w:p>
    <w:p w:rsidR="00E47405" w:rsidRPr="002975E3" w:rsidRDefault="00E47405" w:rsidP="00E47405"/>
    <w:p w:rsidR="00B37461" w:rsidRDefault="00E47405" w:rsidP="00E47405">
      <w:pPr>
        <w:pStyle w:val="BodyText"/>
      </w:pPr>
      <w:bookmarkStart w:id="19" w:name="_Councils_have_the"/>
      <w:bookmarkEnd w:id="19"/>
      <w:r w:rsidRPr="00641912">
        <w:t>Councils</w:t>
      </w:r>
      <w:r w:rsidRPr="00641912">
        <w:rPr>
          <w:spacing w:val="-7"/>
        </w:rPr>
        <w:t xml:space="preserve"> </w:t>
      </w:r>
      <w:r w:rsidRPr="00641912">
        <w:t>have</w:t>
      </w:r>
      <w:r w:rsidRPr="00641912">
        <w:rPr>
          <w:spacing w:val="-6"/>
        </w:rPr>
        <w:t xml:space="preserve"> </w:t>
      </w:r>
      <w:r w:rsidRPr="00641912">
        <w:rPr>
          <w:spacing w:val="-1"/>
        </w:rPr>
        <w:t>the</w:t>
      </w:r>
      <w:r w:rsidRPr="00641912">
        <w:rPr>
          <w:spacing w:val="-6"/>
        </w:rPr>
        <w:t xml:space="preserve"> </w:t>
      </w:r>
      <w:r w:rsidRPr="00641912">
        <w:rPr>
          <w:spacing w:val="-1"/>
        </w:rPr>
        <w:t>power</w:t>
      </w:r>
      <w:r w:rsidRPr="00641912">
        <w:rPr>
          <w:spacing w:val="-10"/>
        </w:rPr>
        <w:t xml:space="preserve"> </w:t>
      </w:r>
      <w:r w:rsidRPr="00641912">
        <w:t>to</w:t>
      </w:r>
      <w:r w:rsidRPr="00641912">
        <w:rPr>
          <w:spacing w:val="-1"/>
        </w:rPr>
        <w:t xml:space="preserve"> </w:t>
      </w:r>
      <w:r w:rsidRPr="00641912">
        <w:t>charge</w:t>
      </w:r>
      <w:r w:rsidRPr="00641912">
        <w:rPr>
          <w:spacing w:val="-11"/>
        </w:rPr>
        <w:t xml:space="preserve"> </w:t>
      </w:r>
      <w:r w:rsidRPr="00641912">
        <w:rPr>
          <w:spacing w:val="-1"/>
        </w:rPr>
        <w:t>for</w:t>
      </w:r>
      <w:r w:rsidRPr="00641912">
        <w:rPr>
          <w:spacing w:val="-5"/>
        </w:rPr>
        <w:t xml:space="preserve"> </w:t>
      </w:r>
      <w:r w:rsidRPr="00641912">
        <w:t>the</w:t>
      </w:r>
      <w:r w:rsidRPr="00641912">
        <w:rPr>
          <w:spacing w:val="-5"/>
        </w:rPr>
        <w:t xml:space="preserve"> </w:t>
      </w:r>
      <w:r w:rsidRPr="00641912">
        <w:t>following</w:t>
      </w:r>
      <w:r>
        <w:t xml:space="preserve"> </w:t>
      </w:r>
      <w:r w:rsidRPr="00641912">
        <w:rPr>
          <w:spacing w:val="-12"/>
        </w:rPr>
        <w:t>adult</w:t>
      </w:r>
      <w:r w:rsidRPr="00641912">
        <w:rPr>
          <w:spacing w:val="-5"/>
        </w:rPr>
        <w:t xml:space="preserve"> </w:t>
      </w:r>
      <w:r w:rsidRPr="00641912">
        <w:t>non-residential</w:t>
      </w:r>
      <w:r w:rsidRPr="00641912">
        <w:rPr>
          <w:spacing w:val="-17"/>
        </w:rPr>
        <w:t xml:space="preserve"> </w:t>
      </w:r>
      <w:r w:rsidRPr="00641912">
        <w:t>care</w:t>
      </w:r>
      <w:r>
        <w:rPr>
          <w:spacing w:val="51"/>
        </w:rPr>
        <w:t xml:space="preserve"> </w:t>
      </w:r>
      <w:r w:rsidRPr="00641912">
        <w:t>services</w:t>
      </w:r>
      <w:r w:rsidR="00522852">
        <w:rPr>
          <w:color w:val="FF0000"/>
        </w:rPr>
        <w:t xml:space="preserve">.  </w:t>
      </w:r>
      <w:r w:rsidR="00522852" w:rsidRPr="006F41EB">
        <w:t xml:space="preserve">The exceptions to charge are notes above in relation to </w:t>
      </w:r>
      <w:r w:rsidR="00825297">
        <w:t>free personal care</w:t>
      </w:r>
      <w:r w:rsidR="00F50071" w:rsidRPr="006F41EB">
        <w:t xml:space="preserve"> and some elements of respite</w:t>
      </w:r>
      <w:r w:rsidR="00522852" w:rsidRPr="006F41EB">
        <w:t>.</w:t>
      </w:r>
      <w:r w:rsidR="006F41EB" w:rsidRPr="006F41EB">
        <w:t xml:space="preserve">  The definitio</w:t>
      </w:r>
      <w:r w:rsidR="006F41EB">
        <w:t xml:space="preserve">n of Respite can be found </w:t>
      </w:r>
      <w:hyperlink r:id="rId22" w:history="1">
        <w:r w:rsidR="006F41EB" w:rsidRPr="006F41EB">
          <w:rPr>
            <w:rStyle w:val="Hyperlink"/>
          </w:rPr>
          <w:t>here</w:t>
        </w:r>
      </w:hyperlink>
      <w:r w:rsidR="006F41EB">
        <w:t xml:space="preserve"> </w:t>
      </w:r>
      <w:r w:rsidR="006F41EB" w:rsidRPr="006F41EB">
        <w:t xml:space="preserve">and further information on the </w:t>
      </w:r>
      <w:r w:rsidR="00B37461">
        <w:t xml:space="preserve">WDC </w:t>
      </w:r>
      <w:r w:rsidR="006F41EB" w:rsidRPr="006F41EB">
        <w:t xml:space="preserve">Carers Strategy can be found </w:t>
      </w:r>
      <w:hyperlink r:id="rId23" w:history="1">
        <w:r w:rsidR="006F41EB" w:rsidRPr="00B37461">
          <w:rPr>
            <w:rStyle w:val="Hyperlink"/>
          </w:rPr>
          <w:t>here</w:t>
        </w:r>
      </w:hyperlink>
      <w:r w:rsidR="00B37461">
        <w:t>.</w:t>
      </w:r>
    </w:p>
    <w:p w:rsidR="00E47405" w:rsidRPr="00641912" w:rsidRDefault="00522852" w:rsidP="00E47405">
      <w:pPr>
        <w:pStyle w:val="BodyText"/>
      </w:pPr>
      <w:r w:rsidRPr="006F41EB">
        <w:t>The list below is not exhaustive</w:t>
      </w:r>
      <w:r w:rsidR="00E47405" w:rsidRPr="006F41EB">
        <w:t>:</w:t>
      </w:r>
    </w:p>
    <w:p w:rsidR="00E47405" w:rsidRDefault="00E47405" w:rsidP="00E47405">
      <w:pPr>
        <w:pStyle w:val="BodyText"/>
        <w:sectPr w:rsidR="00E47405" w:rsidSect="00434A2A">
          <w:headerReference w:type="even" r:id="rId24"/>
          <w:headerReference w:type="default" r:id="rId25"/>
          <w:footerReference w:type="default" r:id="rId26"/>
          <w:headerReference w:type="first" r:id="rId27"/>
          <w:pgSz w:w="12240" w:h="15840"/>
          <w:pgMar w:top="567" w:right="1440" w:bottom="1440" w:left="1440" w:header="720" w:footer="720" w:gutter="0"/>
          <w:cols w:space="720"/>
          <w:noEndnote/>
        </w:sectPr>
      </w:pPr>
    </w:p>
    <w:p w:rsidR="00E47405" w:rsidRPr="00622104" w:rsidRDefault="00E47405" w:rsidP="00FE4A68">
      <w:pPr>
        <w:pStyle w:val="BodyText"/>
        <w:numPr>
          <w:ilvl w:val="0"/>
          <w:numId w:val="13"/>
        </w:numPr>
        <w:autoSpaceDE w:val="0"/>
        <w:autoSpaceDN w:val="0"/>
        <w:adjustRightInd w:val="0"/>
        <w:spacing w:after="0"/>
      </w:pPr>
      <w:r>
        <w:t xml:space="preserve">Care at home for </w:t>
      </w:r>
      <w:r w:rsidRPr="00622104">
        <w:t>non-personal care</w:t>
      </w:r>
    </w:p>
    <w:p w:rsidR="00E47405" w:rsidRPr="00622104" w:rsidRDefault="00E47405" w:rsidP="00FE4A68">
      <w:pPr>
        <w:pStyle w:val="BodyText"/>
        <w:numPr>
          <w:ilvl w:val="0"/>
          <w:numId w:val="13"/>
        </w:numPr>
        <w:autoSpaceDE w:val="0"/>
        <w:autoSpaceDN w:val="0"/>
        <w:adjustRightInd w:val="0"/>
        <w:spacing w:after="0"/>
      </w:pPr>
      <w:r w:rsidRPr="00622104">
        <w:t>Housing Support</w:t>
      </w:r>
    </w:p>
    <w:p w:rsidR="00E47405" w:rsidRPr="00622104" w:rsidRDefault="00E47405" w:rsidP="00FE4A68">
      <w:pPr>
        <w:pStyle w:val="BodyText"/>
        <w:numPr>
          <w:ilvl w:val="0"/>
          <w:numId w:val="13"/>
        </w:numPr>
        <w:autoSpaceDE w:val="0"/>
        <w:autoSpaceDN w:val="0"/>
        <w:adjustRightInd w:val="0"/>
        <w:spacing w:after="0"/>
      </w:pPr>
      <w:r w:rsidRPr="00622104">
        <w:t>Community Support</w:t>
      </w:r>
      <w:r>
        <w:t xml:space="preserve"> (including social support)</w:t>
      </w:r>
    </w:p>
    <w:p w:rsidR="00E47405" w:rsidRPr="00622104" w:rsidRDefault="00E47405" w:rsidP="00FE4A68">
      <w:pPr>
        <w:pStyle w:val="BodyText"/>
        <w:numPr>
          <w:ilvl w:val="0"/>
          <w:numId w:val="13"/>
        </w:numPr>
        <w:autoSpaceDE w:val="0"/>
        <w:autoSpaceDN w:val="0"/>
        <w:adjustRightInd w:val="0"/>
        <w:spacing w:after="0"/>
      </w:pPr>
      <w:r>
        <w:t>Building based day o</w:t>
      </w:r>
      <w:r w:rsidRPr="00622104">
        <w:t>pportunities</w:t>
      </w:r>
    </w:p>
    <w:p w:rsidR="00E47405" w:rsidRPr="00622104" w:rsidRDefault="00E47405" w:rsidP="00FE4A68">
      <w:pPr>
        <w:pStyle w:val="BodyText"/>
        <w:numPr>
          <w:ilvl w:val="0"/>
          <w:numId w:val="13"/>
        </w:numPr>
        <w:autoSpaceDE w:val="0"/>
        <w:autoSpaceDN w:val="0"/>
        <w:adjustRightInd w:val="0"/>
        <w:spacing w:after="0"/>
      </w:pPr>
      <w:r w:rsidRPr="00622104">
        <w:t>Lunch clubs</w:t>
      </w:r>
    </w:p>
    <w:p w:rsidR="00E47405" w:rsidRPr="00D70F3A" w:rsidRDefault="00E47405" w:rsidP="00FE4A68">
      <w:pPr>
        <w:pStyle w:val="BodyText"/>
        <w:numPr>
          <w:ilvl w:val="0"/>
          <w:numId w:val="13"/>
        </w:numPr>
        <w:autoSpaceDE w:val="0"/>
        <w:autoSpaceDN w:val="0"/>
        <w:adjustRightInd w:val="0"/>
        <w:spacing w:after="0"/>
      </w:pPr>
      <w:r w:rsidRPr="00D70F3A">
        <w:t>Meals at home</w:t>
      </w:r>
    </w:p>
    <w:p w:rsidR="00E47405" w:rsidRPr="00D70F3A" w:rsidRDefault="00E47405" w:rsidP="00FE4A68">
      <w:pPr>
        <w:pStyle w:val="BodyText"/>
        <w:numPr>
          <w:ilvl w:val="0"/>
          <w:numId w:val="13"/>
        </w:numPr>
        <w:autoSpaceDE w:val="0"/>
        <w:autoSpaceDN w:val="0"/>
        <w:adjustRightInd w:val="0"/>
        <w:spacing w:after="0"/>
      </w:pPr>
      <w:r w:rsidRPr="00D70F3A">
        <w:t>Wardens in sheltered housing</w:t>
      </w:r>
    </w:p>
    <w:p w:rsidR="00E47405" w:rsidRPr="00D70F3A" w:rsidRDefault="00E47405" w:rsidP="00FE4A68">
      <w:pPr>
        <w:pStyle w:val="BodyText"/>
        <w:numPr>
          <w:ilvl w:val="0"/>
          <w:numId w:val="13"/>
        </w:numPr>
        <w:autoSpaceDE w:val="0"/>
        <w:autoSpaceDN w:val="0"/>
        <w:adjustRightInd w:val="0"/>
        <w:spacing w:after="0"/>
      </w:pPr>
      <w:r w:rsidRPr="00D70F3A">
        <w:t>Community alarms and telecare</w:t>
      </w:r>
    </w:p>
    <w:p w:rsidR="00E47405" w:rsidRPr="00D70F3A" w:rsidRDefault="00E47405" w:rsidP="00FE4A68">
      <w:pPr>
        <w:pStyle w:val="BodyText"/>
        <w:numPr>
          <w:ilvl w:val="0"/>
          <w:numId w:val="13"/>
        </w:numPr>
        <w:autoSpaceDE w:val="0"/>
        <w:autoSpaceDN w:val="0"/>
        <w:adjustRightInd w:val="0"/>
        <w:spacing w:after="0"/>
      </w:pPr>
      <w:r w:rsidRPr="00D70F3A">
        <w:t>Laundry services</w:t>
      </w:r>
    </w:p>
    <w:p w:rsidR="00E47405" w:rsidRDefault="00E47405" w:rsidP="00FE4A68">
      <w:pPr>
        <w:pStyle w:val="BodyText"/>
        <w:numPr>
          <w:ilvl w:val="0"/>
          <w:numId w:val="13"/>
        </w:numPr>
        <w:autoSpaceDE w:val="0"/>
        <w:autoSpaceDN w:val="0"/>
        <w:adjustRightInd w:val="0"/>
        <w:spacing w:after="0"/>
      </w:pPr>
      <w:r w:rsidRPr="00D70F3A">
        <w:t>Blue Badge Administration Scheme</w:t>
      </w:r>
      <w:r>
        <w:t xml:space="preserve">. </w:t>
      </w:r>
      <w:r w:rsidRPr="00705F3E">
        <w:t>Local Authorities administer the Blue Badge Scheme on beh</w:t>
      </w:r>
      <w:r>
        <w:t>alf of the Scottish Government</w:t>
      </w:r>
    </w:p>
    <w:p w:rsidR="00E47405" w:rsidRPr="00D70F3A" w:rsidRDefault="00E47405" w:rsidP="00FE4A68">
      <w:pPr>
        <w:pStyle w:val="BodyText"/>
        <w:numPr>
          <w:ilvl w:val="0"/>
          <w:numId w:val="13"/>
        </w:numPr>
        <w:autoSpaceDE w:val="0"/>
        <w:autoSpaceDN w:val="0"/>
        <w:adjustRightInd w:val="0"/>
        <w:spacing w:after="0"/>
      </w:pPr>
      <w:r>
        <w:t>Transport</w:t>
      </w:r>
    </w:p>
    <w:p w:rsidR="00E47405" w:rsidRDefault="00E47405" w:rsidP="00E47405"/>
    <w:p w:rsidR="00E47405" w:rsidRDefault="00E47405" w:rsidP="00E47405">
      <w:r w:rsidRPr="00AE4F15">
        <w:rPr>
          <w:b/>
          <w:i/>
        </w:rPr>
        <w:t>Note:</w:t>
      </w:r>
      <w:r>
        <w:t xml:space="preserve"> </w:t>
      </w:r>
      <w:r w:rsidRPr="00FE0817">
        <w:t>I</w:t>
      </w:r>
      <w:r w:rsidR="007337BA">
        <w:t xml:space="preserve">f a service user is in hospital </w:t>
      </w:r>
      <w:r>
        <w:t>then a credit can be requested by the service user notifying their social worker or point of contact within HSCP.</w:t>
      </w:r>
    </w:p>
    <w:p w:rsidR="007337BA" w:rsidRDefault="007337BA" w:rsidP="00E47405">
      <w:r w:rsidRPr="007337BA">
        <w:rPr>
          <w:b/>
          <w:i/>
        </w:rPr>
        <w:t>Note:</w:t>
      </w:r>
      <w:r>
        <w:t xml:space="preserve"> If a service user declines a service on a particular day or doesn’t show up to day centre, then a charge will still be applied.</w:t>
      </w:r>
    </w:p>
    <w:p w:rsidR="00E47405" w:rsidRDefault="00E47405" w:rsidP="00E47405">
      <w:r w:rsidRPr="007337BA">
        <w:rPr>
          <w:b/>
          <w:i/>
        </w:rPr>
        <w:t>Note:</w:t>
      </w:r>
      <w:r>
        <w:t xml:space="preserve"> if a service user is brought into a service under emergency care, charging won’t begin until week six of utilising the service. </w:t>
      </w:r>
    </w:p>
    <w:p w:rsidR="00E47405" w:rsidRPr="00CB6C16" w:rsidRDefault="00E47405" w:rsidP="00E47405">
      <w:pPr>
        <w:pStyle w:val="Heading1"/>
        <w:keepLines/>
        <w:numPr>
          <w:ilvl w:val="1"/>
          <w:numId w:val="6"/>
        </w:numPr>
        <w:spacing w:before="480" w:line="276" w:lineRule="auto"/>
        <w:rPr>
          <w:u w:val="single"/>
        </w:rPr>
      </w:pPr>
      <w:bookmarkStart w:id="20" w:name="_Toc131412104"/>
      <w:r w:rsidRPr="00CB6C16">
        <w:rPr>
          <w:u w:val="single"/>
        </w:rPr>
        <w:t>Non Chargeable services</w:t>
      </w:r>
      <w:bookmarkEnd w:id="20"/>
    </w:p>
    <w:p w:rsidR="00E47405" w:rsidRDefault="00E47405" w:rsidP="00AE4F15">
      <w:pPr>
        <w:pStyle w:val="BodyText"/>
        <w:spacing w:after="0"/>
      </w:pPr>
      <w:r>
        <w:t>The following services are non-chargeable:</w:t>
      </w:r>
    </w:p>
    <w:p w:rsidR="00E47405" w:rsidRPr="00777C37" w:rsidRDefault="00E47405" w:rsidP="00AE4F15">
      <w:pPr>
        <w:pStyle w:val="BodyText"/>
        <w:spacing w:after="0"/>
      </w:pPr>
    </w:p>
    <w:p w:rsidR="00E47405" w:rsidRPr="00D70F3A" w:rsidRDefault="00E47405" w:rsidP="00FE4A68">
      <w:pPr>
        <w:pStyle w:val="BodyText"/>
        <w:numPr>
          <w:ilvl w:val="0"/>
          <w:numId w:val="14"/>
        </w:numPr>
        <w:autoSpaceDE w:val="0"/>
        <w:autoSpaceDN w:val="0"/>
        <w:adjustRightInd w:val="0"/>
        <w:spacing w:after="0"/>
      </w:pPr>
      <w:r>
        <w:t>Services provided where t</w:t>
      </w:r>
      <w:r w:rsidRPr="00D70F3A">
        <w:t>he primary reason for service provision is to monitor children under “supervision” or children and families in crisis;</w:t>
      </w:r>
    </w:p>
    <w:p w:rsidR="00E47405" w:rsidRPr="00D70F3A" w:rsidRDefault="00E47405" w:rsidP="00FE4A68">
      <w:pPr>
        <w:pStyle w:val="BodyText"/>
        <w:numPr>
          <w:ilvl w:val="0"/>
          <w:numId w:val="14"/>
        </w:numPr>
        <w:autoSpaceDE w:val="0"/>
        <w:autoSpaceDN w:val="0"/>
        <w:adjustRightInd w:val="0"/>
        <w:spacing w:after="0"/>
      </w:pPr>
      <w:r w:rsidRPr="00D70F3A">
        <w:t xml:space="preserve">Services provided to </w:t>
      </w:r>
      <w:r>
        <w:t>anyone with a compulsory order</w:t>
      </w:r>
      <w:r w:rsidRPr="00D70F3A">
        <w:t xml:space="preserve"> under the </w:t>
      </w:r>
      <w:hyperlink r:id="rId28" w:history="1">
        <w:r w:rsidRPr="00D70F3A">
          <w:t>Mental Health (Care and Treatment) (Scotland) Act 2003</w:t>
        </w:r>
      </w:hyperlink>
      <w:r w:rsidRPr="00D70F3A">
        <w:t>;</w:t>
      </w:r>
    </w:p>
    <w:p w:rsidR="00E47405" w:rsidRDefault="00E47405" w:rsidP="00FE4A68">
      <w:pPr>
        <w:pStyle w:val="BodyText"/>
        <w:numPr>
          <w:ilvl w:val="0"/>
          <w:numId w:val="14"/>
        </w:numPr>
        <w:autoSpaceDE w:val="0"/>
        <w:autoSpaceDN w:val="0"/>
        <w:adjustRightInd w:val="0"/>
        <w:spacing w:after="0"/>
      </w:pPr>
      <w:r w:rsidRPr="00D70F3A">
        <w:t xml:space="preserve">Services provided to adults subject to measures under </w:t>
      </w:r>
      <w:hyperlink r:id="rId29" w:history="1">
        <w:r w:rsidRPr="00D70F3A">
          <w:t>the Adult Support and Protection (Scotland) Act 2007</w:t>
        </w:r>
      </w:hyperlink>
      <w:r>
        <w:t>;</w:t>
      </w:r>
      <w:r w:rsidRPr="00075178">
        <w:t xml:space="preserve"> </w:t>
      </w:r>
    </w:p>
    <w:p w:rsidR="00E47405" w:rsidRPr="00D70F3A" w:rsidRDefault="00E47405" w:rsidP="00FE4A68">
      <w:pPr>
        <w:pStyle w:val="BodyText"/>
        <w:numPr>
          <w:ilvl w:val="0"/>
          <w:numId w:val="14"/>
        </w:numPr>
        <w:autoSpaceDE w:val="0"/>
        <w:autoSpaceDN w:val="0"/>
        <w:adjustRightInd w:val="0"/>
        <w:spacing w:after="0"/>
      </w:pPr>
      <w:r w:rsidRPr="00D70F3A">
        <w:t>Charges cannot be made for criminal justice social work services, advice and information about the availability of services, and assessment of care needs or care management</w:t>
      </w:r>
      <w:r>
        <w:t>;</w:t>
      </w:r>
    </w:p>
    <w:p w:rsidR="00E47405" w:rsidRDefault="00E47405" w:rsidP="00FE4A68">
      <w:pPr>
        <w:pStyle w:val="BodyText"/>
        <w:numPr>
          <w:ilvl w:val="0"/>
          <w:numId w:val="14"/>
        </w:numPr>
        <w:autoSpaceDE w:val="0"/>
        <w:autoSpaceDN w:val="0"/>
        <w:adjustRightInd w:val="0"/>
        <w:spacing w:after="0"/>
      </w:pPr>
      <w:r w:rsidRPr="00D70F3A">
        <w:t>Nursing Care and Personal Care for people of all ages</w:t>
      </w:r>
      <w:r>
        <w:t xml:space="preserve">; </w:t>
      </w:r>
    </w:p>
    <w:p w:rsidR="00E47405" w:rsidRPr="00D70F3A" w:rsidRDefault="00E47405" w:rsidP="00FE4A68">
      <w:pPr>
        <w:pStyle w:val="BodyText"/>
        <w:numPr>
          <w:ilvl w:val="0"/>
          <w:numId w:val="14"/>
        </w:numPr>
        <w:autoSpaceDE w:val="0"/>
        <w:autoSpaceDN w:val="0"/>
        <w:adjustRightInd w:val="0"/>
        <w:spacing w:after="0"/>
      </w:pPr>
      <w:r w:rsidRPr="00705F3E">
        <w:t xml:space="preserve">Services directly attributable to </w:t>
      </w:r>
      <w:hyperlink r:id="rId30" w:history="1">
        <w:r w:rsidRPr="00B37461">
          <w:rPr>
            <w:rStyle w:val="Hyperlink"/>
          </w:rPr>
          <w:t>Carers</w:t>
        </w:r>
      </w:hyperlink>
      <w:r w:rsidRPr="00705F3E">
        <w:t xml:space="preserve"> are not chargeable</w:t>
      </w:r>
      <w:r>
        <w:t xml:space="preserve">, example </w:t>
      </w:r>
      <w:hyperlink r:id="rId31" w:history="1">
        <w:r w:rsidRPr="00B37461">
          <w:rPr>
            <w:rStyle w:val="Hyperlink"/>
          </w:rPr>
          <w:t>respite</w:t>
        </w:r>
      </w:hyperlink>
      <w:r>
        <w:t xml:space="preserve"> and short breaks;</w:t>
      </w:r>
    </w:p>
    <w:p w:rsidR="00E47405" w:rsidRDefault="00E47405" w:rsidP="00FE4A68">
      <w:pPr>
        <w:pStyle w:val="BodyText"/>
        <w:numPr>
          <w:ilvl w:val="0"/>
          <w:numId w:val="14"/>
        </w:numPr>
        <w:autoSpaceDE w:val="0"/>
        <w:autoSpaceDN w:val="0"/>
        <w:adjustRightInd w:val="0"/>
        <w:spacing w:after="0"/>
      </w:pPr>
      <w:r>
        <w:lastRenderedPageBreak/>
        <w:t>P</w:t>
      </w:r>
      <w:r w:rsidRPr="00705F3E">
        <w:t>reparation of or the provision of assistance with the preparation of food is not chargeable</w:t>
      </w:r>
      <w:r>
        <w:t>;</w:t>
      </w:r>
    </w:p>
    <w:p w:rsidR="00E47405" w:rsidRDefault="00E47405" w:rsidP="00FE4A68">
      <w:pPr>
        <w:pStyle w:val="BodyText"/>
        <w:numPr>
          <w:ilvl w:val="0"/>
          <w:numId w:val="14"/>
        </w:numPr>
        <w:autoSpaceDE w:val="0"/>
        <w:autoSpaceDN w:val="0"/>
        <w:adjustRightInd w:val="0"/>
        <w:spacing w:after="0"/>
      </w:pPr>
      <w:r w:rsidRPr="00705F3E">
        <w:t>Services for children (under 19 years of age) will continue to be exempt from charging for non-residential services</w:t>
      </w:r>
      <w:r>
        <w:t>;</w:t>
      </w:r>
    </w:p>
    <w:p w:rsidR="00E47405" w:rsidRDefault="00E47405" w:rsidP="00FE4A68">
      <w:pPr>
        <w:pStyle w:val="BodyText"/>
        <w:numPr>
          <w:ilvl w:val="0"/>
          <w:numId w:val="14"/>
        </w:numPr>
        <w:autoSpaceDE w:val="0"/>
        <w:autoSpaceDN w:val="0"/>
        <w:adjustRightInd w:val="0"/>
        <w:spacing w:after="0"/>
      </w:pPr>
      <w:r w:rsidRPr="00705F3E">
        <w:t>Clients presenting as homeless are exempt from charging for a period of up to 2 years or until the point that they are res</w:t>
      </w:r>
      <w:r>
        <w:t>ettled into their accommodation;</w:t>
      </w:r>
      <w:r w:rsidRPr="00705F3E">
        <w:t xml:space="preserve"> </w:t>
      </w:r>
    </w:p>
    <w:p w:rsidR="00901D93" w:rsidRDefault="00901D93" w:rsidP="00FE4A68">
      <w:pPr>
        <w:pStyle w:val="BodyText"/>
        <w:numPr>
          <w:ilvl w:val="0"/>
          <w:numId w:val="14"/>
        </w:numPr>
        <w:autoSpaceDE w:val="0"/>
        <w:autoSpaceDN w:val="0"/>
        <w:adjustRightInd w:val="0"/>
        <w:spacing w:after="0"/>
      </w:pPr>
      <w:r>
        <w:t>Home Care services for 42 days on discharge from hospital;</w:t>
      </w:r>
    </w:p>
    <w:p w:rsidR="00E47405" w:rsidRDefault="00E47405" w:rsidP="00FE4A68">
      <w:pPr>
        <w:pStyle w:val="BodyText"/>
        <w:numPr>
          <w:ilvl w:val="0"/>
          <w:numId w:val="14"/>
        </w:numPr>
        <w:autoSpaceDE w:val="0"/>
        <w:autoSpaceDN w:val="0"/>
        <w:adjustRightInd w:val="0"/>
        <w:spacing w:after="0"/>
      </w:pPr>
      <w:r w:rsidRPr="00F853AE">
        <w:t>Support for people who are subject to Compulsion Orders under the Criminal Procedure (Scotland) Act 2003</w:t>
      </w:r>
      <w:r>
        <w:t>; and</w:t>
      </w:r>
    </w:p>
    <w:p w:rsidR="00E47405" w:rsidRPr="00F853AE" w:rsidRDefault="00E47405" w:rsidP="00CA0D49">
      <w:pPr>
        <w:pStyle w:val="BodyText"/>
        <w:numPr>
          <w:ilvl w:val="0"/>
          <w:numId w:val="14"/>
        </w:numPr>
        <w:autoSpaceDE w:val="0"/>
        <w:autoSpaceDN w:val="0"/>
        <w:adjustRightInd w:val="0"/>
        <w:spacing w:after="0"/>
      </w:pPr>
      <w:r w:rsidRPr="00F853AE">
        <w:t xml:space="preserve">Support for unpaid carers </w:t>
      </w:r>
      <w:r>
        <w:t>which has been identified and documented within their adult carers support plan.</w:t>
      </w:r>
    </w:p>
    <w:p w:rsidR="00E47405" w:rsidRPr="00F853AE" w:rsidRDefault="00E47405" w:rsidP="00E47405"/>
    <w:p w:rsidR="00E47405" w:rsidRDefault="00FA3774" w:rsidP="00E47405">
      <w:hyperlink w:anchor="_Appendix_1_PERSONAL" w:history="1">
        <w:r w:rsidR="00E47405" w:rsidRPr="00193BE1">
          <w:rPr>
            <w:rStyle w:val="Hyperlink"/>
            <w:rFonts w:eastAsiaTheme="majorEastAsia"/>
          </w:rPr>
          <w:t>Appendix 1</w:t>
        </w:r>
      </w:hyperlink>
      <w:r w:rsidR="00E47405" w:rsidRPr="00D70F3A">
        <w:t xml:space="preserve"> has a detailed list of Personal Care tasks, which</w:t>
      </w:r>
      <w:r w:rsidR="00E47405">
        <w:t xml:space="preserve"> are exempt from charging.</w:t>
      </w:r>
    </w:p>
    <w:p w:rsidR="00E47405" w:rsidRPr="00CB6C16" w:rsidRDefault="00E47405" w:rsidP="00FE4A68">
      <w:pPr>
        <w:pStyle w:val="Heading1"/>
        <w:keepLines/>
        <w:numPr>
          <w:ilvl w:val="1"/>
          <w:numId w:val="6"/>
        </w:numPr>
        <w:spacing w:before="480" w:line="276" w:lineRule="auto"/>
        <w:jc w:val="both"/>
        <w:rPr>
          <w:u w:val="single"/>
        </w:rPr>
      </w:pPr>
      <w:bookmarkStart w:id="21" w:name="_Terminal_Illness"/>
      <w:bookmarkStart w:id="22" w:name="_Toc131412105"/>
      <w:bookmarkEnd w:id="21"/>
      <w:r w:rsidRPr="00CB6C16">
        <w:rPr>
          <w:u w:val="single"/>
        </w:rPr>
        <w:t>Terminal Illness</w:t>
      </w:r>
      <w:bookmarkEnd w:id="22"/>
    </w:p>
    <w:p w:rsidR="00E47405" w:rsidRPr="00DC0D3B" w:rsidRDefault="00E47405" w:rsidP="00E47405"/>
    <w:p w:rsidR="00E77CD4" w:rsidRDefault="00E47405" w:rsidP="00447237">
      <w:pPr>
        <w:pStyle w:val="BodyText"/>
      </w:pPr>
      <w:r>
        <w:t>The Charging Policy</w:t>
      </w:r>
      <w:r w:rsidRPr="00DC0D3B">
        <w:t xml:space="preserve"> exempt</w:t>
      </w:r>
      <w:r>
        <w:t>s service users</w:t>
      </w:r>
      <w:r w:rsidRPr="00DC0D3B">
        <w:t xml:space="preserve"> who are terminally ill. If an individual is terminally ill then the HSCP can waive charges for services that are chargeable.  This means that for all devolved disability benefits (when Social Security Scotland begin delivery) whether a person is eligible will depend on the clinical judgement of a medical practitioner (having paid regard to Chief Medical Officer guidance) that the individual has a progressive disease that can reasonably be expected to cause the individual's death.  </w:t>
      </w:r>
      <w:r>
        <w:t xml:space="preserve">If this is </w:t>
      </w:r>
      <w:r w:rsidRPr="00DC0D3B">
        <w:t>the case</w:t>
      </w:r>
      <w:r>
        <w:t xml:space="preserve">, </w:t>
      </w:r>
      <w:r w:rsidRPr="00DC0D3B">
        <w:t xml:space="preserve">charges for social care </w:t>
      </w:r>
      <w:r>
        <w:t xml:space="preserve">will </w:t>
      </w:r>
      <w:r w:rsidRPr="00DC0D3B">
        <w:t xml:space="preserve">be waived.  This prognosis should be evidenced through a </w:t>
      </w:r>
      <w:r>
        <w:t>benefits assessment under special rules in Benefits Assistance under Special Rules in Scotland (</w:t>
      </w:r>
      <w:r w:rsidRPr="00DC0D3B">
        <w:t>BASRiS</w:t>
      </w:r>
      <w:r>
        <w:t>)</w:t>
      </w:r>
      <w:r w:rsidRPr="00DC0D3B">
        <w:t xml:space="preserve"> form or a letter from the individual’s General Practitioner or hospital consultant confirming the individual has already been awarded a BASRiS.  In situations where a client has a DS1500</w:t>
      </w:r>
      <w:r>
        <w:t xml:space="preserve">, </w:t>
      </w:r>
      <w:r w:rsidRPr="00234921">
        <w:t xml:space="preserve">which confirms a </w:t>
      </w:r>
      <w:r>
        <w:t>service user’s</w:t>
      </w:r>
      <w:r w:rsidRPr="00234921">
        <w:t xml:space="preserve"> diagnosis and treatment plan</w:t>
      </w:r>
      <w:r>
        <w:t xml:space="preserve">, this </w:t>
      </w:r>
      <w:r w:rsidRPr="00DC0D3B">
        <w:t>can also be accepted to confirm prognosis.</w:t>
      </w:r>
    </w:p>
    <w:p w:rsidR="002C5765" w:rsidRDefault="002C5765" w:rsidP="00447237">
      <w:pPr>
        <w:pStyle w:val="BodyText"/>
      </w:pPr>
    </w:p>
    <w:p w:rsidR="00E77CD4" w:rsidRDefault="00E77CD4" w:rsidP="00447237">
      <w:pPr>
        <w:pStyle w:val="BodyText"/>
      </w:pPr>
      <w:r>
        <w:t xml:space="preserve">For further information on the definition of a terminal illness please click </w:t>
      </w:r>
      <w:hyperlink r:id="rId32" w:history="1">
        <w:r w:rsidRPr="00E77CD4">
          <w:rPr>
            <w:rStyle w:val="Hyperlink"/>
          </w:rPr>
          <w:t>here</w:t>
        </w:r>
      </w:hyperlink>
      <w:r>
        <w:t>.</w:t>
      </w:r>
    </w:p>
    <w:p w:rsidR="00E77CD4" w:rsidRDefault="002C5765" w:rsidP="002C5765">
      <w:pPr>
        <w:jc w:val="both"/>
      </w:pPr>
      <w:r w:rsidRPr="002C5765">
        <w:t xml:space="preserve">For information on guidance from the chief medical officer </w:t>
      </w:r>
      <w:r>
        <w:t>on</w:t>
      </w:r>
      <w:r w:rsidRPr="002C5765">
        <w:t xml:space="preserve"> completing a BASRiS form, to comply with the Social Sec</w:t>
      </w:r>
      <w:r>
        <w:t xml:space="preserve">urity (Scotland) Act 2018 please click here </w:t>
      </w:r>
      <w:hyperlink r:id="rId33" w:history="1">
        <w:r w:rsidR="00E77CD4" w:rsidRPr="00D32198">
          <w:rPr>
            <w:rStyle w:val="Hyperlink"/>
            <w:rFonts w:asciiTheme="minorHAnsi" w:hAnsiTheme="minorHAnsi" w:cstheme="minorHAnsi"/>
          </w:rPr>
          <w:t>Chief Medical Officer’s guidance</w:t>
        </w:r>
      </w:hyperlink>
      <w:r w:rsidR="00E77CD4" w:rsidRPr="00D32198">
        <w:rPr>
          <w:rFonts w:asciiTheme="minorHAnsi" w:hAnsiTheme="minorHAnsi" w:cstheme="minorHAnsi"/>
        </w:rPr>
        <w:t xml:space="preserve"> </w:t>
      </w:r>
    </w:p>
    <w:p w:rsidR="00E77CD4" w:rsidRPr="00FD4AA7" w:rsidRDefault="002C5765" w:rsidP="002C5765">
      <w:pPr>
        <w:pStyle w:val="Heading1"/>
        <w:keepLines/>
        <w:spacing w:before="480" w:line="276" w:lineRule="auto"/>
        <w:jc w:val="both"/>
        <w:rPr>
          <w:rFonts w:ascii="Calibri" w:hAnsi="Calibri" w:cs="Calibri"/>
          <w:sz w:val="22"/>
        </w:rPr>
      </w:pPr>
      <w:bookmarkStart w:id="23" w:name="_Toc131412106"/>
      <w:r w:rsidRPr="002C5765">
        <w:t>8.3.1</w:t>
      </w:r>
      <w:r>
        <w:rPr>
          <w:u w:val="single"/>
        </w:rPr>
        <w:t xml:space="preserve"> </w:t>
      </w:r>
      <w:r w:rsidR="00E77CD4" w:rsidRPr="002C5765">
        <w:rPr>
          <w:u w:val="single"/>
        </w:rPr>
        <w:t>How to get BASRiS forms</w:t>
      </w:r>
      <w:bookmarkEnd w:id="23"/>
    </w:p>
    <w:p w:rsidR="00E77CD4" w:rsidRPr="002C5765" w:rsidRDefault="00E77CD4" w:rsidP="00E77CD4">
      <w:pPr>
        <w:jc w:val="both"/>
      </w:pPr>
      <w:r w:rsidRPr="002C5765">
        <w:t xml:space="preserve">Social Security Scotland has sent BASRiS forms to GP Practices, Hospices, private practices and NHS boards. These central bodies should distribute the forms to their staff where relevant. A registered doctor or nurse can now download a PDF version of the BASRiS form and submit it to Social Security Scotland by email. Information on how to do this can be found </w:t>
      </w:r>
      <w:hyperlink r:id="rId34" w:history="1">
        <w:r w:rsidR="002C5765" w:rsidRPr="002C5765">
          <w:rPr>
            <w:rStyle w:val="Hyperlink"/>
          </w:rPr>
          <w:t>here.</w:t>
        </w:r>
      </w:hyperlink>
      <w:r w:rsidRPr="00FD4AA7">
        <w:rPr>
          <w:rFonts w:ascii="Calibri" w:hAnsi="Calibri" w:cs="Calibri"/>
        </w:rPr>
        <w:t xml:space="preserve"> </w:t>
      </w:r>
    </w:p>
    <w:p w:rsidR="00E77CD4" w:rsidRPr="00FD4AA7" w:rsidRDefault="00E77CD4" w:rsidP="00E77CD4">
      <w:pPr>
        <w:jc w:val="both"/>
        <w:rPr>
          <w:rFonts w:ascii="Calibri" w:hAnsi="Calibri" w:cs="Calibri"/>
        </w:rPr>
      </w:pPr>
    </w:p>
    <w:p w:rsidR="00E77CD4" w:rsidRDefault="002C5765" w:rsidP="002C5765">
      <w:pPr>
        <w:pStyle w:val="Heading1"/>
        <w:keepLines/>
        <w:spacing w:before="480" w:line="276" w:lineRule="auto"/>
        <w:jc w:val="both"/>
        <w:rPr>
          <w:u w:val="single"/>
        </w:rPr>
      </w:pPr>
      <w:bookmarkStart w:id="24" w:name="_Toc131412107"/>
      <w:r w:rsidRPr="002C5765">
        <w:lastRenderedPageBreak/>
        <w:t>8.3.2</w:t>
      </w:r>
      <w:r>
        <w:rPr>
          <w:u w:val="single"/>
        </w:rPr>
        <w:t xml:space="preserve"> </w:t>
      </w:r>
      <w:r w:rsidR="00E77CD4" w:rsidRPr="002C5765">
        <w:rPr>
          <w:u w:val="single"/>
        </w:rPr>
        <w:t>Additional Support</w:t>
      </w:r>
      <w:bookmarkEnd w:id="24"/>
    </w:p>
    <w:p w:rsidR="002C5765" w:rsidRPr="002C5765" w:rsidRDefault="002C5765" w:rsidP="002C5765">
      <w:pPr>
        <w:rPr>
          <w:lang w:eastAsia="en-GB"/>
        </w:rPr>
      </w:pPr>
    </w:p>
    <w:p w:rsidR="00E77CD4" w:rsidRPr="00D32198" w:rsidRDefault="00FA3774" w:rsidP="00E77CD4">
      <w:pPr>
        <w:numPr>
          <w:ilvl w:val="0"/>
          <w:numId w:val="24"/>
        </w:numPr>
        <w:contextualSpacing/>
        <w:jc w:val="both"/>
        <w:rPr>
          <w:rFonts w:asciiTheme="minorHAnsi" w:hAnsiTheme="minorHAnsi" w:cstheme="minorHAnsi"/>
        </w:rPr>
      </w:pPr>
      <w:hyperlink r:id="rId35" w:history="1">
        <w:r w:rsidR="00E77CD4" w:rsidRPr="00D32198">
          <w:rPr>
            <w:rStyle w:val="Hyperlink"/>
            <w:rFonts w:asciiTheme="minorHAnsi" w:hAnsiTheme="minorHAnsi" w:cstheme="minorHAnsi"/>
          </w:rPr>
          <w:t>frequently asked questions</w:t>
        </w:r>
      </w:hyperlink>
    </w:p>
    <w:p w:rsidR="00E77CD4" w:rsidRPr="00D32198" w:rsidRDefault="00FA3774" w:rsidP="00E77CD4">
      <w:pPr>
        <w:numPr>
          <w:ilvl w:val="0"/>
          <w:numId w:val="24"/>
        </w:numPr>
        <w:contextualSpacing/>
        <w:jc w:val="both"/>
        <w:rPr>
          <w:rFonts w:asciiTheme="minorHAnsi" w:hAnsiTheme="minorHAnsi" w:cstheme="minorHAnsi"/>
        </w:rPr>
      </w:pPr>
      <w:hyperlink r:id="rId36" w:history="1">
        <w:r w:rsidR="00E77CD4" w:rsidRPr="00D32198">
          <w:rPr>
            <w:rStyle w:val="Hyperlink"/>
            <w:rFonts w:asciiTheme="minorHAnsi" w:hAnsiTheme="minorHAnsi" w:cstheme="minorHAnsi"/>
          </w:rPr>
          <w:t>factsheet for clinicians</w:t>
        </w:r>
      </w:hyperlink>
      <w:r w:rsidR="00E77CD4" w:rsidRPr="00D32198">
        <w:rPr>
          <w:rFonts w:asciiTheme="minorHAnsi" w:hAnsiTheme="minorHAnsi" w:cstheme="minorHAnsi"/>
        </w:rPr>
        <w:t xml:space="preserve"> </w:t>
      </w:r>
      <w:r w:rsidR="00E77CD4" w:rsidRPr="002C5765">
        <w:t>outlining the changes</w:t>
      </w:r>
      <w:r w:rsidR="00E77CD4" w:rsidRPr="00D32198">
        <w:rPr>
          <w:rFonts w:asciiTheme="minorHAnsi" w:hAnsiTheme="minorHAnsi" w:cstheme="minorHAnsi"/>
        </w:rPr>
        <w:t xml:space="preserve"> </w:t>
      </w:r>
    </w:p>
    <w:p w:rsidR="00E77CD4" w:rsidRPr="00D32198" w:rsidRDefault="00FA3774" w:rsidP="00E77CD4">
      <w:pPr>
        <w:numPr>
          <w:ilvl w:val="0"/>
          <w:numId w:val="24"/>
        </w:numPr>
        <w:contextualSpacing/>
        <w:jc w:val="both"/>
        <w:rPr>
          <w:rFonts w:asciiTheme="minorHAnsi" w:hAnsiTheme="minorHAnsi" w:cstheme="minorHAnsi"/>
        </w:rPr>
      </w:pPr>
      <w:hyperlink r:id="rId37" w:history="1">
        <w:r w:rsidR="00E77CD4" w:rsidRPr="00D32198">
          <w:rPr>
            <w:rStyle w:val="Hyperlink"/>
            <w:rFonts w:asciiTheme="minorHAnsi" w:hAnsiTheme="minorHAnsi" w:cstheme="minorHAnsi"/>
          </w:rPr>
          <w:t>leaflet</w:t>
        </w:r>
      </w:hyperlink>
      <w:r w:rsidR="00E77CD4" w:rsidRPr="00D32198">
        <w:rPr>
          <w:rFonts w:asciiTheme="minorHAnsi" w:hAnsiTheme="minorHAnsi" w:cstheme="minorHAnsi"/>
        </w:rPr>
        <w:t xml:space="preserve"> </w:t>
      </w:r>
      <w:r w:rsidR="00E77CD4" w:rsidRPr="002C5765">
        <w:t>for patients and those who support them</w:t>
      </w:r>
      <w:r w:rsidR="00E77CD4" w:rsidRPr="00D32198">
        <w:rPr>
          <w:rFonts w:asciiTheme="minorHAnsi" w:hAnsiTheme="minorHAnsi" w:cstheme="minorHAnsi"/>
        </w:rPr>
        <w:t xml:space="preserve">  </w:t>
      </w:r>
    </w:p>
    <w:p w:rsidR="00E77CD4" w:rsidRPr="00D32198" w:rsidRDefault="00FA3774" w:rsidP="00E77CD4">
      <w:pPr>
        <w:numPr>
          <w:ilvl w:val="0"/>
          <w:numId w:val="24"/>
        </w:numPr>
        <w:contextualSpacing/>
        <w:jc w:val="both"/>
        <w:rPr>
          <w:rFonts w:asciiTheme="minorHAnsi" w:hAnsiTheme="minorHAnsi" w:cstheme="minorHAnsi"/>
        </w:rPr>
      </w:pPr>
      <w:hyperlink r:id="rId38" w:history="1">
        <w:r w:rsidR="00E77CD4">
          <w:rPr>
            <w:rStyle w:val="Hyperlink"/>
            <w:rFonts w:asciiTheme="minorHAnsi" w:hAnsiTheme="minorHAnsi" w:cstheme="minorHAnsi"/>
          </w:rPr>
          <w:t>Clinician's Helpline</w:t>
        </w:r>
      </w:hyperlink>
      <w:r w:rsidR="00E77CD4" w:rsidRPr="00D32198">
        <w:rPr>
          <w:rFonts w:asciiTheme="minorHAnsi" w:hAnsiTheme="minorHAnsi" w:cstheme="minorHAnsi"/>
        </w:rPr>
        <w:t xml:space="preserve"> </w:t>
      </w:r>
      <w:r w:rsidR="00E77CD4" w:rsidRPr="002C5765">
        <w:t>managed by Social Security Scotland</w:t>
      </w:r>
      <w:r w:rsidR="00E77CD4" w:rsidRPr="00D32198">
        <w:rPr>
          <w:rFonts w:asciiTheme="minorHAnsi" w:hAnsiTheme="minorHAnsi" w:cstheme="minorHAnsi"/>
        </w:rPr>
        <w:t xml:space="preserve"> </w:t>
      </w:r>
    </w:p>
    <w:p w:rsidR="00E77CD4" w:rsidRPr="00D32198" w:rsidRDefault="00E77CD4" w:rsidP="00E77CD4">
      <w:pPr>
        <w:rPr>
          <w:rFonts w:asciiTheme="minorHAnsi" w:hAnsiTheme="minorHAnsi" w:cstheme="minorHAnsi"/>
        </w:rPr>
      </w:pPr>
    </w:p>
    <w:p w:rsidR="00E77CD4" w:rsidRDefault="00E77CD4" w:rsidP="00E77CD4">
      <w:pPr>
        <w:rPr>
          <w:rStyle w:val="Hyperlink"/>
          <w:rFonts w:asciiTheme="minorHAnsi" w:hAnsiTheme="minorHAnsi" w:cstheme="minorHAnsi"/>
        </w:rPr>
      </w:pPr>
      <w:r w:rsidRPr="002C5765">
        <w:t xml:space="preserve">All sources will be available in a single place on </w:t>
      </w:r>
      <w:r w:rsidR="002C5765" w:rsidRPr="002C5765">
        <w:t xml:space="preserve">this website </w:t>
      </w:r>
      <w:hyperlink r:id="rId39" w:history="1">
        <w:r w:rsidRPr="00D32198">
          <w:rPr>
            <w:rStyle w:val="Hyperlink"/>
            <w:rFonts w:asciiTheme="minorHAnsi" w:hAnsiTheme="minorHAnsi" w:cstheme="minorHAnsi"/>
          </w:rPr>
          <w:t>www.socialsecurity.gov.scot/terminal-illness</w:t>
        </w:r>
      </w:hyperlink>
    </w:p>
    <w:p w:rsidR="00E77CD4" w:rsidRPr="00E77CD4" w:rsidRDefault="00E77CD4" w:rsidP="00447237">
      <w:pPr>
        <w:pStyle w:val="BodyText"/>
      </w:pPr>
      <w:r>
        <w:t xml:space="preserve"> </w:t>
      </w:r>
    </w:p>
    <w:p w:rsidR="00E47405" w:rsidRPr="00CB6C16" w:rsidRDefault="00E47405" w:rsidP="00AE4F15">
      <w:pPr>
        <w:pStyle w:val="Heading1"/>
        <w:keepLines/>
        <w:numPr>
          <w:ilvl w:val="0"/>
          <w:numId w:val="6"/>
        </w:numPr>
        <w:spacing w:before="480" w:line="276" w:lineRule="auto"/>
        <w:ind w:left="567" w:hanging="567"/>
        <w:rPr>
          <w:u w:val="single"/>
        </w:rPr>
      </w:pPr>
      <w:bookmarkStart w:id="25" w:name="_Non_Means_Tested"/>
      <w:bookmarkStart w:id="26" w:name="_Toc131412108"/>
      <w:bookmarkEnd w:id="25"/>
      <w:r w:rsidRPr="00CB6C16">
        <w:rPr>
          <w:u w:val="single"/>
        </w:rPr>
        <w:t>Non Means Tested Fixed Charges and Means Tested Charges</w:t>
      </w:r>
      <w:bookmarkEnd w:id="26"/>
      <w:r w:rsidRPr="00CB6C16">
        <w:rPr>
          <w:u w:val="single"/>
        </w:rPr>
        <w:t xml:space="preserve"> </w:t>
      </w:r>
    </w:p>
    <w:p w:rsidR="00E47405" w:rsidRPr="00D96382" w:rsidRDefault="00E47405" w:rsidP="00E47405"/>
    <w:p w:rsidR="00E47405" w:rsidRDefault="00E47405" w:rsidP="00E47405">
      <w:pPr>
        <w:pStyle w:val="BodyText"/>
      </w:pPr>
      <w:r w:rsidRPr="00777C37">
        <w:t>C</w:t>
      </w:r>
      <w:r>
        <w:t>harges fall into two categories:</w:t>
      </w:r>
      <w:r w:rsidRPr="00777C37">
        <w:t xml:space="preserve"> </w:t>
      </w:r>
    </w:p>
    <w:p w:rsidR="00E47405" w:rsidRDefault="00E47405" w:rsidP="00FE4A68">
      <w:pPr>
        <w:pStyle w:val="BodyText"/>
        <w:numPr>
          <w:ilvl w:val="0"/>
          <w:numId w:val="15"/>
        </w:numPr>
        <w:autoSpaceDE w:val="0"/>
        <w:autoSpaceDN w:val="0"/>
        <w:adjustRightInd w:val="0"/>
        <w:spacing w:after="0"/>
      </w:pPr>
      <w:r w:rsidRPr="00777C37">
        <w:t xml:space="preserve">Non Means Tested </w:t>
      </w:r>
      <w:r>
        <w:t>Fixed</w:t>
      </w:r>
      <w:r w:rsidRPr="00777C37">
        <w:t xml:space="preserve"> Charges</w:t>
      </w:r>
      <w:r>
        <w:t>;</w:t>
      </w:r>
      <w:r w:rsidRPr="00777C37">
        <w:t xml:space="preserve"> and </w:t>
      </w:r>
    </w:p>
    <w:p w:rsidR="00E47405" w:rsidRPr="00777C37" w:rsidRDefault="00E47405" w:rsidP="00FE4A68">
      <w:pPr>
        <w:pStyle w:val="BodyText"/>
        <w:numPr>
          <w:ilvl w:val="0"/>
          <w:numId w:val="15"/>
        </w:numPr>
        <w:autoSpaceDE w:val="0"/>
        <w:autoSpaceDN w:val="0"/>
        <w:adjustRightInd w:val="0"/>
        <w:spacing w:after="0"/>
        <w:rPr>
          <w:spacing w:val="-2"/>
        </w:rPr>
      </w:pPr>
      <w:r w:rsidRPr="00777C37">
        <w:t>Means Tested (or Financially Assessed) Charges.</w:t>
      </w:r>
    </w:p>
    <w:p w:rsidR="00E47405" w:rsidRPr="00CB6C16" w:rsidRDefault="00E47405" w:rsidP="00FE4A68">
      <w:pPr>
        <w:pStyle w:val="Heading1"/>
        <w:keepLines/>
        <w:numPr>
          <w:ilvl w:val="1"/>
          <w:numId w:val="6"/>
        </w:numPr>
        <w:spacing w:before="480" w:line="276" w:lineRule="auto"/>
        <w:rPr>
          <w:u w:val="single"/>
        </w:rPr>
      </w:pPr>
      <w:bookmarkStart w:id="27" w:name="_Toc131412109"/>
      <w:r w:rsidRPr="00CB6C16">
        <w:rPr>
          <w:u w:val="single"/>
        </w:rPr>
        <w:t>Non Means Tested (Fixed) Charges</w:t>
      </w:r>
      <w:bookmarkEnd w:id="27"/>
      <w:r w:rsidRPr="00CB6C16">
        <w:rPr>
          <w:u w:val="single"/>
        </w:rPr>
        <w:t xml:space="preserve"> </w:t>
      </w:r>
    </w:p>
    <w:p w:rsidR="00E47405" w:rsidRPr="00D96382" w:rsidRDefault="00E47405" w:rsidP="00E47405"/>
    <w:p w:rsidR="00E47405" w:rsidRPr="00777C37" w:rsidRDefault="00E47405" w:rsidP="00E47405">
      <w:pPr>
        <w:pStyle w:val="BodyText"/>
        <w:rPr>
          <w:spacing w:val="-2"/>
        </w:rPr>
      </w:pPr>
      <w:r w:rsidRPr="00D70F3A">
        <w:t xml:space="preserve">All non-means tested charges are charged at a flat rate and are applicable to all </w:t>
      </w:r>
      <w:r>
        <w:t>service users</w:t>
      </w:r>
      <w:r w:rsidRPr="00D70F3A">
        <w:t xml:space="preserve"> who receive</w:t>
      </w:r>
      <w:r>
        <w:t xml:space="preserve"> </w:t>
      </w:r>
      <w:r w:rsidRPr="00D70F3A">
        <w:t>the services below:</w:t>
      </w:r>
    </w:p>
    <w:p w:rsidR="00E47405" w:rsidRDefault="00E47405" w:rsidP="00E47405">
      <w:pPr>
        <w:pStyle w:val="BodyText"/>
        <w:sectPr w:rsidR="00E47405" w:rsidSect="00E47405">
          <w:type w:val="continuous"/>
          <w:pgSz w:w="12240" w:h="15840"/>
          <w:pgMar w:top="1440" w:right="1440" w:bottom="1440" w:left="1440" w:header="720" w:footer="720" w:gutter="0"/>
          <w:cols w:space="720"/>
          <w:noEndnote/>
        </w:sectPr>
      </w:pPr>
    </w:p>
    <w:p w:rsidR="00E47405" w:rsidRPr="00D70F3A" w:rsidRDefault="00E47405" w:rsidP="00FE4A68">
      <w:pPr>
        <w:pStyle w:val="BodyText"/>
        <w:numPr>
          <w:ilvl w:val="0"/>
          <w:numId w:val="16"/>
        </w:numPr>
        <w:autoSpaceDE w:val="0"/>
        <w:autoSpaceDN w:val="0"/>
        <w:adjustRightInd w:val="0"/>
        <w:spacing w:after="0"/>
      </w:pPr>
      <w:r w:rsidRPr="00D70F3A">
        <w:t>Meals – Provided at Home</w:t>
      </w:r>
      <w:r>
        <w:t xml:space="preserve"> </w:t>
      </w:r>
    </w:p>
    <w:p w:rsidR="00E47405" w:rsidRPr="00D70F3A" w:rsidRDefault="00E47405" w:rsidP="00FE4A68">
      <w:pPr>
        <w:pStyle w:val="BodyText"/>
        <w:numPr>
          <w:ilvl w:val="0"/>
          <w:numId w:val="16"/>
        </w:numPr>
        <w:autoSpaceDE w:val="0"/>
        <w:autoSpaceDN w:val="0"/>
        <w:adjustRightInd w:val="0"/>
        <w:spacing w:after="0"/>
      </w:pPr>
      <w:r w:rsidRPr="00D70F3A">
        <w:t>Meals – Lunch Clubs</w:t>
      </w:r>
    </w:p>
    <w:p w:rsidR="00E47405" w:rsidRDefault="00E47405" w:rsidP="00FE4A68">
      <w:pPr>
        <w:pStyle w:val="BodyText"/>
        <w:numPr>
          <w:ilvl w:val="0"/>
          <w:numId w:val="16"/>
        </w:numPr>
        <w:autoSpaceDE w:val="0"/>
        <w:autoSpaceDN w:val="0"/>
        <w:adjustRightInd w:val="0"/>
        <w:spacing w:after="0"/>
      </w:pPr>
      <w:r w:rsidRPr="00D70F3A">
        <w:t>Blue Badges Administration Schem</w:t>
      </w:r>
      <w:r>
        <w:t>e</w:t>
      </w:r>
    </w:p>
    <w:p w:rsidR="00E47405" w:rsidRPr="00825297" w:rsidRDefault="00E47405" w:rsidP="00FE4A68">
      <w:pPr>
        <w:pStyle w:val="BodyText"/>
        <w:numPr>
          <w:ilvl w:val="0"/>
          <w:numId w:val="16"/>
        </w:numPr>
        <w:autoSpaceDE w:val="0"/>
        <w:autoSpaceDN w:val="0"/>
        <w:adjustRightInd w:val="0"/>
        <w:spacing w:after="0"/>
      </w:pPr>
      <w:r w:rsidRPr="00825297">
        <w:t xml:space="preserve">Transport (Taxi or Bus) </w:t>
      </w:r>
    </w:p>
    <w:p w:rsidR="00E47405" w:rsidRPr="00D70F3A" w:rsidRDefault="00E47405" w:rsidP="00FE4A68">
      <w:pPr>
        <w:pStyle w:val="BodyText"/>
        <w:numPr>
          <w:ilvl w:val="0"/>
          <w:numId w:val="16"/>
        </w:numPr>
        <w:autoSpaceDE w:val="0"/>
        <w:autoSpaceDN w:val="0"/>
        <w:adjustRightInd w:val="0"/>
        <w:spacing w:after="0"/>
      </w:pPr>
      <w:r w:rsidRPr="00D70F3A">
        <w:t>Community Alarms</w:t>
      </w:r>
    </w:p>
    <w:p w:rsidR="00E47405" w:rsidRDefault="00E47405" w:rsidP="00FE4A68">
      <w:pPr>
        <w:pStyle w:val="BodyText"/>
        <w:numPr>
          <w:ilvl w:val="0"/>
          <w:numId w:val="16"/>
        </w:numPr>
        <w:autoSpaceDE w:val="0"/>
        <w:autoSpaceDN w:val="0"/>
        <w:adjustRightInd w:val="0"/>
        <w:spacing w:after="0"/>
        <w:sectPr w:rsidR="00E47405" w:rsidSect="00E47405">
          <w:type w:val="continuous"/>
          <w:pgSz w:w="12240" w:h="15840"/>
          <w:pgMar w:top="1440" w:right="1440" w:bottom="1440" w:left="1440" w:header="720" w:footer="720" w:gutter="0"/>
          <w:cols w:num="2" w:space="720"/>
          <w:noEndnote/>
        </w:sectPr>
      </w:pPr>
      <w:r w:rsidRPr="00D70F3A">
        <w:t>Centre Based Day Opportunities</w:t>
      </w:r>
    </w:p>
    <w:p w:rsidR="00E47405" w:rsidRDefault="00E47405" w:rsidP="00E47405"/>
    <w:p w:rsidR="00E47405" w:rsidRDefault="00E47405" w:rsidP="00E47405">
      <w:pPr>
        <w:pStyle w:val="BodyText"/>
      </w:pPr>
      <w:r w:rsidRPr="009142B1">
        <w:t>Any fixed charges will be included as an expense within the financial assessment.  Fixed charges are an additional charge on top of the means tested charge.</w:t>
      </w:r>
    </w:p>
    <w:p w:rsidR="00E47405" w:rsidRDefault="00E47405" w:rsidP="00E47405">
      <w:pPr>
        <w:pStyle w:val="BodyText"/>
      </w:pPr>
      <w:r>
        <w:t>While an active community alarm</w:t>
      </w:r>
      <w:r w:rsidRPr="001C03B9">
        <w:t xml:space="preserve"> is in the house then there will be a charge regardless of activity of alarm. </w:t>
      </w:r>
    </w:p>
    <w:p w:rsidR="00E47405" w:rsidRPr="00CB6C16" w:rsidRDefault="00E47405" w:rsidP="00FE4A68">
      <w:pPr>
        <w:pStyle w:val="Heading1"/>
        <w:keepLines/>
        <w:numPr>
          <w:ilvl w:val="1"/>
          <w:numId w:val="6"/>
        </w:numPr>
        <w:spacing w:before="480" w:line="276" w:lineRule="auto"/>
        <w:rPr>
          <w:rStyle w:val="Heading1Char"/>
          <w:b/>
          <w:bCs/>
          <w:u w:val="single"/>
        </w:rPr>
      </w:pPr>
      <w:bookmarkStart w:id="28" w:name="_Toc131412110"/>
      <w:r w:rsidRPr="00CB6C16">
        <w:rPr>
          <w:rStyle w:val="Heading1Char"/>
          <w:b/>
          <w:bCs/>
          <w:u w:val="single"/>
        </w:rPr>
        <w:t>Means Tested Charges</w:t>
      </w:r>
      <w:bookmarkEnd w:id="28"/>
    </w:p>
    <w:p w:rsidR="00E47405" w:rsidRDefault="00E47405" w:rsidP="00E47405"/>
    <w:p w:rsidR="00E47405" w:rsidRPr="001447AE" w:rsidRDefault="00E47405" w:rsidP="00E47405">
      <w:r>
        <w:t>The following are means tested charges:</w:t>
      </w:r>
    </w:p>
    <w:p w:rsidR="00E47405" w:rsidRDefault="00E47405" w:rsidP="00E47405">
      <w:pPr>
        <w:pStyle w:val="BodyText"/>
      </w:pPr>
    </w:p>
    <w:p w:rsidR="00E47405" w:rsidRDefault="00E47405" w:rsidP="00FE4A68">
      <w:pPr>
        <w:pStyle w:val="BodyText"/>
        <w:numPr>
          <w:ilvl w:val="0"/>
          <w:numId w:val="17"/>
        </w:numPr>
        <w:autoSpaceDE w:val="0"/>
        <w:autoSpaceDN w:val="0"/>
        <w:adjustRightInd w:val="0"/>
        <w:spacing w:after="0"/>
      </w:pPr>
      <w:r w:rsidRPr="00CF6A52">
        <w:t xml:space="preserve">Care at Home </w:t>
      </w:r>
      <w:r>
        <w:t>(non personal care tasks);</w:t>
      </w:r>
    </w:p>
    <w:p w:rsidR="00E47405" w:rsidRPr="00970F83" w:rsidRDefault="00E47405" w:rsidP="00FE4A68">
      <w:pPr>
        <w:pStyle w:val="BodyText"/>
        <w:numPr>
          <w:ilvl w:val="0"/>
          <w:numId w:val="17"/>
        </w:numPr>
        <w:autoSpaceDE w:val="0"/>
        <w:autoSpaceDN w:val="0"/>
        <w:adjustRightInd w:val="0"/>
        <w:spacing w:after="0"/>
      </w:pPr>
      <w:r w:rsidRPr="00970F83">
        <w:t>Social Support;</w:t>
      </w:r>
    </w:p>
    <w:p w:rsidR="00E47405" w:rsidRPr="00603725" w:rsidRDefault="00E47405" w:rsidP="00FE4A68">
      <w:pPr>
        <w:pStyle w:val="BodyText"/>
        <w:numPr>
          <w:ilvl w:val="0"/>
          <w:numId w:val="17"/>
        </w:numPr>
        <w:autoSpaceDE w:val="0"/>
        <w:autoSpaceDN w:val="0"/>
        <w:adjustRightInd w:val="0"/>
        <w:spacing w:after="0"/>
      </w:pPr>
      <w:r w:rsidRPr="00CF6A52">
        <w:t>Housing and Community Support Supported Living</w:t>
      </w:r>
      <w:r>
        <w:t>; and</w:t>
      </w:r>
    </w:p>
    <w:p w:rsidR="00E47405" w:rsidRPr="00970F83" w:rsidRDefault="00E47405" w:rsidP="00FE4A68">
      <w:pPr>
        <w:pStyle w:val="BodyText"/>
        <w:numPr>
          <w:ilvl w:val="0"/>
          <w:numId w:val="17"/>
        </w:numPr>
        <w:autoSpaceDE w:val="0"/>
        <w:autoSpaceDN w:val="0"/>
        <w:adjustRightInd w:val="0"/>
        <w:spacing w:after="0"/>
      </w:pPr>
      <w:r w:rsidRPr="00970F83">
        <w:t xml:space="preserve">Practical Support. </w:t>
      </w:r>
    </w:p>
    <w:p w:rsidR="00E47405" w:rsidRDefault="00E47405" w:rsidP="00CA0D49">
      <w:pPr>
        <w:pStyle w:val="BodyText"/>
      </w:pPr>
    </w:p>
    <w:p w:rsidR="002E101D" w:rsidRPr="00603725" w:rsidRDefault="00E47405" w:rsidP="00E47405">
      <w:pPr>
        <w:pStyle w:val="BodyText"/>
      </w:pPr>
      <w:r>
        <w:lastRenderedPageBreak/>
        <w:t>These charges</w:t>
      </w:r>
      <w:r w:rsidRPr="00CF6A52">
        <w:t xml:space="preserve"> a</w:t>
      </w:r>
      <w:r>
        <w:t xml:space="preserve">re </w:t>
      </w:r>
      <w:r w:rsidRPr="00CF6A52">
        <w:t>financially assessed for each individual based upon their ability to pay</w:t>
      </w:r>
      <w:r>
        <w:t>. The individual will need to disclose all relevant financial details</w:t>
      </w:r>
      <w:r w:rsidRPr="00CF6A52">
        <w:t xml:space="preserve">. Non-disclosure of required financial details </w:t>
      </w:r>
      <w:r>
        <w:t xml:space="preserve">will </w:t>
      </w:r>
      <w:r w:rsidRPr="00CF6A52">
        <w:t>result in th</w:t>
      </w:r>
      <w:r w:rsidR="007757A6">
        <w:t>e maximum charge being applied</w:t>
      </w:r>
      <w:r w:rsidR="00447237">
        <w:t>.</w:t>
      </w:r>
    </w:p>
    <w:p w:rsidR="00E47405" w:rsidRPr="00CB6C16" w:rsidRDefault="00E47405" w:rsidP="00FE4A68">
      <w:pPr>
        <w:pStyle w:val="Heading1"/>
        <w:keepLines/>
        <w:numPr>
          <w:ilvl w:val="0"/>
          <w:numId w:val="6"/>
        </w:numPr>
        <w:spacing w:before="480" w:line="276" w:lineRule="auto"/>
        <w:rPr>
          <w:u w:val="single"/>
        </w:rPr>
      </w:pPr>
      <w:bookmarkStart w:id="29" w:name="_Appeals_against_a"/>
      <w:bookmarkEnd w:id="29"/>
      <w:r w:rsidRPr="00CF6A52">
        <w:t xml:space="preserve"> </w:t>
      </w:r>
      <w:bookmarkStart w:id="30" w:name="_Toc131412111"/>
      <w:r w:rsidRPr="00CB6C16">
        <w:rPr>
          <w:u w:val="single"/>
        </w:rPr>
        <w:t>Appeals against a charge</w:t>
      </w:r>
      <w:bookmarkEnd w:id="30"/>
    </w:p>
    <w:p w:rsidR="00E47405" w:rsidRPr="00D96382" w:rsidRDefault="00E47405" w:rsidP="00E47405"/>
    <w:p w:rsidR="00E47405" w:rsidRDefault="00E47405" w:rsidP="00E47405">
      <w:pPr>
        <w:pStyle w:val="BodyText"/>
      </w:pPr>
      <w:r>
        <w:t xml:space="preserve">If an individual wants to appeal against a charge, the individual can issue an appeal in writing and provide the appeal to their relevant social worker or point of contact.  </w:t>
      </w:r>
      <w:r w:rsidRPr="00603725">
        <w:t xml:space="preserve">The applicable Head of Service will </w:t>
      </w:r>
      <w:r>
        <w:t>be notified of this appeal and will provide a decision on the individual case.</w:t>
      </w:r>
    </w:p>
    <w:p w:rsidR="00E47405" w:rsidRPr="00A054BA" w:rsidRDefault="00E47405" w:rsidP="00E47405">
      <w:pPr>
        <w:pStyle w:val="BodyText"/>
      </w:pPr>
      <w:r w:rsidRPr="00603725">
        <w:t xml:space="preserve">Anyone who remains dissatisfied with the outcome of their appeal will be entitled to pursue their complaint through the HSCP’s normal complaints procedure. The procedure and related information can be found at the following link: </w:t>
      </w:r>
      <w:r w:rsidR="00E55DA5">
        <w:fldChar w:fldCharType="begin"/>
      </w:r>
      <w:r>
        <w:instrText xml:space="preserve"> HYPERLINK "</w:instrText>
      </w:r>
      <w:r w:rsidRPr="00A054BA">
        <w:instrText>http://www.wdhscp.org.uk/complaints/.  Those who don’t have access to the internet, can contact their social worker or point of contact who can facilitate with the process.</w:instrText>
      </w:r>
    </w:p>
    <w:p w:rsidR="00E47405" w:rsidRPr="002B4E6B" w:rsidRDefault="00E47405" w:rsidP="00E47405">
      <w:pPr>
        <w:pStyle w:val="BodyText"/>
        <w:rPr>
          <w:rStyle w:val="Hyperlink"/>
          <w:rFonts w:eastAsiaTheme="majorEastAsia"/>
        </w:rPr>
      </w:pPr>
      <w:r>
        <w:instrText xml:space="preserve">" </w:instrText>
      </w:r>
      <w:r w:rsidR="00E55DA5">
        <w:fldChar w:fldCharType="separate"/>
      </w:r>
      <w:r w:rsidRPr="002B4E6B">
        <w:rPr>
          <w:rStyle w:val="Hyperlink"/>
          <w:rFonts w:eastAsiaTheme="majorEastAsia"/>
        </w:rPr>
        <w:t xml:space="preserve">http://www.wdhscp.org.uk/complaints/.  </w:t>
      </w:r>
      <w:r w:rsidRPr="00A054BA">
        <w:t>Those who don’t have access to the internet, can contact their social worker or point of contact who can facilitate with the process.</w:t>
      </w:r>
    </w:p>
    <w:p w:rsidR="00E47405" w:rsidRPr="00CB6C16" w:rsidRDefault="00E55DA5" w:rsidP="00CA0D49">
      <w:pPr>
        <w:pStyle w:val="Heading1"/>
        <w:keepLines/>
        <w:numPr>
          <w:ilvl w:val="0"/>
          <w:numId w:val="6"/>
        </w:numPr>
        <w:spacing w:before="480" w:line="276" w:lineRule="auto"/>
        <w:rPr>
          <w:u w:val="single"/>
        </w:rPr>
      </w:pPr>
      <w:r>
        <w:fldChar w:fldCharType="end"/>
      </w:r>
      <w:bookmarkStart w:id="31" w:name="_Toc131412112"/>
      <w:r w:rsidR="00E47405" w:rsidRPr="00CB6C16">
        <w:rPr>
          <w:u w:val="single"/>
        </w:rPr>
        <w:t>The Financial Assessment Process</w:t>
      </w:r>
      <w:bookmarkEnd w:id="31"/>
      <w:r w:rsidR="00E47405" w:rsidRPr="00CB6C16">
        <w:rPr>
          <w:u w:val="single"/>
        </w:rPr>
        <w:t xml:space="preserve"> </w:t>
      </w:r>
    </w:p>
    <w:p w:rsidR="00E47405" w:rsidRDefault="00E47405" w:rsidP="00E47405"/>
    <w:p w:rsidR="00E47405" w:rsidRDefault="00E47405" w:rsidP="00AE4F15">
      <w:pPr>
        <w:pStyle w:val="BodyText"/>
        <w:spacing w:after="0"/>
      </w:pPr>
      <w:r w:rsidRPr="00864364">
        <w:t xml:space="preserve">West Dunbartonshire HSCP aims to ensure that people in receipt of support and care services are not placed in financial hardship because of the way in which the </w:t>
      </w:r>
      <w:r>
        <w:t xml:space="preserve">services are charged.  </w:t>
      </w:r>
      <w:r w:rsidRPr="00993A54">
        <w:t xml:space="preserve">All </w:t>
      </w:r>
      <w:r>
        <w:t>service users</w:t>
      </w:r>
      <w:r w:rsidRPr="00993A54">
        <w:t xml:space="preserve"> in receipt of ch</w:t>
      </w:r>
      <w:r>
        <w:t>argeable community care service</w:t>
      </w:r>
      <w:r w:rsidRPr="00993A54">
        <w:t xml:space="preserve"> undergo a financial assessment to determine how much </w:t>
      </w:r>
      <w:r>
        <w:t xml:space="preserve">the HSCP considers a service user </w:t>
      </w:r>
      <w:r w:rsidRPr="00993A54">
        <w:t xml:space="preserve">can afford to pay towards the cost of the services they receive.  </w:t>
      </w:r>
    </w:p>
    <w:p w:rsidR="00E47405" w:rsidRDefault="00E47405" w:rsidP="00AE4F15">
      <w:pPr>
        <w:pStyle w:val="BodyText"/>
        <w:spacing w:after="0"/>
      </w:pPr>
    </w:p>
    <w:p w:rsidR="00E47405" w:rsidRDefault="00E47405" w:rsidP="00AE4F15">
      <w:pPr>
        <w:pStyle w:val="BodyText"/>
        <w:spacing w:after="0"/>
      </w:pPr>
      <w:r w:rsidRPr="00993A54">
        <w:t xml:space="preserve">In accordance with COSLA’s Guidance for Contributions Applying to Non-Residential Social Care Services, the amount an individual </w:t>
      </w:r>
      <w:r>
        <w:t xml:space="preserve">will be charge will </w:t>
      </w:r>
      <w:r w:rsidRPr="00993A54">
        <w:t>be set according to their ability to pay. In the first instance, this requires an assessment of the person’s income and capital</w:t>
      </w:r>
      <w:r>
        <w:t>.</w:t>
      </w:r>
      <w:r w:rsidRPr="00993A54">
        <w:t xml:space="preserve"> </w:t>
      </w:r>
    </w:p>
    <w:p w:rsidR="00E47405" w:rsidRPr="00993A54" w:rsidRDefault="00E47405" w:rsidP="00AE4F15">
      <w:pPr>
        <w:pStyle w:val="BodyText"/>
        <w:spacing w:after="0"/>
      </w:pPr>
    </w:p>
    <w:p w:rsidR="00E47405" w:rsidRDefault="00E47405" w:rsidP="00AE4F15">
      <w:pPr>
        <w:pStyle w:val="BodyText"/>
        <w:spacing w:after="0"/>
        <w:rPr>
          <w:rFonts w:ascii="Calibri" w:hAnsi="Calibri"/>
        </w:rPr>
      </w:pPr>
      <w:r w:rsidRPr="007C0544">
        <w:t xml:space="preserve">This requires the service user or their </w:t>
      </w:r>
      <w:r w:rsidRPr="00CF7D5D">
        <w:t>representative to provide supporting documentation including bank s</w:t>
      </w:r>
      <w:r>
        <w:t xml:space="preserve">tatements and benefit letters.  </w:t>
      </w:r>
      <w:r w:rsidRPr="00CF7D5D">
        <w:t>The supporting documentation will</w:t>
      </w:r>
      <w:r>
        <w:t xml:space="preserve"> inform the</w:t>
      </w:r>
      <w:r w:rsidRPr="00CF7D5D">
        <w:t xml:space="preserve"> </w:t>
      </w:r>
      <w:r>
        <w:t>calculation of</w:t>
      </w:r>
      <w:r w:rsidRPr="00CF7D5D">
        <w:t xml:space="preserve"> the </w:t>
      </w:r>
      <w:r>
        <w:t>service users</w:t>
      </w:r>
      <w:r w:rsidRPr="00CF7D5D">
        <w:t xml:space="preserve"> charge and the individual will receive notification of the charge in writing.</w:t>
      </w:r>
      <w:r>
        <w:t xml:space="preserve">  Service users</w:t>
      </w:r>
      <w:r w:rsidRPr="007C0544">
        <w:t xml:space="preserve"> or their representative </w:t>
      </w:r>
      <w:r>
        <w:t xml:space="preserve">with appropriate legal powers </w:t>
      </w:r>
      <w:r w:rsidRPr="007C0544">
        <w:t xml:space="preserve">who choose not to provide financial information and relevant supporting documentation will </w:t>
      </w:r>
      <w:r>
        <w:t>be charged</w:t>
      </w:r>
      <w:r w:rsidRPr="007C0544">
        <w:t xml:space="preserve"> the full chargeable cost of their care, subjec</w:t>
      </w:r>
      <w:r>
        <w:t xml:space="preserve">t to the current maximum charge. </w:t>
      </w:r>
    </w:p>
    <w:p w:rsidR="00E47405" w:rsidRPr="00993A54" w:rsidRDefault="00E47405" w:rsidP="00AE4F15">
      <w:pPr>
        <w:pStyle w:val="BodyText"/>
        <w:spacing w:after="0"/>
      </w:pPr>
    </w:p>
    <w:p w:rsidR="00E47405" w:rsidRDefault="00E47405" w:rsidP="00AE4F15">
      <w:pPr>
        <w:pStyle w:val="BodyText"/>
        <w:spacing w:after="0"/>
        <w:rPr>
          <w:rFonts w:cstheme="majorHAnsi"/>
        </w:rPr>
      </w:pPr>
      <w:r>
        <w:rPr>
          <w:rFonts w:cstheme="majorHAnsi"/>
        </w:rPr>
        <w:t>If a</w:t>
      </w:r>
      <w:r w:rsidRPr="00B623E5">
        <w:rPr>
          <w:rFonts w:cstheme="majorHAnsi"/>
        </w:rPr>
        <w:t xml:space="preserve"> full financial assessment </w:t>
      </w:r>
      <w:r>
        <w:rPr>
          <w:rFonts w:cstheme="majorHAnsi"/>
        </w:rPr>
        <w:t>has been completed within the last twelve</w:t>
      </w:r>
      <w:r w:rsidRPr="00B623E5">
        <w:rPr>
          <w:rFonts w:cstheme="majorHAnsi"/>
        </w:rPr>
        <w:t xml:space="preserve"> months, information previously collected will be used to calculate the service user’s charge.  Charges will be reviewed in April each year to coincide with increases to pensions and benefits.  </w:t>
      </w:r>
    </w:p>
    <w:p w:rsidR="00E47405" w:rsidRDefault="00E47405" w:rsidP="00AE4F15">
      <w:pPr>
        <w:pStyle w:val="BodyText"/>
        <w:spacing w:after="0"/>
        <w:rPr>
          <w:rFonts w:cstheme="majorHAnsi"/>
        </w:rPr>
      </w:pPr>
    </w:p>
    <w:p w:rsidR="00E47405" w:rsidRDefault="00E47405" w:rsidP="00AE4F15">
      <w:pPr>
        <w:pStyle w:val="BodyText"/>
        <w:spacing w:after="0"/>
      </w:pPr>
      <w:r w:rsidRPr="00B623E5">
        <w:t xml:space="preserve">Charges are payable from the date that support services start and will be backdated to the date the person first received support if the financial assessment is completed after </w:t>
      </w:r>
      <w:r w:rsidRPr="00B623E5">
        <w:lastRenderedPageBreak/>
        <w:t>this date</w:t>
      </w:r>
      <w:r>
        <w:t xml:space="preserve">.  </w:t>
      </w:r>
      <w:r w:rsidRPr="00B623E5">
        <w:t xml:space="preserve">Where an individual’s service is suspended, there will not be a charge for the </w:t>
      </w:r>
      <w:r>
        <w:t>service</w:t>
      </w:r>
      <w:r w:rsidRPr="00B623E5">
        <w:t xml:space="preserve">. </w:t>
      </w:r>
      <w:r>
        <w:t xml:space="preserve">Once services are reinstated, charging will recommence.   </w:t>
      </w:r>
      <w:r w:rsidRPr="00CF6A52">
        <w:t xml:space="preserve">Community Alarm charging will continue during service breaks unless </w:t>
      </w:r>
      <w:r>
        <w:t xml:space="preserve">the </w:t>
      </w:r>
      <w:r w:rsidRPr="00CF6A52">
        <w:t xml:space="preserve">alarm </w:t>
      </w:r>
      <w:r>
        <w:t xml:space="preserve">is </w:t>
      </w:r>
      <w:r w:rsidRPr="00CF6A52">
        <w:t>removed from the propert</w:t>
      </w:r>
      <w:r>
        <w:t>y.</w:t>
      </w:r>
      <w:r w:rsidRPr="00CF6A52">
        <w:t xml:space="preserve"> If an individual has</w:t>
      </w:r>
      <w:r>
        <w:t xml:space="preserve"> paid in advance, for example, they have</w:t>
      </w:r>
      <w:r w:rsidRPr="00CF6A52">
        <w:t xml:space="preserve"> made an annual payment, and then th</w:t>
      </w:r>
      <w:r>
        <w:t xml:space="preserve">e HSCP will raise the credits at the end of the financial year.  </w:t>
      </w:r>
    </w:p>
    <w:p w:rsidR="00E47405" w:rsidRDefault="00E47405" w:rsidP="00AE4F15">
      <w:pPr>
        <w:pStyle w:val="BodyText"/>
        <w:spacing w:after="0"/>
      </w:pPr>
    </w:p>
    <w:p w:rsidR="00E47405" w:rsidRDefault="00E47405" w:rsidP="00AE4F15">
      <w:pPr>
        <w:pStyle w:val="BodyText"/>
        <w:spacing w:after="0"/>
      </w:pPr>
      <w:r>
        <w:t>I</w:t>
      </w:r>
      <w:r w:rsidRPr="00CF6A52">
        <w:t>f an individual has received a financial assessment and has been assessed as having the means to pay</w:t>
      </w:r>
      <w:r>
        <w:t xml:space="preserve">, the </w:t>
      </w:r>
      <w:r w:rsidRPr="00CF6A52">
        <w:t xml:space="preserve">HSCP </w:t>
      </w:r>
      <w:r>
        <w:t xml:space="preserve">has </w:t>
      </w:r>
      <w:r w:rsidRPr="00CF6A52">
        <w:t>the le</w:t>
      </w:r>
      <w:r>
        <w:t xml:space="preserve">gal right to pursue all charges.  </w:t>
      </w:r>
      <w:r w:rsidRPr="00CF6A52">
        <w:t>This</w:t>
      </w:r>
      <w:r>
        <w:t xml:space="preserve"> would be via the </w:t>
      </w:r>
      <w:r w:rsidRPr="00CF6A52">
        <w:t>Council Corporate Debt Recovery procedure.</w:t>
      </w:r>
      <w:r>
        <w:t xml:space="preserve"> </w:t>
      </w:r>
      <w:r w:rsidRPr="00CF6A52">
        <w:t xml:space="preserve">If </w:t>
      </w:r>
      <w:r>
        <w:t xml:space="preserve">an </w:t>
      </w:r>
      <w:r w:rsidRPr="00CF6A52">
        <w:t xml:space="preserve">incorrect financial assessment has led to </w:t>
      </w:r>
      <w:r>
        <w:t>an individual</w:t>
      </w:r>
      <w:r w:rsidRPr="00CF6A52">
        <w:t xml:space="preserve"> </w:t>
      </w:r>
      <w:r>
        <w:t>receiving a charge which is</w:t>
      </w:r>
      <w:r w:rsidRPr="00CF6A52">
        <w:t xml:space="preserve"> too much or too little, a new financial assessment will be undertaken and the correct charge will be applied from date of the revised assessment. </w:t>
      </w:r>
    </w:p>
    <w:p w:rsidR="00E47405" w:rsidRDefault="00E47405" w:rsidP="00AE4F15">
      <w:pPr>
        <w:pStyle w:val="BodyText"/>
        <w:spacing w:after="0"/>
      </w:pPr>
    </w:p>
    <w:p w:rsidR="00E47405" w:rsidRDefault="00E47405" w:rsidP="00AE4F15">
      <w:pPr>
        <w:pStyle w:val="BodyText"/>
        <w:spacing w:after="0"/>
      </w:pPr>
      <w:r w:rsidRPr="00CF6A52">
        <w:t>If there are changes to an individual’s financial situation, such as an increase or decrease in their benefits it is essential</w:t>
      </w:r>
      <w:r>
        <w:t xml:space="preserve"> the service user or their representative </w:t>
      </w:r>
      <w:r w:rsidRPr="00CF6A52">
        <w:t>notify the HSCP and request a reass</w:t>
      </w:r>
      <w:r>
        <w:t xml:space="preserve">essment. Failure to so </w:t>
      </w:r>
      <w:r w:rsidRPr="00CF6A52">
        <w:t>may result in an individual being liable to pay a backdated charge</w:t>
      </w:r>
      <w:r>
        <w:t xml:space="preserve"> or could be overcharged for a service.</w:t>
      </w:r>
      <w:r w:rsidRPr="00CF6A52">
        <w:t xml:space="preserve"> </w:t>
      </w:r>
    </w:p>
    <w:p w:rsidR="00E47405" w:rsidRDefault="00E47405" w:rsidP="00AE4F15">
      <w:pPr>
        <w:pStyle w:val="BodyText"/>
        <w:spacing w:after="0"/>
      </w:pPr>
    </w:p>
    <w:p w:rsidR="0014026D" w:rsidRDefault="00E47405" w:rsidP="00AE4F15">
      <w:pPr>
        <w:pStyle w:val="BodyText"/>
      </w:pPr>
      <w:r w:rsidRPr="00CF6A52">
        <w:t>Invoicing</w:t>
      </w:r>
      <w:r>
        <w:t xml:space="preserve"> for charging </w:t>
      </w:r>
      <w:r w:rsidRPr="00CF6A52">
        <w:t xml:space="preserve">is sent out with an annual figure, much like the current council tax invoicing system. </w:t>
      </w:r>
      <w:r>
        <w:t>Service users can choose</w:t>
      </w:r>
      <w:r w:rsidRPr="00CF6A52">
        <w:t xml:space="preserve"> how </w:t>
      </w:r>
      <w:r>
        <w:t>to</w:t>
      </w:r>
      <w:r w:rsidRPr="00CF6A52">
        <w:t xml:space="preserve"> pay the annual figure</w:t>
      </w:r>
      <w:r>
        <w:t xml:space="preserve"> via a </w:t>
      </w:r>
      <w:r w:rsidRPr="00CF6A52">
        <w:t>lump sum</w:t>
      </w:r>
      <w:r>
        <w:t xml:space="preserve"> or in</w:t>
      </w:r>
      <w:r w:rsidRPr="00CF6A52">
        <w:t xml:space="preserve"> instalments</w:t>
      </w:r>
      <w:r>
        <w:t>.</w:t>
      </w:r>
      <w:r w:rsidRPr="00CF6A52">
        <w:t xml:space="preserve"> </w:t>
      </w:r>
    </w:p>
    <w:p w:rsidR="005B0B33" w:rsidRDefault="005B0B33" w:rsidP="00AE4F15">
      <w:pPr>
        <w:pStyle w:val="BodyText"/>
      </w:pPr>
      <w:r>
        <w:t xml:space="preserve">The financial assessment is currently within the IRF2. Guidance on how to complete the IRF and the financial assessment, please click </w:t>
      </w:r>
      <w:hyperlink r:id="rId40" w:history="1">
        <w:r w:rsidRPr="005B0B33">
          <w:rPr>
            <w:rStyle w:val="Hyperlink"/>
          </w:rPr>
          <w:t>here</w:t>
        </w:r>
      </w:hyperlink>
      <w:r>
        <w:t>.</w:t>
      </w:r>
    </w:p>
    <w:p w:rsidR="0014026D" w:rsidRDefault="0014026D" w:rsidP="0014026D">
      <w:pPr>
        <w:pStyle w:val="Heading1"/>
        <w:keepLines/>
        <w:numPr>
          <w:ilvl w:val="0"/>
          <w:numId w:val="6"/>
        </w:numPr>
        <w:spacing w:before="480" w:line="276" w:lineRule="auto"/>
        <w:rPr>
          <w:u w:val="single"/>
        </w:rPr>
      </w:pPr>
      <w:bookmarkStart w:id="32" w:name="_Toc114648993"/>
      <w:bookmarkStart w:id="33" w:name="_Toc131412113"/>
      <w:r w:rsidRPr="004513F3">
        <w:rPr>
          <w:u w:val="single"/>
        </w:rPr>
        <w:t>Fraud</w:t>
      </w:r>
      <w:bookmarkEnd w:id="32"/>
      <w:bookmarkEnd w:id="33"/>
    </w:p>
    <w:p w:rsidR="0014026D" w:rsidRPr="004513F3" w:rsidRDefault="0014026D" w:rsidP="0014026D">
      <w:pPr>
        <w:rPr>
          <w:lang w:eastAsia="en-GB"/>
        </w:rPr>
      </w:pPr>
    </w:p>
    <w:p w:rsidR="0014026D" w:rsidRDefault="0014026D" w:rsidP="0014026D">
      <w:pPr>
        <w:rPr>
          <w:color w:val="1F497D"/>
        </w:rPr>
      </w:pPr>
      <w:r w:rsidRPr="006D5312">
        <w:t xml:space="preserve">If there is a suspicion of fraud or fraud has been identified then the care manager who undertook the financial assessment should contact the Corporate Fraud Team: </w:t>
      </w:r>
      <w:hyperlink r:id="rId41" w:history="1">
        <w:r>
          <w:rPr>
            <w:rStyle w:val="Hyperlink"/>
          </w:rPr>
          <w:t>https://intranet.west-dunbarton.gov.uk/resources/audit-fraud/fraud</w:t>
        </w:r>
      </w:hyperlink>
      <w:r>
        <w:rPr>
          <w:color w:val="1F497D"/>
        </w:rPr>
        <w:t>.</w:t>
      </w:r>
    </w:p>
    <w:p w:rsidR="0014026D" w:rsidRDefault="0014026D" w:rsidP="0014026D">
      <w:pPr>
        <w:rPr>
          <w:color w:val="1F497D"/>
        </w:rPr>
      </w:pPr>
    </w:p>
    <w:p w:rsidR="0014026D" w:rsidRPr="006D5312" w:rsidRDefault="0014026D" w:rsidP="0014026D">
      <w:r w:rsidRPr="006D5312">
        <w:t>Guidance on how to detect fraud can also be found on this website.</w:t>
      </w:r>
    </w:p>
    <w:p w:rsidR="0014026D" w:rsidRDefault="0014026D" w:rsidP="00AE4F15">
      <w:pPr>
        <w:pStyle w:val="BodyText"/>
      </w:pPr>
    </w:p>
    <w:p w:rsidR="00E47405" w:rsidRPr="00CB6C16" w:rsidRDefault="00E47405" w:rsidP="00FE4A68">
      <w:pPr>
        <w:pStyle w:val="Heading1"/>
        <w:keepLines/>
        <w:numPr>
          <w:ilvl w:val="0"/>
          <w:numId w:val="6"/>
        </w:numPr>
        <w:spacing w:before="480" w:line="276" w:lineRule="auto"/>
        <w:rPr>
          <w:u w:val="single"/>
        </w:rPr>
      </w:pPr>
      <w:bookmarkStart w:id="34" w:name="_Toc131412114"/>
      <w:r w:rsidRPr="00CB6C16">
        <w:rPr>
          <w:u w:val="single"/>
        </w:rPr>
        <w:t>Deprivation of Capital</w:t>
      </w:r>
      <w:bookmarkEnd w:id="34"/>
      <w:r w:rsidRPr="00CB6C16">
        <w:rPr>
          <w:u w:val="single"/>
        </w:rPr>
        <w:t xml:space="preserve"> </w:t>
      </w:r>
    </w:p>
    <w:p w:rsidR="00E47405" w:rsidRPr="00D342ED" w:rsidRDefault="00E47405" w:rsidP="00E47405">
      <w:pPr>
        <w:jc w:val="both"/>
      </w:pPr>
    </w:p>
    <w:p w:rsidR="00E47405" w:rsidRPr="00D342ED" w:rsidRDefault="00E47405" w:rsidP="00E47405">
      <w:pPr>
        <w:pStyle w:val="BodyText"/>
      </w:pPr>
      <w:r w:rsidRPr="00D342ED">
        <w:t>If the HSCP h</w:t>
      </w:r>
      <w:r>
        <w:t xml:space="preserve">as evidence that an individual </w:t>
      </w:r>
      <w:r w:rsidRPr="00D342ED">
        <w:t xml:space="preserve">has </w:t>
      </w:r>
      <w:r>
        <w:t xml:space="preserve">not declared </w:t>
      </w:r>
      <w:r w:rsidRPr="00D342ED">
        <w:t xml:space="preserve">a capital asset in order to avoid or reduce </w:t>
      </w:r>
      <w:r>
        <w:t xml:space="preserve">a </w:t>
      </w:r>
      <w:r w:rsidRPr="00D342ED">
        <w:t>char</w:t>
      </w:r>
      <w:r>
        <w:t>ge then it may treat the individual</w:t>
      </w:r>
      <w:r w:rsidRPr="00D342ED">
        <w:t xml:space="preserve"> as still possessing that asset</w:t>
      </w:r>
      <w:r>
        <w:t xml:space="preserve"> when assessing ability to pay.</w:t>
      </w:r>
    </w:p>
    <w:p w:rsidR="00E47405" w:rsidRPr="00CB6C16" w:rsidRDefault="00E47405" w:rsidP="00FE4A68">
      <w:pPr>
        <w:pStyle w:val="Heading1"/>
        <w:keepLines/>
        <w:numPr>
          <w:ilvl w:val="0"/>
          <w:numId w:val="6"/>
        </w:numPr>
        <w:spacing w:before="480" w:line="276" w:lineRule="auto"/>
        <w:rPr>
          <w:u w:val="single"/>
        </w:rPr>
      </w:pPr>
      <w:bookmarkStart w:id="35" w:name="_Toc131412115"/>
      <w:r w:rsidRPr="00CB6C16">
        <w:rPr>
          <w:u w:val="single"/>
        </w:rPr>
        <w:t>Charge</w:t>
      </w:r>
      <w:r w:rsidRPr="00CB6C16">
        <w:rPr>
          <w:spacing w:val="-11"/>
          <w:u w:val="single"/>
        </w:rPr>
        <w:t xml:space="preserve"> </w:t>
      </w:r>
      <w:r w:rsidRPr="00CB6C16">
        <w:rPr>
          <w:u w:val="single"/>
        </w:rPr>
        <w:t>Tapers</w:t>
      </w:r>
      <w:bookmarkEnd w:id="35"/>
    </w:p>
    <w:p w:rsidR="00E47405" w:rsidRDefault="00E47405" w:rsidP="00E47405"/>
    <w:p w:rsidR="00E47405" w:rsidRDefault="00E47405" w:rsidP="00E47405">
      <w:pPr>
        <w:pStyle w:val="BodyText"/>
      </w:pPr>
      <w:r w:rsidRPr="00EA1E33">
        <w:t xml:space="preserve">Residual income is the income, which the individual </w:t>
      </w:r>
      <w:r>
        <w:t>is</w:t>
      </w:r>
      <w:r w:rsidRPr="00EA1E33">
        <w:t xml:space="preserve"> left over after </w:t>
      </w:r>
      <w:r>
        <w:t xml:space="preserve">deducting housing costs, </w:t>
      </w:r>
      <w:r w:rsidRPr="00EA1E33">
        <w:t>income and weekl</w:t>
      </w:r>
      <w:r>
        <w:t xml:space="preserve">y living costs </w:t>
      </w:r>
      <w:r w:rsidRPr="00523BBD">
        <w:t xml:space="preserve">(including any other </w:t>
      </w:r>
      <w:r>
        <w:t>fixed</w:t>
      </w:r>
      <w:r w:rsidRPr="00523BBD">
        <w:t xml:space="preserve"> charges applied for </w:t>
      </w:r>
      <w:r w:rsidRPr="00523BBD">
        <w:lastRenderedPageBreak/>
        <w:t>HSCP services)</w:t>
      </w:r>
      <w:r>
        <w:t xml:space="preserve">.  </w:t>
      </w:r>
      <w:r w:rsidRPr="00EA1E33">
        <w:t>The maximum charge that the service user can afford to pay is thereafter calculated based on 50% of their residual income</w:t>
      </w:r>
      <w:r>
        <w:t xml:space="preserve"> </w:t>
      </w:r>
      <w:r w:rsidRPr="00523BBD">
        <w:t>up to a maximum of £</w:t>
      </w:r>
      <w:r w:rsidR="000B5C95">
        <w:t>7</w:t>
      </w:r>
      <w:r w:rsidR="00672D65">
        <w:t xml:space="preserve">8.40 </w:t>
      </w:r>
      <w:r w:rsidRPr="00523BBD">
        <w:t>per week (excluding the fixed charges</w:t>
      </w:r>
      <w:r>
        <w:t>)</w:t>
      </w:r>
      <w:r w:rsidRPr="00EA1E33">
        <w:t>.  This is achieved by the application of a taper.</w:t>
      </w:r>
      <w:r>
        <w:t xml:space="preserve">  </w:t>
      </w:r>
      <w:r w:rsidRPr="00EA1E33">
        <w:t>The level of taper applied is at the Council’s discretion and will be reviewed on an annual basis to ensure that a balance between cost recovery and fair charging is maintained.</w:t>
      </w:r>
    </w:p>
    <w:p w:rsidR="00E47405" w:rsidRDefault="00E47405" w:rsidP="00E47405">
      <w:pPr>
        <w:pStyle w:val="BodyText"/>
        <w:jc w:val="both"/>
      </w:pPr>
    </w:p>
    <w:p w:rsidR="00E47405" w:rsidRPr="00CF6A52" w:rsidRDefault="00E47405" w:rsidP="00E47405">
      <w:pPr>
        <w:pStyle w:val="BodyText"/>
        <w:jc w:val="both"/>
      </w:pPr>
      <w:r>
        <w:t xml:space="preserve">The income thresholds are found in section </w:t>
      </w:r>
      <w:r w:rsidRPr="0074677A">
        <w:rPr>
          <w:rFonts w:eastAsiaTheme="majorEastAsia"/>
        </w:rPr>
        <w:t xml:space="preserve">Appendix </w:t>
      </w:r>
      <w:r w:rsidR="0074677A" w:rsidRPr="0074677A">
        <w:rPr>
          <w:rFonts w:eastAsiaTheme="majorEastAsia"/>
        </w:rPr>
        <w:t>2 Minimum Income Thresholds 202</w:t>
      </w:r>
      <w:r w:rsidR="00672D65">
        <w:rPr>
          <w:rFonts w:eastAsiaTheme="majorEastAsia"/>
        </w:rPr>
        <w:t>3/2024.</w:t>
      </w:r>
    </w:p>
    <w:p w:rsidR="00E47405" w:rsidRPr="00CB6C16" w:rsidRDefault="00E47405" w:rsidP="00FE4A68">
      <w:pPr>
        <w:pStyle w:val="Heading1"/>
        <w:keepLines/>
        <w:numPr>
          <w:ilvl w:val="0"/>
          <w:numId w:val="6"/>
        </w:numPr>
        <w:spacing w:before="480" w:line="276" w:lineRule="auto"/>
        <w:rPr>
          <w:u w:val="single"/>
        </w:rPr>
      </w:pPr>
      <w:bookmarkStart w:id="36" w:name="_Toc131412116"/>
      <w:r w:rsidRPr="00CB6C16">
        <w:rPr>
          <w:u w:val="single"/>
        </w:rPr>
        <w:t>Income</w:t>
      </w:r>
      <w:r w:rsidRPr="00CB6C16">
        <w:rPr>
          <w:spacing w:val="-11"/>
          <w:u w:val="single"/>
        </w:rPr>
        <w:t xml:space="preserve"> </w:t>
      </w:r>
      <w:r w:rsidRPr="00CB6C16">
        <w:rPr>
          <w:spacing w:val="-1"/>
          <w:u w:val="single"/>
        </w:rPr>
        <w:t>to</w:t>
      </w:r>
      <w:r w:rsidRPr="00CB6C16">
        <w:rPr>
          <w:spacing w:val="-4"/>
          <w:u w:val="single"/>
        </w:rPr>
        <w:t xml:space="preserve"> </w:t>
      </w:r>
      <w:r w:rsidRPr="00CB6C16">
        <w:rPr>
          <w:spacing w:val="-1"/>
          <w:u w:val="single"/>
        </w:rPr>
        <w:t>be</w:t>
      </w:r>
      <w:r w:rsidRPr="00CB6C16">
        <w:rPr>
          <w:u w:val="single"/>
        </w:rPr>
        <w:t xml:space="preserve"> disregarded</w:t>
      </w:r>
      <w:bookmarkEnd w:id="36"/>
    </w:p>
    <w:p w:rsidR="00E47405" w:rsidRDefault="00FA3774" w:rsidP="00FE4A68">
      <w:pPr>
        <w:pStyle w:val="Heading1"/>
        <w:keepLines/>
        <w:numPr>
          <w:ilvl w:val="1"/>
          <w:numId w:val="6"/>
        </w:numPr>
        <w:spacing w:before="480" w:line="276" w:lineRule="auto"/>
      </w:pPr>
      <w:hyperlink r:id="rId42" w:history="1">
        <w:bookmarkStart w:id="37" w:name="_Toc131412117"/>
        <w:r w:rsidR="00E47405" w:rsidRPr="00825297">
          <w:rPr>
            <w:rStyle w:val="Hyperlink"/>
          </w:rPr>
          <w:t>HSCP principles on income which can be disregarded</w:t>
        </w:r>
        <w:bookmarkEnd w:id="37"/>
      </w:hyperlink>
    </w:p>
    <w:p w:rsidR="00E47405" w:rsidRDefault="00E47405" w:rsidP="00E47405">
      <w:pPr>
        <w:pStyle w:val="BodyText"/>
        <w:jc w:val="center"/>
      </w:pPr>
    </w:p>
    <w:p w:rsidR="00E47405" w:rsidRDefault="00E47405" w:rsidP="00E47405">
      <w:pPr>
        <w:pStyle w:val="BodyText"/>
        <w:jc w:val="both"/>
      </w:pPr>
      <w:r w:rsidRPr="00860D8F">
        <w:t xml:space="preserve">The HSCP </w:t>
      </w:r>
      <w:r>
        <w:t>will not include the following areas of income when working out the charge for an individual:</w:t>
      </w:r>
    </w:p>
    <w:p w:rsidR="00E47405" w:rsidRDefault="00E47405" w:rsidP="00E47405"/>
    <w:p w:rsidR="00E47405" w:rsidRPr="000349CE" w:rsidRDefault="00E47405" w:rsidP="00FE4A68">
      <w:pPr>
        <w:pStyle w:val="BodyText"/>
        <w:numPr>
          <w:ilvl w:val="0"/>
          <w:numId w:val="18"/>
        </w:numPr>
        <w:autoSpaceDE w:val="0"/>
        <w:autoSpaceDN w:val="0"/>
        <w:adjustRightInd w:val="0"/>
        <w:spacing w:after="0"/>
        <w:jc w:val="both"/>
      </w:pPr>
      <w:r w:rsidRPr="000349CE">
        <w:t>Mobility Component of Personal Independence Payments, Housing Benefit, Council Tax Reduction and War Pensions</w:t>
      </w:r>
      <w:r>
        <w:t>;</w:t>
      </w:r>
    </w:p>
    <w:p w:rsidR="00E47405" w:rsidRPr="000349CE" w:rsidRDefault="00E47405" w:rsidP="00FE4A68">
      <w:pPr>
        <w:pStyle w:val="BodyText"/>
        <w:numPr>
          <w:ilvl w:val="0"/>
          <w:numId w:val="18"/>
        </w:numPr>
        <w:autoSpaceDE w:val="0"/>
        <w:autoSpaceDN w:val="0"/>
        <w:adjustRightInd w:val="0"/>
        <w:spacing w:after="0"/>
        <w:jc w:val="both"/>
      </w:pPr>
      <w:r w:rsidRPr="000349CE">
        <w:t>The assessable income should be net of housing and council tax costs (where applicable.) This includes rent, mortgage payments, Council</w:t>
      </w:r>
      <w:r>
        <w:t xml:space="preserve">  Tax, water and sewerage costs;</w:t>
      </w:r>
    </w:p>
    <w:p w:rsidR="00E47405" w:rsidRPr="000349CE" w:rsidRDefault="00E47405" w:rsidP="00FE4A68">
      <w:pPr>
        <w:pStyle w:val="BodyText"/>
        <w:numPr>
          <w:ilvl w:val="0"/>
          <w:numId w:val="18"/>
        </w:numPr>
        <w:autoSpaceDE w:val="0"/>
        <w:autoSpaceDN w:val="0"/>
        <w:adjustRightInd w:val="0"/>
        <w:spacing w:after="0"/>
        <w:jc w:val="both"/>
      </w:pPr>
      <w:r w:rsidRPr="000349CE">
        <w:t xml:space="preserve">Income derived from benefits paid for or on behalf of a dependent child </w:t>
      </w:r>
      <w:r>
        <w:t>will be disregarded;</w:t>
      </w:r>
    </w:p>
    <w:p w:rsidR="00E47405" w:rsidRPr="000349CE" w:rsidRDefault="00E47405" w:rsidP="00FE4A68">
      <w:pPr>
        <w:pStyle w:val="BodyText"/>
        <w:numPr>
          <w:ilvl w:val="0"/>
          <w:numId w:val="18"/>
        </w:numPr>
        <w:autoSpaceDE w:val="0"/>
        <w:autoSpaceDN w:val="0"/>
        <w:adjustRightInd w:val="0"/>
        <w:spacing w:after="0"/>
        <w:jc w:val="both"/>
      </w:pPr>
      <w:r w:rsidRPr="000349CE">
        <w:t xml:space="preserve">Kinship Care payments </w:t>
      </w:r>
      <w:r>
        <w:t>will be disregarded;</w:t>
      </w:r>
    </w:p>
    <w:p w:rsidR="00E47405" w:rsidRPr="000349CE" w:rsidRDefault="00E47405" w:rsidP="00FE4A68">
      <w:pPr>
        <w:pStyle w:val="BodyText"/>
        <w:numPr>
          <w:ilvl w:val="0"/>
          <w:numId w:val="18"/>
        </w:numPr>
        <w:autoSpaceDE w:val="0"/>
        <w:autoSpaceDN w:val="0"/>
        <w:adjustRightInd w:val="0"/>
        <w:spacing w:after="0"/>
        <w:jc w:val="both"/>
      </w:pPr>
      <w:r w:rsidRPr="000349CE">
        <w:t xml:space="preserve">Where a service user or their partner is in receipt of earned income, only net earnings are considered, and a </w:t>
      </w:r>
      <w:r w:rsidR="007A0473">
        <w:t>maximum</w:t>
      </w:r>
      <w:r w:rsidRPr="000349CE">
        <w:t xml:space="preserve"> earnings disregard of £20 is applied.</w:t>
      </w:r>
      <w:r w:rsidRPr="007977FF">
        <w:t xml:space="preserve"> </w:t>
      </w:r>
      <w:r>
        <w:t>For e</w:t>
      </w:r>
      <w:r w:rsidRPr="007977FF">
        <w:t xml:space="preserve">xample if someone earns £100 after tax then </w:t>
      </w:r>
      <w:r>
        <w:t>the council would take £80 into consideration when undertaking a Financial Assessment;</w:t>
      </w:r>
    </w:p>
    <w:p w:rsidR="00E47405" w:rsidRDefault="00E47405" w:rsidP="00FE4A68">
      <w:pPr>
        <w:pStyle w:val="BodyText"/>
        <w:numPr>
          <w:ilvl w:val="0"/>
          <w:numId w:val="18"/>
        </w:numPr>
        <w:autoSpaceDE w:val="0"/>
        <w:autoSpaceDN w:val="0"/>
        <w:adjustRightInd w:val="0"/>
        <w:spacing w:after="0"/>
        <w:jc w:val="both"/>
      </w:pPr>
      <w:r>
        <w:t>All service users with c</w:t>
      </w:r>
      <w:r w:rsidRPr="000349CE">
        <w:t xml:space="preserve">apital of £10,000 or less to be disregarded and tariff income applied of £1 for </w:t>
      </w:r>
      <w:r>
        <w:t>each unit of £500 over £10,000;</w:t>
      </w:r>
    </w:p>
    <w:p w:rsidR="00901D93" w:rsidRDefault="00E47405" w:rsidP="00B6690E">
      <w:pPr>
        <w:pStyle w:val="BodyText"/>
        <w:numPr>
          <w:ilvl w:val="0"/>
          <w:numId w:val="18"/>
        </w:numPr>
        <w:autoSpaceDE w:val="0"/>
        <w:autoSpaceDN w:val="0"/>
        <w:adjustRightInd w:val="0"/>
        <w:spacing w:after="0"/>
        <w:jc w:val="both"/>
      </w:pPr>
      <w:r w:rsidRPr="0063337D">
        <w:t>Statutory re-dress scheme for survivors of historical child abuse;</w:t>
      </w:r>
    </w:p>
    <w:p w:rsidR="00901D93" w:rsidRDefault="00901D93" w:rsidP="00B6690E">
      <w:pPr>
        <w:pStyle w:val="BodyText"/>
        <w:numPr>
          <w:ilvl w:val="0"/>
          <w:numId w:val="18"/>
        </w:numPr>
        <w:autoSpaceDE w:val="0"/>
        <w:autoSpaceDN w:val="0"/>
        <w:adjustRightInd w:val="0"/>
        <w:spacing w:after="0"/>
        <w:jc w:val="both"/>
      </w:pPr>
      <w:r>
        <w:t>Child Disability Payment (CDP) and Short-Term Assistance (STA);</w:t>
      </w:r>
    </w:p>
    <w:p w:rsidR="00901D93" w:rsidRDefault="00901D93" w:rsidP="00B6690E">
      <w:pPr>
        <w:pStyle w:val="BodyText"/>
        <w:numPr>
          <w:ilvl w:val="0"/>
          <w:numId w:val="18"/>
        </w:numPr>
        <w:autoSpaceDE w:val="0"/>
        <w:autoSpaceDN w:val="0"/>
        <w:adjustRightInd w:val="0"/>
        <w:spacing w:after="0"/>
        <w:jc w:val="both"/>
      </w:pPr>
      <w:r>
        <w:t>Scottish Infected Blood Scheme (SIBSS) (and equivalent UK schemes e.g. England Infected Blood Support Scheme);</w:t>
      </w:r>
    </w:p>
    <w:p w:rsidR="00901D93" w:rsidRDefault="00901D93" w:rsidP="00B6690E">
      <w:pPr>
        <w:pStyle w:val="BodyText"/>
        <w:numPr>
          <w:ilvl w:val="0"/>
          <w:numId w:val="18"/>
        </w:numPr>
        <w:autoSpaceDE w:val="0"/>
        <w:autoSpaceDN w:val="0"/>
        <w:adjustRightInd w:val="0"/>
        <w:spacing w:after="0"/>
        <w:jc w:val="both"/>
      </w:pPr>
      <w:r>
        <w:t>Victims Payment Regulations 2020;</w:t>
      </w:r>
    </w:p>
    <w:p w:rsidR="00901D93" w:rsidRDefault="00901D93" w:rsidP="00B6690E">
      <w:pPr>
        <w:pStyle w:val="BodyText"/>
        <w:numPr>
          <w:ilvl w:val="0"/>
          <w:numId w:val="18"/>
        </w:numPr>
        <w:autoSpaceDE w:val="0"/>
        <w:autoSpaceDN w:val="0"/>
        <w:adjustRightInd w:val="0"/>
        <w:spacing w:after="0"/>
        <w:jc w:val="both"/>
      </w:pPr>
      <w:r>
        <w:t>Redress Board (Northern Ireland);</w:t>
      </w:r>
    </w:p>
    <w:p w:rsidR="00901D93" w:rsidRDefault="00901D93" w:rsidP="00B6690E">
      <w:pPr>
        <w:pStyle w:val="BodyText"/>
        <w:numPr>
          <w:ilvl w:val="0"/>
          <w:numId w:val="18"/>
        </w:numPr>
        <w:autoSpaceDE w:val="0"/>
        <w:autoSpaceDN w:val="0"/>
        <w:adjustRightInd w:val="0"/>
        <w:spacing w:after="0"/>
        <w:jc w:val="both"/>
      </w:pPr>
      <w:r>
        <w:t>Payment Scheme for Former British Child Migrants;</w:t>
      </w:r>
    </w:p>
    <w:p w:rsidR="00E47405" w:rsidRDefault="00E47405" w:rsidP="00B6690E">
      <w:pPr>
        <w:pStyle w:val="BodyText"/>
        <w:numPr>
          <w:ilvl w:val="0"/>
          <w:numId w:val="18"/>
        </w:numPr>
        <w:autoSpaceDE w:val="0"/>
        <w:autoSpaceDN w:val="0"/>
        <w:adjustRightInd w:val="0"/>
        <w:spacing w:after="0"/>
        <w:jc w:val="both"/>
      </w:pPr>
      <w:r w:rsidRPr="0063337D">
        <w:t>Thalidomide payments; and</w:t>
      </w:r>
    </w:p>
    <w:p w:rsidR="00E47405" w:rsidRDefault="00E47405" w:rsidP="00FE4A68">
      <w:pPr>
        <w:pStyle w:val="BodyText"/>
        <w:numPr>
          <w:ilvl w:val="0"/>
          <w:numId w:val="18"/>
        </w:numPr>
        <w:autoSpaceDE w:val="0"/>
        <w:autoSpaceDN w:val="0"/>
        <w:adjustRightInd w:val="0"/>
        <w:spacing w:after="0"/>
        <w:jc w:val="both"/>
      </w:pPr>
      <w:r w:rsidRPr="0063337D">
        <w:t xml:space="preserve">Future Pathways discretionary fund. </w:t>
      </w:r>
    </w:p>
    <w:p w:rsidR="00E47405" w:rsidRPr="00CB6C16" w:rsidRDefault="00E47405" w:rsidP="00FE4A68">
      <w:pPr>
        <w:pStyle w:val="Heading1"/>
        <w:keepLines/>
        <w:numPr>
          <w:ilvl w:val="1"/>
          <w:numId w:val="6"/>
        </w:numPr>
        <w:spacing w:before="480" w:line="276" w:lineRule="auto"/>
        <w:rPr>
          <w:u w:val="single"/>
        </w:rPr>
      </w:pPr>
      <w:bookmarkStart w:id="38" w:name="_Toc131412118"/>
      <w:r w:rsidRPr="00CB6C16">
        <w:rPr>
          <w:u w:val="single"/>
        </w:rPr>
        <w:lastRenderedPageBreak/>
        <w:t>Income which will be disregarded</w:t>
      </w:r>
      <w:bookmarkEnd w:id="38"/>
    </w:p>
    <w:p w:rsidR="007757A6" w:rsidRDefault="00E47405" w:rsidP="00730CC2">
      <w:pPr>
        <w:pStyle w:val="Heading2"/>
        <w:rPr>
          <w:rFonts w:ascii="Arial" w:eastAsia="Times New Roman" w:hAnsi="Arial" w:cs="Arial"/>
          <w:color w:val="auto"/>
          <w:sz w:val="24"/>
          <w:szCs w:val="20"/>
        </w:rPr>
      </w:pPr>
      <w:r w:rsidRPr="00683AE5">
        <w:rPr>
          <w:rFonts w:ascii="Arial" w:eastAsia="Times New Roman" w:hAnsi="Arial" w:cs="Arial"/>
          <w:color w:val="auto"/>
          <w:sz w:val="24"/>
          <w:szCs w:val="20"/>
        </w:rPr>
        <w:t xml:space="preserve">The HSCP will disregard the following: </w:t>
      </w:r>
    </w:p>
    <w:p w:rsidR="00730CC2" w:rsidRPr="00730CC2" w:rsidRDefault="00730CC2" w:rsidP="00730CC2"/>
    <w:p w:rsidR="0013479C" w:rsidRPr="00730CC2" w:rsidRDefault="007757A6" w:rsidP="00730CC2">
      <w:pPr>
        <w:numPr>
          <w:ilvl w:val="0"/>
          <w:numId w:val="7"/>
        </w:numPr>
        <w:rPr>
          <w:rFonts w:cs="Arial"/>
        </w:rPr>
      </w:pPr>
      <w:r w:rsidRPr="00730CC2">
        <w:rPr>
          <w:rFonts w:cs="Arial"/>
        </w:rPr>
        <w:t xml:space="preserve">Adoption (Scotland) Act 1978 (section 51A) Payments </w:t>
      </w:r>
    </w:p>
    <w:p w:rsidR="0013479C" w:rsidRPr="00730CC2" w:rsidRDefault="007757A6" w:rsidP="00730CC2">
      <w:pPr>
        <w:numPr>
          <w:ilvl w:val="0"/>
          <w:numId w:val="7"/>
        </w:numPr>
        <w:rPr>
          <w:rFonts w:cs="Arial"/>
        </w:rPr>
      </w:pPr>
      <w:r w:rsidRPr="00730CC2">
        <w:rPr>
          <w:rFonts w:cs="Arial"/>
        </w:rPr>
        <w:t xml:space="preserve">Age-Related payments Act 2004 Payments </w:t>
      </w:r>
    </w:p>
    <w:p w:rsidR="0013479C" w:rsidRPr="00730CC2" w:rsidRDefault="007757A6" w:rsidP="00730CC2">
      <w:pPr>
        <w:numPr>
          <w:ilvl w:val="0"/>
          <w:numId w:val="7"/>
        </w:numPr>
        <w:rPr>
          <w:rFonts w:cs="Arial"/>
        </w:rPr>
      </w:pPr>
      <w:r w:rsidRPr="00730CC2">
        <w:rPr>
          <w:rFonts w:cs="Arial"/>
        </w:rPr>
        <w:t xml:space="preserve">Backdated Benefits </w:t>
      </w:r>
    </w:p>
    <w:p w:rsidR="0013479C" w:rsidRPr="00730CC2" w:rsidRDefault="007757A6" w:rsidP="00730CC2">
      <w:pPr>
        <w:numPr>
          <w:ilvl w:val="0"/>
          <w:numId w:val="7"/>
        </w:numPr>
        <w:rPr>
          <w:rFonts w:cs="Arial"/>
        </w:rPr>
      </w:pPr>
      <w:r w:rsidRPr="00730CC2">
        <w:rPr>
          <w:rFonts w:cs="Arial"/>
        </w:rPr>
        <w:t xml:space="preserve">Bereavement Payment </w:t>
      </w:r>
    </w:p>
    <w:p w:rsidR="0013479C" w:rsidRPr="00730CC2" w:rsidRDefault="007757A6" w:rsidP="00730CC2">
      <w:pPr>
        <w:numPr>
          <w:ilvl w:val="0"/>
          <w:numId w:val="7"/>
        </w:numPr>
        <w:rPr>
          <w:rFonts w:cs="Arial"/>
        </w:rPr>
      </w:pPr>
      <w:r w:rsidRPr="00730CC2">
        <w:rPr>
          <w:rFonts w:cs="Arial"/>
        </w:rPr>
        <w:t xml:space="preserve">Budgeting Loan </w:t>
      </w:r>
    </w:p>
    <w:p w:rsidR="0013479C" w:rsidRPr="00730CC2" w:rsidRDefault="007757A6" w:rsidP="00730CC2">
      <w:pPr>
        <w:numPr>
          <w:ilvl w:val="0"/>
          <w:numId w:val="7"/>
        </w:numPr>
        <w:rPr>
          <w:rFonts w:cs="Arial"/>
        </w:rPr>
      </w:pPr>
      <w:r w:rsidRPr="00730CC2">
        <w:rPr>
          <w:rFonts w:cs="Arial"/>
        </w:rPr>
        <w:t xml:space="preserve">Capital – various different levels of disregard </w:t>
      </w:r>
    </w:p>
    <w:p w:rsidR="0013479C" w:rsidRPr="00730CC2" w:rsidRDefault="007757A6" w:rsidP="00730CC2">
      <w:pPr>
        <w:numPr>
          <w:ilvl w:val="0"/>
          <w:numId w:val="7"/>
        </w:numPr>
        <w:rPr>
          <w:rFonts w:cs="Arial"/>
        </w:rPr>
      </w:pPr>
      <w:r w:rsidRPr="00730CC2">
        <w:rPr>
          <w:rFonts w:cs="Arial"/>
        </w:rPr>
        <w:t xml:space="preserve">Carers Allowance (previously Invalid Care Allowance) </w:t>
      </w:r>
    </w:p>
    <w:p w:rsidR="0013479C" w:rsidRPr="00730CC2" w:rsidRDefault="007757A6" w:rsidP="00730CC2">
      <w:pPr>
        <w:numPr>
          <w:ilvl w:val="0"/>
          <w:numId w:val="7"/>
        </w:numPr>
        <w:rPr>
          <w:rFonts w:cs="Arial"/>
        </w:rPr>
      </w:pPr>
      <w:r w:rsidRPr="00730CC2">
        <w:rPr>
          <w:rFonts w:cs="Arial"/>
        </w:rPr>
        <w:t xml:space="preserve">Carers Premium </w:t>
      </w:r>
    </w:p>
    <w:p w:rsidR="0013479C" w:rsidRPr="00730CC2" w:rsidRDefault="007757A6" w:rsidP="00730CC2">
      <w:pPr>
        <w:numPr>
          <w:ilvl w:val="0"/>
          <w:numId w:val="7"/>
        </w:numPr>
        <w:rPr>
          <w:rFonts w:cs="Arial"/>
        </w:rPr>
      </w:pPr>
      <w:r w:rsidRPr="00730CC2">
        <w:rPr>
          <w:rFonts w:cs="Arial"/>
        </w:rPr>
        <w:t xml:space="preserve">Certain payments made to trainees </w:t>
      </w:r>
    </w:p>
    <w:p w:rsidR="0013479C" w:rsidRPr="00730CC2" w:rsidRDefault="007757A6" w:rsidP="00730CC2">
      <w:pPr>
        <w:numPr>
          <w:ilvl w:val="0"/>
          <w:numId w:val="7"/>
        </w:numPr>
        <w:rPr>
          <w:rFonts w:cs="Arial"/>
        </w:rPr>
      </w:pPr>
      <w:r w:rsidRPr="00730CC2">
        <w:rPr>
          <w:rFonts w:cs="Arial"/>
        </w:rPr>
        <w:t xml:space="preserve">Charitable and special funds </w:t>
      </w:r>
    </w:p>
    <w:p w:rsidR="0013479C" w:rsidRPr="00730CC2" w:rsidRDefault="007757A6" w:rsidP="00730CC2">
      <w:pPr>
        <w:numPr>
          <w:ilvl w:val="0"/>
          <w:numId w:val="7"/>
        </w:numPr>
        <w:rPr>
          <w:rFonts w:cs="Arial"/>
        </w:rPr>
      </w:pPr>
      <w:r w:rsidRPr="00730CC2">
        <w:rPr>
          <w:rFonts w:cs="Arial"/>
        </w:rPr>
        <w:t xml:space="preserve">Child Benefit </w:t>
      </w:r>
    </w:p>
    <w:p w:rsidR="0013479C" w:rsidRPr="00730CC2" w:rsidRDefault="007757A6" w:rsidP="00730CC2">
      <w:pPr>
        <w:numPr>
          <w:ilvl w:val="0"/>
          <w:numId w:val="7"/>
        </w:numPr>
        <w:rPr>
          <w:rFonts w:cs="Arial"/>
        </w:rPr>
      </w:pPr>
      <w:r w:rsidRPr="00730CC2">
        <w:rPr>
          <w:rFonts w:cs="Arial"/>
        </w:rPr>
        <w:t xml:space="preserve">Child related premiums paid to pre April 2003 </w:t>
      </w:r>
    </w:p>
    <w:p w:rsidR="0013479C" w:rsidRPr="00730CC2" w:rsidRDefault="007757A6" w:rsidP="00730CC2">
      <w:pPr>
        <w:numPr>
          <w:ilvl w:val="0"/>
          <w:numId w:val="7"/>
        </w:numPr>
        <w:rPr>
          <w:rFonts w:cs="Arial"/>
        </w:rPr>
      </w:pPr>
      <w:r w:rsidRPr="00730CC2">
        <w:rPr>
          <w:rFonts w:cs="Arial"/>
        </w:rPr>
        <w:t xml:space="preserve">Income Support Claimant </w:t>
      </w:r>
    </w:p>
    <w:p w:rsidR="0013479C" w:rsidRPr="00730CC2" w:rsidRDefault="007757A6" w:rsidP="00730CC2">
      <w:pPr>
        <w:numPr>
          <w:ilvl w:val="0"/>
          <w:numId w:val="7"/>
        </w:numPr>
        <w:rPr>
          <w:rFonts w:cs="Arial"/>
        </w:rPr>
      </w:pPr>
      <w:r w:rsidRPr="00730CC2">
        <w:rPr>
          <w:rFonts w:cs="Arial"/>
        </w:rPr>
        <w:t xml:space="preserve">Child Support Maintenance Payments </w:t>
      </w:r>
    </w:p>
    <w:p w:rsidR="0013479C" w:rsidRPr="00730CC2" w:rsidRDefault="007757A6" w:rsidP="00730CC2">
      <w:pPr>
        <w:numPr>
          <w:ilvl w:val="0"/>
          <w:numId w:val="7"/>
        </w:numPr>
        <w:rPr>
          <w:rFonts w:cs="Arial"/>
        </w:rPr>
      </w:pPr>
      <w:r w:rsidRPr="00730CC2">
        <w:rPr>
          <w:rFonts w:cs="Arial"/>
        </w:rPr>
        <w:t xml:space="preserve">Child Tax Credits </w:t>
      </w:r>
    </w:p>
    <w:p w:rsidR="0013479C" w:rsidRPr="00730CC2" w:rsidRDefault="007757A6" w:rsidP="00730CC2">
      <w:pPr>
        <w:numPr>
          <w:ilvl w:val="0"/>
          <w:numId w:val="7"/>
        </w:numPr>
        <w:rPr>
          <w:rFonts w:cs="Arial"/>
        </w:rPr>
      </w:pPr>
      <w:r w:rsidRPr="00730CC2">
        <w:rPr>
          <w:rFonts w:cs="Arial"/>
        </w:rPr>
        <w:t xml:space="preserve">Children's Benefits </w:t>
      </w:r>
    </w:p>
    <w:p w:rsidR="0013479C" w:rsidRPr="00730CC2" w:rsidRDefault="007757A6" w:rsidP="00730CC2">
      <w:pPr>
        <w:numPr>
          <w:ilvl w:val="0"/>
          <w:numId w:val="7"/>
        </w:numPr>
        <w:rPr>
          <w:rFonts w:cs="Arial"/>
        </w:rPr>
      </w:pPr>
      <w:r w:rsidRPr="00730CC2">
        <w:rPr>
          <w:rFonts w:cs="Arial"/>
        </w:rPr>
        <w:t xml:space="preserve">Christmas bonus </w:t>
      </w:r>
    </w:p>
    <w:p w:rsidR="0013479C" w:rsidRPr="00730CC2" w:rsidRDefault="007757A6" w:rsidP="00730CC2">
      <w:pPr>
        <w:numPr>
          <w:ilvl w:val="0"/>
          <w:numId w:val="7"/>
        </w:numPr>
        <w:rPr>
          <w:rFonts w:cs="Arial"/>
        </w:rPr>
      </w:pPr>
      <w:r w:rsidRPr="00730CC2">
        <w:rPr>
          <w:rFonts w:cs="Arial"/>
        </w:rPr>
        <w:t xml:space="preserve">Christmas Bonus paid with benefits </w:t>
      </w:r>
    </w:p>
    <w:p w:rsidR="0013479C" w:rsidRPr="00730CC2" w:rsidRDefault="007757A6" w:rsidP="00730CC2">
      <w:pPr>
        <w:numPr>
          <w:ilvl w:val="0"/>
          <w:numId w:val="7"/>
        </w:numPr>
        <w:rPr>
          <w:rFonts w:cs="Arial"/>
        </w:rPr>
      </w:pPr>
      <w:r w:rsidRPr="00730CC2">
        <w:rPr>
          <w:rFonts w:cs="Arial"/>
        </w:rPr>
        <w:t xml:space="preserve">Cold Weather Payments </w:t>
      </w:r>
    </w:p>
    <w:p w:rsidR="0013479C" w:rsidRPr="00730CC2" w:rsidRDefault="007757A6" w:rsidP="00730CC2">
      <w:pPr>
        <w:numPr>
          <w:ilvl w:val="0"/>
          <w:numId w:val="7"/>
        </w:numPr>
        <w:rPr>
          <w:rFonts w:cs="Arial"/>
        </w:rPr>
      </w:pPr>
      <w:r w:rsidRPr="00730CC2">
        <w:rPr>
          <w:rFonts w:cs="Arial"/>
        </w:rPr>
        <w:t xml:space="preserve">Concessionary Coal payments </w:t>
      </w:r>
    </w:p>
    <w:p w:rsidR="0013479C" w:rsidRPr="00730CC2" w:rsidRDefault="007757A6" w:rsidP="00730CC2">
      <w:pPr>
        <w:numPr>
          <w:ilvl w:val="0"/>
          <w:numId w:val="7"/>
        </w:numPr>
        <w:rPr>
          <w:rFonts w:cs="Arial"/>
        </w:rPr>
      </w:pPr>
      <w:r w:rsidRPr="00730CC2">
        <w:rPr>
          <w:rFonts w:cs="Arial"/>
        </w:rPr>
        <w:t xml:space="preserve">Council Tax Benefit / Council Tax Reduction </w:t>
      </w:r>
    </w:p>
    <w:p w:rsidR="0013479C" w:rsidRPr="00730CC2" w:rsidRDefault="007757A6" w:rsidP="00730CC2">
      <w:pPr>
        <w:numPr>
          <w:ilvl w:val="0"/>
          <w:numId w:val="7"/>
        </w:numPr>
        <w:rPr>
          <w:rFonts w:cs="Arial"/>
        </w:rPr>
      </w:pPr>
      <w:r w:rsidRPr="00730CC2">
        <w:rPr>
          <w:rFonts w:cs="Arial"/>
        </w:rPr>
        <w:t xml:space="preserve">Dependency increases paid with certain benefits </w:t>
      </w:r>
    </w:p>
    <w:p w:rsidR="0013479C" w:rsidRPr="00730CC2" w:rsidRDefault="007757A6" w:rsidP="00730CC2">
      <w:pPr>
        <w:numPr>
          <w:ilvl w:val="0"/>
          <w:numId w:val="7"/>
        </w:numPr>
        <w:rPr>
          <w:rFonts w:cs="Arial"/>
        </w:rPr>
      </w:pPr>
      <w:r w:rsidRPr="00730CC2">
        <w:rPr>
          <w:rFonts w:cs="Arial"/>
        </w:rPr>
        <w:t xml:space="preserve">Difference between higher and lower rate of Attendance Allowance and higher and middle rate of DLA care when the person is not receiving night-time services </w:t>
      </w:r>
    </w:p>
    <w:p w:rsidR="0013479C" w:rsidRPr="00730CC2" w:rsidRDefault="007757A6" w:rsidP="00730CC2">
      <w:pPr>
        <w:numPr>
          <w:ilvl w:val="0"/>
          <w:numId w:val="7"/>
        </w:numPr>
        <w:rPr>
          <w:rFonts w:cs="Arial"/>
        </w:rPr>
      </w:pPr>
      <w:r w:rsidRPr="00730CC2">
        <w:rPr>
          <w:rFonts w:cs="Arial"/>
        </w:rPr>
        <w:t xml:space="preserve">Difference between enhanced and standard rate of Personal Independence Payment (Daily Living Component) when the person is not receiving night-time services </w:t>
      </w:r>
    </w:p>
    <w:p w:rsidR="0013479C" w:rsidRPr="00730CC2" w:rsidRDefault="007757A6" w:rsidP="00730CC2">
      <w:pPr>
        <w:numPr>
          <w:ilvl w:val="0"/>
          <w:numId w:val="7"/>
        </w:numPr>
        <w:rPr>
          <w:rFonts w:cs="Arial"/>
        </w:rPr>
      </w:pPr>
      <w:r w:rsidRPr="00730CC2">
        <w:rPr>
          <w:rFonts w:cs="Arial"/>
        </w:rPr>
        <w:t xml:space="preserve">Direct Payments made by a local authority under Section 12B of the Social Work (Scotland) Act 1968 to Individuals in respect of a care service that they or a dependent child have been assessed as requiring </w:t>
      </w:r>
    </w:p>
    <w:p w:rsidR="0013479C" w:rsidRPr="00730CC2" w:rsidRDefault="007757A6" w:rsidP="00730CC2">
      <w:pPr>
        <w:numPr>
          <w:ilvl w:val="0"/>
          <w:numId w:val="7"/>
        </w:numPr>
        <w:rPr>
          <w:rFonts w:cs="Arial"/>
        </w:rPr>
      </w:pPr>
      <w:r w:rsidRPr="00730CC2">
        <w:rPr>
          <w:rFonts w:cs="Arial"/>
        </w:rPr>
        <w:t xml:space="preserve">Disability benefits paid to client's partners where the partner is not a service user Disability Living Allowance or Disability Assistance (Mobility component) </w:t>
      </w:r>
    </w:p>
    <w:p w:rsidR="0013479C" w:rsidRPr="00730CC2" w:rsidRDefault="007757A6" w:rsidP="00730CC2">
      <w:pPr>
        <w:numPr>
          <w:ilvl w:val="0"/>
          <w:numId w:val="7"/>
        </w:numPr>
        <w:rPr>
          <w:rFonts w:cs="Arial"/>
        </w:rPr>
      </w:pPr>
      <w:r w:rsidRPr="00730CC2">
        <w:rPr>
          <w:rFonts w:cs="Arial"/>
        </w:rPr>
        <w:t xml:space="preserve">Disability payment in respect of child </w:t>
      </w:r>
    </w:p>
    <w:p w:rsidR="0013479C" w:rsidRPr="00B41E77" w:rsidRDefault="007757A6" w:rsidP="00B41E77">
      <w:pPr>
        <w:numPr>
          <w:ilvl w:val="0"/>
          <w:numId w:val="7"/>
        </w:numPr>
        <w:rPr>
          <w:rFonts w:cs="Arial"/>
        </w:rPr>
      </w:pPr>
      <w:r w:rsidRPr="00730CC2">
        <w:rPr>
          <w:rFonts w:cs="Arial"/>
        </w:rPr>
        <w:t>Discretionary Housing Payments</w:t>
      </w:r>
    </w:p>
    <w:p w:rsidR="0013479C" w:rsidRDefault="007757A6" w:rsidP="00730CC2">
      <w:pPr>
        <w:numPr>
          <w:ilvl w:val="0"/>
          <w:numId w:val="7"/>
        </w:numPr>
        <w:rPr>
          <w:rFonts w:cs="Arial"/>
        </w:rPr>
      </w:pPr>
      <w:r w:rsidRPr="00730CC2">
        <w:rPr>
          <w:rFonts w:cs="Arial"/>
        </w:rPr>
        <w:t xml:space="preserve">Far East Prisoner of War payment Gallantry Awards (e.g. GC, VC, similar from abroad) </w:t>
      </w:r>
    </w:p>
    <w:p w:rsidR="00730CC2" w:rsidRPr="00730CC2" w:rsidRDefault="00730CC2" w:rsidP="00730CC2">
      <w:pPr>
        <w:numPr>
          <w:ilvl w:val="0"/>
          <w:numId w:val="7"/>
        </w:numPr>
        <w:rPr>
          <w:rFonts w:cs="Arial"/>
        </w:rPr>
      </w:pPr>
      <w:r>
        <w:t>Future Pathways – Discretionary Fund</w:t>
      </w:r>
    </w:p>
    <w:p w:rsidR="0013479C" w:rsidRPr="00730CC2" w:rsidRDefault="007757A6" w:rsidP="00730CC2">
      <w:pPr>
        <w:numPr>
          <w:ilvl w:val="0"/>
          <w:numId w:val="7"/>
        </w:numPr>
        <w:rPr>
          <w:rFonts w:cs="Arial"/>
        </w:rPr>
      </w:pPr>
      <w:r w:rsidRPr="00730CC2">
        <w:rPr>
          <w:rFonts w:cs="Arial"/>
        </w:rPr>
        <w:t xml:space="preserve">Guarantee Credit Guardian’s Allowance Housing Benefit Income from a “home income plan” annuity </w:t>
      </w:r>
    </w:p>
    <w:p w:rsidR="0013479C" w:rsidRPr="00730CC2" w:rsidRDefault="007757A6" w:rsidP="00730CC2">
      <w:pPr>
        <w:numPr>
          <w:ilvl w:val="0"/>
          <w:numId w:val="7"/>
        </w:numPr>
        <w:rPr>
          <w:rFonts w:cs="Arial"/>
        </w:rPr>
      </w:pPr>
      <w:r w:rsidRPr="00730CC2">
        <w:rPr>
          <w:rFonts w:cs="Arial"/>
        </w:rPr>
        <w:t xml:space="preserve">Income from a mortgage protection policy </w:t>
      </w:r>
    </w:p>
    <w:p w:rsidR="0013479C" w:rsidRPr="00730CC2" w:rsidRDefault="007757A6" w:rsidP="00730CC2">
      <w:pPr>
        <w:numPr>
          <w:ilvl w:val="0"/>
          <w:numId w:val="7"/>
        </w:numPr>
        <w:rPr>
          <w:rFonts w:cs="Arial"/>
        </w:rPr>
      </w:pPr>
      <w:r w:rsidRPr="00730CC2">
        <w:rPr>
          <w:rFonts w:cs="Arial"/>
        </w:rPr>
        <w:t xml:space="preserve">Income frozen abroad </w:t>
      </w:r>
    </w:p>
    <w:p w:rsidR="0013479C" w:rsidRPr="00730CC2" w:rsidRDefault="007757A6" w:rsidP="00730CC2">
      <w:pPr>
        <w:numPr>
          <w:ilvl w:val="0"/>
          <w:numId w:val="7"/>
        </w:numPr>
        <w:rPr>
          <w:rFonts w:cs="Arial"/>
        </w:rPr>
      </w:pPr>
      <w:r w:rsidRPr="00730CC2">
        <w:rPr>
          <w:rFonts w:cs="Arial"/>
        </w:rPr>
        <w:lastRenderedPageBreak/>
        <w:t xml:space="preserve">Income in kind </w:t>
      </w:r>
    </w:p>
    <w:p w:rsidR="0013479C" w:rsidRPr="00730CC2" w:rsidRDefault="007757A6" w:rsidP="00730CC2">
      <w:pPr>
        <w:numPr>
          <w:ilvl w:val="0"/>
          <w:numId w:val="7"/>
        </w:numPr>
        <w:rPr>
          <w:rFonts w:cs="Arial"/>
        </w:rPr>
      </w:pPr>
      <w:r w:rsidRPr="00730CC2">
        <w:rPr>
          <w:rFonts w:cs="Arial"/>
        </w:rPr>
        <w:t xml:space="preserve">Income Support </w:t>
      </w:r>
    </w:p>
    <w:p w:rsidR="0013479C" w:rsidRPr="00730CC2" w:rsidRDefault="007757A6" w:rsidP="00730CC2">
      <w:pPr>
        <w:numPr>
          <w:ilvl w:val="0"/>
          <w:numId w:val="7"/>
        </w:numPr>
        <w:rPr>
          <w:rFonts w:cs="Arial"/>
        </w:rPr>
      </w:pPr>
      <w:r w:rsidRPr="00730CC2">
        <w:rPr>
          <w:rFonts w:cs="Arial"/>
        </w:rPr>
        <w:t>Independent Living Fund Scotland Payments</w:t>
      </w:r>
    </w:p>
    <w:p w:rsidR="0013479C" w:rsidRPr="00730CC2" w:rsidRDefault="007757A6" w:rsidP="00730CC2">
      <w:pPr>
        <w:numPr>
          <w:ilvl w:val="0"/>
          <w:numId w:val="7"/>
        </w:numPr>
        <w:rPr>
          <w:rFonts w:cs="Arial"/>
        </w:rPr>
      </w:pPr>
      <w:r w:rsidRPr="00730CC2">
        <w:rPr>
          <w:rFonts w:cs="Arial"/>
        </w:rPr>
        <w:t xml:space="preserve">Industrial Disablement Benefit </w:t>
      </w:r>
    </w:p>
    <w:p w:rsidR="0013479C" w:rsidRPr="00730CC2" w:rsidRDefault="007757A6" w:rsidP="00730CC2">
      <w:pPr>
        <w:numPr>
          <w:ilvl w:val="0"/>
          <w:numId w:val="7"/>
        </w:numPr>
        <w:rPr>
          <w:rFonts w:cs="Arial"/>
        </w:rPr>
      </w:pPr>
      <w:r w:rsidRPr="00730CC2">
        <w:rPr>
          <w:rFonts w:cs="Arial"/>
        </w:rPr>
        <w:t xml:space="preserve">Industrial Injuries Benefit </w:t>
      </w:r>
    </w:p>
    <w:p w:rsidR="0013479C" w:rsidRPr="00730CC2" w:rsidRDefault="007757A6" w:rsidP="00730CC2">
      <w:pPr>
        <w:numPr>
          <w:ilvl w:val="0"/>
          <w:numId w:val="7"/>
        </w:numPr>
        <w:rPr>
          <w:rFonts w:cs="Arial"/>
        </w:rPr>
      </w:pPr>
      <w:r w:rsidRPr="00730CC2">
        <w:rPr>
          <w:rFonts w:cs="Arial"/>
        </w:rPr>
        <w:t xml:space="preserve">Industrial Injury Disability Benefit </w:t>
      </w:r>
    </w:p>
    <w:p w:rsidR="0013479C" w:rsidRPr="00730CC2" w:rsidRDefault="007757A6" w:rsidP="00730CC2">
      <w:pPr>
        <w:numPr>
          <w:ilvl w:val="0"/>
          <w:numId w:val="7"/>
        </w:numPr>
        <w:rPr>
          <w:rFonts w:cs="Arial"/>
        </w:rPr>
      </w:pPr>
      <w:r w:rsidRPr="00730CC2">
        <w:rPr>
          <w:rFonts w:cs="Arial"/>
        </w:rPr>
        <w:t>Kinship Care payments</w:t>
      </w:r>
    </w:p>
    <w:p w:rsidR="00954F11" w:rsidRPr="00730CC2" w:rsidRDefault="007757A6" w:rsidP="00730CC2">
      <w:pPr>
        <w:numPr>
          <w:ilvl w:val="0"/>
          <w:numId w:val="7"/>
        </w:numPr>
        <w:rPr>
          <w:rFonts w:cs="Arial"/>
        </w:rPr>
      </w:pPr>
      <w:r w:rsidRPr="00730CC2">
        <w:rPr>
          <w:rFonts w:cs="Arial"/>
        </w:rPr>
        <w:t xml:space="preserve">Personal Independence Payment (Mobility Component) </w:t>
      </w:r>
    </w:p>
    <w:p w:rsidR="00954F11" w:rsidRPr="00730CC2" w:rsidRDefault="007757A6" w:rsidP="00730CC2">
      <w:pPr>
        <w:numPr>
          <w:ilvl w:val="0"/>
          <w:numId w:val="7"/>
        </w:numPr>
        <w:rPr>
          <w:rFonts w:cs="Arial"/>
        </w:rPr>
      </w:pPr>
      <w:r w:rsidRPr="00730CC2">
        <w:rPr>
          <w:rFonts w:cs="Arial"/>
        </w:rPr>
        <w:t xml:space="preserve">MOD Pension </w:t>
      </w:r>
    </w:p>
    <w:p w:rsidR="00954F11" w:rsidRPr="00730CC2" w:rsidRDefault="007757A6" w:rsidP="00730CC2">
      <w:pPr>
        <w:numPr>
          <w:ilvl w:val="0"/>
          <w:numId w:val="7"/>
        </w:numPr>
        <w:rPr>
          <w:rFonts w:cs="Arial"/>
        </w:rPr>
      </w:pPr>
      <w:r w:rsidRPr="00730CC2">
        <w:rPr>
          <w:rFonts w:cs="Arial"/>
        </w:rPr>
        <w:t xml:space="preserve">Non-dependent child payments </w:t>
      </w:r>
    </w:p>
    <w:p w:rsidR="00954F11" w:rsidRPr="00730CC2" w:rsidRDefault="007757A6" w:rsidP="00730CC2">
      <w:pPr>
        <w:numPr>
          <w:ilvl w:val="0"/>
          <w:numId w:val="7"/>
        </w:numPr>
        <w:rPr>
          <w:rFonts w:cs="Arial"/>
        </w:rPr>
      </w:pPr>
      <w:r w:rsidRPr="00730CC2">
        <w:rPr>
          <w:rFonts w:cs="Arial"/>
        </w:rPr>
        <w:t xml:space="preserve">Non-therapeutic Earnings </w:t>
      </w:r>
    </w:p>
    <w:p w:rsidR="00954F11" w:rsidRPr="00730CC2" w:rsidRDefault="007757A6" w:rsidP="00730CC2">
      <w:pPr>
        <w:numPr>
          <w:ilvl w:val="0"/>
          <w:numId w:val="7"/>
        </w:numPr>
        <w:rPr>
          <w:rFonts w:cs="Arial"/>
        </w:rPr>
      </w:pPr>
      <w:bookmarkStart w:id="39" w:name="_GoBack"/>
      <w:bookmarkEnd w:id="39"/>
      <w:r w:rsidRPr="00730CC2">
        <w:rPr>
          <w:rFonts w:cs="Arial"/>
        </w:rPr>
        <w:t xml:space="preserve">Personal property, such as household goods, family car etc. </w:t>
      </w:r>
    </w:p>
    <w:p w:rsidR="00954F11" w:rsidRPr="00730CC2" w:rsidRDefault="007757A6" w:rsidP="00730CC2">
      <w:pPr>
        <w:numPr>
          <w:ilvl w:val="0"/>
          <w:numId w:val="7"/>
        </w:numPr>
        <w:rPr>
          <w:rFonts w:cs="Arial"/>
        </w:rPr>
      </w:pPr>
      <w:r w:rsidRPr="00730CC2">
        <w:rPr>
          <w:rFonts w:cs="Arial"/>
        </w:rPr>
        <w:t xml:space="preserve">Scottish Welfare Fund – Community Care Grants </w:t>
      </w:r>
    </w:p>
    <w:p w:rsidR="00954F11" w:rsidRPr="00730CC2" w:rsidRDefault="007757A6" w:rsidP="00730CC2">
      <w:pPr>
        <w:numPr>
          <w:ilvl w:val="0"/>
          <w:numId w:val="7"/>
        </w:numPr>
        <w:rPr>
          <w:rFonts w:cs="Arial"/>
        </w:rPr>
      </w:pPr>
      <w:r w:rsidRPr="00730CC2">
        <w:rPr>
          <w:rFonts w:cs="Arial"/>
        </w:rPr>
        <w:t xml:space="preserve">Scottish Welfare Fund – Crisis Grants </w:t>
      </w:r>
    </w:p>
    <w:p w:rsidR="00954F11" w:rsidRDefault="007757A6" w:rsidP="00730CC2">
      <w:pPr>
        <w:numPr>
          <w:ilvl w:val="0"/>
          <w:numId w:val="7"/>
        </w:numPr>
        <w:rPr>
          <w:rFonts w:cs="Arial"/>
        </w:rPr>
      </w:pPr>
      <w:r w:rsidRPr="00730CC2">
        <w:rPr>
          <w:rFonts w:cs="Arial"/>
        </w:rPr>
        <w:t xml:space="preserve">Social Fund payments </w:t>
      </w:r>
    </w:p>
    <w:p w:rsidR="00730CC2" w:rsidRPr="00730CC2" w:rsidRDefault="00730CC2" w:rsidP="00730CC2">
      <w:pPr>
        <w:numPr>
          <w:ilvl w:val="0"/>
          <w:numId w:val="7"/>
        </w:numPr>
        <w:rPr>
          <w:rFonts w:cs="Arial"/>
        </w:rPr>
      </w:pPr>
      <w:r>
        <w:t>Statutory Redress Scheme and Advance Payment Scheme– Survivors of Historical Child Abuse</w:t>
      </w:r>
    </w:p>
    <w:p w:rsidR="00954F11" w:rsidRPr="00730CC2" w:rsidRDefault="007757A6" w:rsidP="00730CC2">
      <w:pPr>
        <w:numPr>
          <w:ilvl w:val="0"/>
          <w:numId w:val="7"/>
        </w:numPr>
        <w:rPr>
          <w:rFonts w:cs="Arial"/>
        </w:rPr>
      </w:pPr>
      <w:r w:rsidRPr="00730CC2">
        <w:rPr>
          <w:rFonts w:cs="Arial"/>
        </w:rPr>
        <w:t xml:space="preserve">Student Loan Repayment </w:t>
      </w:r>
    </w:p>
    <w:p w:rsidR="00954F11" w:rsidRPr="00730CC2" w:rsidRDefault="007757A6" w:rsidP="00730CC2">
      <w:pPr>
        <w:numPr>
          <w:ilvl w:val="0"/>
          <w:numId w:val="7"/>
        </w:numPr>
        <w:rPr>
          <w:rFonts w:cs="Arial"/>
        </w:rPr>
      </w:pPr>
      <w:r w:rsidRPr="00730CC2">
        <w:rPr>
          <w:rFonts w:cs="Arial"/>
        </w:rPr>
        <w:t xml:space="preserve">Sure Start Maternity Grant </w:t>
      </w:r>
    </w:p>
    <w:p w:rsidR="00730CC2" w:rsidRDefault="007757A6" w:rsidP="00730CC2">
      <w:pPr>
        <w:numPr>
          <w:ilvl w:val="0"/>
          <w:numId w:val="7"/>
        </w:numPr>
        <w:rPr>
          <w:rFonts w:cs="Arial"/>
        </w:rPr>
      </w:pPr>
      <w:r w:rsidRPr="00730CC2">
        <w:rPr>
          <w:rFonts w:cs="Arial"/>
        </w:rPr>
        <w:t>Tax Credits The Macfarlane Trust</w:t>
      </w:r>
    </w:p>
    <w:p w:rsidR="00954F11" w:rsidRPr="00730CC2" w:rsidRDefault="00730CC2" w:rsidP="00730CC2">
      <w:pPr>
        <w:numPr>
          <w:ilvl w:val="0"/>
          <w:numId w:val="7"/>
        </w:numPr>
        <w:rPr>
          <w:rFonts w:cs="Arial"/>
        </w:rPr>
      </w:pPr>
      <w:r>
        <w:t>Thalidomide Trust</w:t>
      </w:r>
      <w:r w:rsidR="007757A6" w:rsidRPr="00730CC2">
        <w:rPr>
          <w:rFonts w:cs="Arial"/>
        </w:rPr>
        <w:t xml:space="preserve"> </w:t>
      </w:r>
    </w:p>
    <w:p w:rsidR="00954F11" w:rsidRPr="00730CC2" w:rsidRDefault="007757A6" w:rsidP="00730CC2">
      <w:pPr>
        <w:numPr>
          <w:ilvl w:val="0"/>
          <w:numId w:val="7"/>
        </w:numPr>
        <w:rPr>
          <w:rFonts w:cs="Arial"/>
        </w:rPr>
      </w:pPr>
      <w:r w:rsidRPr="00730CC2">
        <w:rPr>
          <w:rFonts w:cs="Arial"/>
        </w:rPr>
        <w:t xml:space="preserve">The value of any ex-gratia payments from the Skipton Fund to people infected with Hepatitis C as a result of NHS treatment with blood or blood products </w:t>
      </w:r>
    </w:p>
    <w:p w:rsidR="00954F11" w:rsidRPr="00730CC2" w:rsidRDefault="007757A6" w:rsidP="00730CC2">
      <w:pPr>
        <w:numPr>
          <w:ilvl w:val="0"/>
          <w:numId w:val="7"/>
        </w:numPr>
        <w:rPr>
          <w:rFonts w:cs="Arial"/>
        </w:rPr>
      </w:pPr>
      <w:r w:rsidRPr="00730CC2">
        <w:rPr>
          <w:rFonts w:cs="Arial"/>
        </w:rPr>
        <w:t xml:space="preserve">Therapeutic Earnings </w:t>
      </w:r>
    </w:p>
    <w:p w:rsidR="00954F11" w:rsidRPr="00730CC2" w:rsidRDefault="007757A6" w:rsidP="00730CC2">
      <w:pPr>
        <w:numPr>
          <w:ilvl w:val="0"/>
          <w:numId w:val="7"/>
        </w:numPr>
        <w:rPr>
          <w:rFonts w:cs="Arial"/>
        </w:rPr>
      </w:pPr>
      <w:r w:rsidRPr="00730CC2">
        <w:rPr>
          <w:rFonts w:cs="Arial"/>
        </w:rPr>
        <w:t xml:space="preserve">Trainees’ training premium and travelling expenses </w:t>
      </w:r>
    </w:p>
    <w:p w:rsidR="00954F11" w:rsidRPr="00730CC2" w:rsidRDefault="007757A6" w:rsidP="00730CC2">
      <w:pPr>
        <w:numPr>
          <w:ilvl w:val="0"/>
          <w:numId w:val="7"/>
        </w:numPr>
        <w:rPr>
          <w:rFonts w:cs="Arial"/>
        </w:rPr>
      </w:pPr>
      <w:r w:rsidRPr="00730CC2">
        <w:rPr>
          <w:rFonts w:cs="Arial"/>
        </w:rPr>
        <w:t xml:space="preserve">Victoria Cross/Japanese Prisoner of War Payments </w:t>
      </w:r>
    </w:p>
    <w:p w:rsidR="00954F11" w:rsidRPr="00730CC2" w:rsidRDefault="007757A6" w:rsidP="00730CC2">
      <w:pPr>
        <w:numPr>
          <w:ilvl w:val="0"/>
          <w:numId w:val="7"/>
        </w:numPr>
        <w:rPr>
          <w:rFonts w:cs="Arial"/>
        </w:rPr>
      </w:pPr>
      <w:r w:rsidRPr="00730CC2">
        <w:rPr>
          <w:rFonts w:cs="Arial"/>
        </w:rPr>
        <w:t xml:space="preserve">Victoria or George Cross payments </w:t>
      </w:r>
    </w:p>
    <w:p w:rsidR="00954F11" w:rsidRPr="00730CC2" w:rsidRDefault="007757A6" w:rsidP="00730CC2">
      <w:pPr>
        <w:numPr>
          <w:ilvl w:val="0"/>
          <w:numId w:val="7"/>
        </w:numPr>
        <w:rPr>
          <w:rFonts w:cs="Arial"/>
        </w:rPr>
      </w:pPr>
      <w:r w:rsidRPr="00730CC2">
        <w:rPr>
          <w:rFonts w:cs="Arial"/>
        </w:rPr>
        <w:t>War P</w:t>
      </w:r>
      <w:r w:rsidR="00954F11" w:rsidRPr="00730CC2">
        <w:rPr>
          <w:rFonts w:cs="Arial"/>
        </w:rPr>
        <w:t>ensioner’s Mobility Supplement</w:t>
      </w:r>
    </w:p>
    <w:p w:rsidR="00954F11" w:rsidRPr="00730CC2" w:rsidRDefault="007757A6" w:rsidP="00730CC2">
      <w:pPr>
        <w:numPr>
          <w:ilvl w:val="0"/>
          <w:numId w:val="7"/>
        </w:numPr>
        <w:rPr>
          <w:rFonts w:cs="Arial"/>
        </w:rPr>
      </w:pPr>
      <w:r w:rsidRPr="00730CC2">
        <w:rPr>
          <w:rFonts w:cs="Arial"/>
        </w:rPr>
        <w:t xml:space="preserve">War Widow(er)'s supplementary pension </w:t>
      </w:r>
    </w:p>
    <w:p w:rsidR="00954F11" w:rsidRPr="00730CC2" w:rsidRDefault="007757A6" w:rsidP="00730CC2">
      <w:pPr>
        <w:pStyle w:val="ListParagraph"/>
        <w:numPr>
          <w:ilvl w:val="0"/>
          <w:numId w:val="7"/>
        </w:numPr>
        <w:spacing w:after="160" w:line="259" w:lineRule="auto"/>
        <w:rPr>
          <w:rFonts w:cs="Arial"/>
          <w:szCs w:val="24"/>
        </w:rPr>
      </w:pPr>
      <w:r w:rsidRPr="00730CC2">
        <w:rPr>
          <w:rFonts w:cs="Arial"/>
          <w:szCs w:val="24"/>
        </w:rPr>
        <w:t>War Widow’s Pension (but not</w:t>
      </w:r>
      <w:r w:rsidR="00954F11" w:rsidRPr="00730CC2">
        <w:rPr>
          <w:rFonts w:cs="Arial"/>
          <w:szCs w:val="24"/>
        </w:rPr>
        <w:t xml:space="preserve"> War Widows’ Special Payments)</w:t>
      </w:r>
    </w:p>
    <w:p w:rsidR="00730CC2" w:rsidRPr="00730CC2" w:rsidRDefault="007757A6" w:rsidP="00730CC2">
      <w:pPr>
        <w:pStyle w:val="ListParagraph"/>
        <w:numPr>
          <w:ilvl w:val="0"/>
          <w:numId w:val="7"/>
        </w:numPr>
        <w:spacing w:after="160" w:line="259" w:lineRule="auto"/>
        <w:rPr>
          <w:rFonts w:cs="Arial"/>
          <w:szCs w:val="24"/>
        </w:rPr>
      </w:pPr>
      <w:r w:rsidRPr="00730CC2">
        <w:rPr>
          <w:rFonts w:cs="Arial"/>
          <w:szCs w:val="24"/>
        </w:rPr>
        <w:t xml:space="preserve">War Widows Pension (pre 1973) </w:t>
      </w:r>
    </w:p>
    <w:p w:rsidR="00730CC2" w:rsidRPr="00730CC2" w:rsidRDefault="007757A6" w:rsidP="00730CC2">
      <w:pPr>
        <w:pStyle w:val="ListParagraph"/>
        <w:numPr>
          <w:ilvl w:val="0"/>
          <w:numId w:val="7"/>
        </w:numPr>
        <w:spacing w:after="160" w:line="259" w:lineRule="auto"/>
        <w:rPr>
          <w:rFonts w:cs="Arial"/>
          <w:szCs w:val="24"/>
        </w:rPr>
      </w:pPr>
      <w:r w:rsidRPr="00730CC2">
        <w:rPr>
          <w:rFonts w:cs="Arial"/>
          <w:szCs w:val="24"/>
        </w:rPr>
        <w:t xml:space="preserve">War widows special victims awards </w:t>
      </w:r>
    </w:p>
    <w:p w:rsidR="00730CC2" w:rsidRPr="00730CC2" w:rsidRDefault="00730CC2" w:rsidP="00730CC2">
      <w:pPr>
        <w:pStyle w:val="ListParagraph"/>
        <w:numPr>
          <w:ilvl w:val="0"/>
          <w:numId w:val="7"/>
        </w:numPr>
        <w:spacing w:after="160" w:line="259" w:lineRule="auto"/>
        <w:rPr>
          <w:rFonts w:cs="Arial"/>
          <w:szCs w:val="24"/>
        </w:rPr>
      </w:pPr>
      <w:r w:rsidRPr="00730CC2">
        <w:rPr>
          <w:rFonts w:cs="Arial"/>
          <w:szCs w:val="24"/>
        </w:rPr>
        <w:t>War Widows/Widowers Pension</w:t>
      </w:r>
    </w:p>
    <w:p w:rsidR="00730CC2" w:rsidRPr="00730CC2" w:rsidRDefault="007757A6" w:rsidP="00730CC2">
      <w:pPr>
        <w:pStyle w:val="ListParagraph"/>
        <w:numPr>
          <w:ilvl w:val="0"/>
          <w:numId w:val="7"/>
        </w:numPr>
        <w:spacing w:after="160" w:line="259" w:lineRule="auto"/>
        <w:rPr>
          <w:rFonts w:cs="Arial"/>
          <w:szCs w:val="24"/>
        </w:rPr>
      </w:pPr>
      <w:r w:rsidRPr="00730CC2">
        <w:rPr>
          <w:rFonts w:cs="Arial"/>
          <w:szCs w:val="24"/>
        </w:rPr>
        <w:t xml:space="preserve">War Widows’ Special Payments </w:t>
      </w:r>
    </w:p>
    <w:p w:rsidR="00730CC2" w:rsidRPr="00730CC2" w:rsidRDefault="007757A6" w:rsidP="00730CC2">
      <w:pPr>
        <w:pStyle w:val="ListParagraph"/>
        <w:numPr>
          <w:ilvl w:val="0"/>
          <w:numId w:val="7"/>
        </w:numPr>
        <w:spacing w:after="160" w:line="259" w:lineRule="auto"/>
        <w:rPr>
          <w:rFonts w:cs="Arial"/>
          <w:szCs w:val="24"/>
        </w:rPr>
      </w:pPr>
      <w:r w:rsidRPr="00730CC2">
        <w:rPr>
          <w:rFonts w:cs="Arial"/>
          <w:szCs w:val="24"/>
        </w:rPr>
        <w:t xml:space="preserve">Where the Service User is a student, any grant payment for a public source intended for the childcare costs of a child dependent </w:t>
      </w:r>
    </w:p>
    <w:p w:rsidR="00901D93" w:rsidRDefault="007757A6" w:rsidP="00901D93">
      <w:pPr>
        <w:pStyle w:val="ListParagraph"/>
        <w:numPr>
          <w:ilvl w:val="0"/>
          <w:numId w:val="7"/>
        </w:numPr>
        <w:spacing w:after="160" w:line="259" w:lineRule="auto"/>
        <w:rPr>
          <w:rFonts w:cs="Arial"/>
          <w:szCs w:val="24"/>
        </w:rPr>
      </w:pPr>
      <w:r w:rsidRPr="00730CC2">
        <w:rPr>
          <w:rFonts w:cs="Arial"/>
          <w:szCs w:val="24"/>
        </w:rPr>
        <w:t>Winter Fuel Payments Work expenses paid by employer, and exp</w:t>
      </w:r>
      <w:r w:rsidR="00901D93">
        <w:rPr>
          <w:rFonts w:cs="Arial"/>
          <w:szCs w:val="24"/>
        </w:rPr>
        <w:t>enses paid to voluntary workers</w:t>
      </w:r>
    </w:p>
    <w:p w:rsidR="00901D93" w:rsidRPr="00901D93" w:rsidRDefault="00901D93" w:rsidP="00901D93">
      <w:pPr>
        <w:pStyle w:val="ListParagraph"/>
        <w:numPr>
          <w:ilvl w:val="0"/>
          <w:numId w:val="7"/>
        </w:numPr>
        <w:spacing w:after="160" w:line="259" w:lineRule="auto"/>
        <w:rPr>
          <w:rFonts w:cs="Arial"/>
          <w:szCs w:val="24"/>
        </w:rPr>
      </w:pPr>
      <w:r>
        <w:t>Child Disability Payment (CDP) and Short-Term Assistance (STA);</w:t>
      </w:r>
    </w:p>
    <w:p w:rsidR="00901D93" w:rsidRDefault="00901D93" w:rsidP="00901D93">
      <w:pPr>
        <w:pStyle w:val="BodyText"/>
        <w:numPr>
          <w:ilvl w:val="0"/>
          <w:numId w:val="7"/>
        </w:numPr>
        <w:autoSpaceDE w:val="0"/>
        <w:autoSpaceDN w:val="0"/>
        <w:adjustRightInd w:val="0"/>
        <w:spacing w:after="0"/>
        <w:jc w:val="both"/>
      </w:pPr>
      <w:r>
        <w:t>Scottish Infected Blood Scheme (SIBSS) (and equivalent UK schemes e.g. England Infected Blood Support Scheme);</w:t>
      </w:r>
    </w:p>
    <w:p w:rsidR="00901D93" w:rsidRDefault="00901D93" w:rsidP="00901D93">
      <w:pPr>
        <w:pStyle w:val="BodyText"/>
        <w:numPr>
          <w:ilvl w:val="0"/>
          <w:numId w:val="7"/>
        </w:numPr>
        <w:autoSpaceDE w:val="0"/>
        <w:autoSpaceDN w:val="0"/>
        <w:adjustRightInd w:val="0"/>
        <w:spacing w:after="0"/>
        <w:jc w:val="both"/>
      </w:pPr>
      <w:r>
        <w:t>Victims Payment Regulations 2020;</w:t>
      </w:r>
    </w:p>
    <w:p w:rsidR="00901D93" w:rsidRDefault="00901D93" w:rsidP="00901D93">
      <w:pPr>
        <w:pStyle w:val="BodyText"/>
        <w:numPr>
          <w:ilvl w:val="0"/>
          <w:numId w:val="7"/>
        </w:numPr>
        <w:autoSpaceDE w:val="0"/>
        <w:autoSpaceDN w:val="0"/>
        <w:adjustRightInd w:val="0"/>
        <w:spacing w:after="0"/>
        <w:jc w:val="both"/>
      </w:pPr>
      <w:r>
        <w:t>Redress Board (Northern Ireland);</w:t>
      </w:r>
    </w:p>
    <w:p w:rsidR="00901D93" w:rsidRPr="00901D93" w:rsidRDefault="00901D93" w:rsidP="00901D93">
      <w:pPr>
        <w:pStyle w:val="BodyText"/>
        <w:numPr>
          <w:ilvl w:val="0"/>
          <w:numId w:val="7"/>
        </w:numPr>
        <w:autoSpaceDE w:val="0"/>
        <w:autoSpaceDN w:val="0"/>
        <w:adjustRightInd w:val="0"/>
        <w:spacing w:after="0"/>
        <w:jc w:val="both"/>
      </w:pPr>
      <w:r>
        <w:lastRenderedPageBreak/>
        <w:t>Payment Scheme for Former British Child Migrants;</w:t>
      </w:r>
    </w:p>
    <w:p w:rsidR="00E47405" w:rsidRDefault="007757A6" w:rsidP="00E47405">
      <w:pPr>
        <w:pStyle w:val="ListParagraph"/>
        <w:numPr>
          <w:ilvl w:val="0"/>
          <w:numId w:val="7"/>
        </w:numPr>
        <w:spacing w:after="160" w:line="259" w:lineRule="auto"/>
        <w:rPr>
          <w:rFonts w:cs="Arial"/>
          <w:szCs w:val="24"/>
        </w:rPr>
      </w:pPr>
      <w:r w:rsidRPr="00730CC2">
        <w:rPr>
          <w:rFonts w:cs="Arial"/>
          <w:szCs w:val="24"/>
        </w:rPr>
        <w:t>Earnin</w:t>
      </w:r>
      <w:r w:rsidR="00745807">
        <w:rPr>
          <w:rFonts w:cs="Arial"/>
          <w:szCs w:val="24"/>
        </w:rPr>
        <w:t xml:space="preserve">gs disregard of </w:t>
      </w:r>
      <w:r w:rsidR="007A0473">
        <w:rPr>
          <w:rFonts w:cs="Arial"/>
          <w:szCs w:val="24"/>
        </w:rPr>
        <w:t xml:space="preserve">Maximum </w:t>
      </w:r>
      <w:r w:rsidR="00745807">
        <w:rPr>
          <w:rFonts w:cs="Arial"/>
          <w:szCs w:val="24"/>
        </w:rPr>
        <w:t>£20.00 per week;</w:t>
      </w:r>
    </w:p>
    <w:p w:rsidR="00745807" w:rsidRPr="00745807" w:rsidRDefault="00745807" w:rsidP="00745807">
      <w:pPr>
        <w:pStyle w:val="ListParagraph"/>
        <w:numPr>
          <w:ilvl w:val="0"/>
          <w:numId w:val="7"/>
        </w:numPr>
        <w:spacing w:after="160" w:line="259" w:lineRule="auto"/>
        <w:rPr>
          <w:rFonts w:cs="Arial"/>
          <w:szCs w:val="24"/>
        </w:rPr>
      </w:pPr>
      <w:r w:rsidRPr="00745807">
        <w:rPr>
          <w:rFonts w:cs="Arial"/>
          <w:szCs w:val="24"/>
        </w:rPr>
        <w:t>Windrush Compensation Scheme</w:t>
      </w:r>
      <w:r>
        <w:rPr>
          <w:rFonts w:cs="Arial"/>
          <w:szCs w:val="24"/>
        </w:rPr>
        <w:t>;</w:t>
      </w:r>
      <w:r w:rsidRPr="00745807">
        <w:rPr>
          <w:rFonts w:cs="Arial"/>
          <w:szCs w:val="24"/>
        </w:rPr>
        <w:t xml:space="preserve"> </w:t>
      </w:r>
    </w:p>
    <w:p w:rsidR="00745807" w:rsidRPr="00745807" w:rsidRDefault="00745807" w:rsidP="00745807">
      <w:pPr>
        <w:pStyle w:val="ListParagraph"/>
        <w:numPr>
          <w:ilvl w:val="0"/>
          <w:numId w:val="7"/>
        </w:numPr>
        <w:spacing w:after="160" w:line="259" w:lineRule="auto"/>
        <w:rPr>
          <w:rFonts w:cs="Arial"/>
          <w:szCs w:val="24"/>
        </w:rPr>
      </w:pPr>
      <w:r w:rsidRPr="00745807">
        <w:rPr>
          <w:rFonts w:cs="Arial"/>
          <w:szCs w:val="24"/>
        </w:rPr>
        <w:t>UK Energy Bills Support Scheme</w:t>
      </w:r>
      <w:r>
        <w:rPr>
          <w:rFonts w:cs="Arial"/>
          <w:szCs w:val="24"/>
        </w:rPr>
        <w:t>;</w:t>
      </w:r>
    </w:p>
    <w:p w:rsidR="00745807" w:rsidRPr="00745807" w:rsidRDefault="00745807" w:rsidP="00745807">
      <w:pPr>
        <w:pStyle w:val="ListParagraph"/>
        <w:numPr>
          <w:ilvl w:val="0"/>
          <w:numId w:val="7"/>
        </w:numPr>
        <w:spacing w:after="160" w:line="259" w:lineRule="auto"/>
        <w:rPr>
          <w:rFonts w:cs="Arial"/>
          <w:szCs w:val="24"/>
        </w:rPr>
      </w:pPr>
      <w:r w:rsidRPr="00745807">
        <w:rPr>
          <w:rFonts w:cs="Arial"/>
          <w:szCs w:val="24"/>
        </w:rPr>
        <w:t>Homes for Ukraine Payments</w:t>
      </w:r>
      <w:r>
        <w:rPr>
          <w:rFonts w:cs="Arial"/>
          <w:szCs w:val="24"/>
        </w:rPr>
        <w:t>;</w:t>
      </w:r>
    </w:p>
    <w:p w:rsidR="00745807" w:rsidRPr="00730CC2" w:rsidRDefault="00745807" w:rsidP="00745807">
      <w:pPr>
        <w:pStyle w:val="ListParagraph"/>
        <w:spacing w:after="160" w:line="259" w:lineRule="auto"/>
        <w:rPr>
          <w:rFonts w:cs="Arial"/>
          <w:szCs w:val="24"/>
        </w:rPr>
      </w:pPr>
    </w:p>
    <w:p w:rsidR="00E47405" w:rsidRPr="0063337D" w:rsidRDefault="00FA3774" w:rsidP="00FE4A68">
      <w:pPr>
        <w:pStyle w:val="Heading1"/>
        <w:keepLines/>
        <w:numPr>
          <w:ilvl w:val="0"/>
          <w:numId w:val="6"/>
        </w:numPr>
        <w:spacing w:before="480" w:line="276" w:lineRule="auto"/>
        <w:rPr>
          <w:rStyle w:val="Heading1Char"/>
          <w:b/>
          <w:bCs/>
        </w:rPr>
      </w:pPr>
      <w:hyperlink r:id="rId43" w:history="1">
        <w:bookmarkStart w:id="40" w:name="_Toc131412119"/>
        <w:r w:rsidR="00E47405" w:rsidRPr="00A054BA">
          <w:rPr>
            <w:rStyle w:val="Hyperlink"/>
            <w:rFonts w:eastAsiaTheme="majorEastAsia"/>
          </w:rPr>
          <w:t>Disability Related Expenditure</w:t>
        </w:r>
        <w:bookmarkEnd w:id="40"/>
      </w:hyperlink>
    </w:p>
    <w:p w:rsidR="00E47405" w:rsidRDefault="00E47405" w:rsidP="00E47405">
      <w:pPr>
        <w:pStyle w:val="BodyText"/>
      </w:pPr>
    </w:p>
    <w:p w:rsidR="00E47405" w:rsidRDefault="00E47405" w:rsidP="00E47405">
      <w:pPr>
        <w:pStyle w:val="BodyText"/>
      </w:pPr>
      <w:r>
        <w:t xml:space="preserve">The Social Work (Scotland) Act provides the legal basis for charging for social care support at home.  Under s87 of the Act charges must be both “reasonable and practicable” for an individual to pay.  Understanding the associated additional daily living costs of living with an illness or </w:t>
      </w:r>
      <w:r w:rsidR="00F855EB">
        <w:t>impairment</w:t>
      </w:r>
      <w:r>
        <w:t xml:space="preserve"> is essential to ensure charging levels meet this test.  Failure to consider Disability Related Expenditure (DRE) as part of the financial assessment could result in charging levels, which cause financial hardship and undermine the right of people living with an illness or impairment to live independently. </w:t>
      </w:r>
    </w:p>
    <w:p w:rsidR="00E47405" w:rsidRDefault="00E47405" w:rsidP="00E47405">
      <w:pPr>
        <w:pStyle w:val="BodyText"/>
      </w:pPr>
      <w:r>
        <w:t xml:space="preserve">It is also important to ensure people undertaking the financial assessment process are aware to provide information relating to disability related expenditure. </w:t>
      </w:r>
    </w:p>
    <w:p w:rsidR="00E47405" w:rsidRDefault="00E47405" w:rsidP="00E47405">
      <w:pPr>
        <w:pStyle w:val="BodyText"/>
      </w:pPr>
      <w:r>
        <w:t xml:space="preserve">Additional costs may relate to, but will not be restricted to: </w:t>
      </w:r>
    </w:p>
    <w:p w:rsidR="00E47405" w:rsidRDefault="00E47405" w:rsidP="00FE4A68">
      <w:pPr>
        <w:pStyle w:val="BodyText"/>
        <w:numPr>
          <w:ilvl w:val="0"/>
          <w:numId w:val="20"/>
        </w:numPr>
        <w:autoSpaceDE w:val="0"/>
        <w:autoSpaceDN w:val="0"/>
        <w:adjustRightInd w:val="0"/>
        <w:spacing w:after="0"/>
      </w:pPr>
      <w:r>
        <w:t>additional heating requirements;</w:t>
      </w:r>
    </w:p>
    <w:p w:rsidR="00E47405" w:rsidRDefault="00E47405" w:rsidP="00FE4A68">
      <w:pPr>
        <w:pStyle w:val="BodyText"/>
        <w:numPr>
          <w:ilvl w:val="0"/>
          <w:numId w:val="20"/>
        </w:numPr>
        <w:autoSpaceDE w:val="0"/>
        <w:autoSpaceDN w:val="0"/>
        <w:adjustRightInd w:val="0"/>
        <w:spacing w:after="0"/>
      </w:pPr>
      <w:r>
        <w:t>purchase, maintenance and repair of disability related equipment;</w:t>
      </w:r>
    </w:p>
    <w:p w:rsidR="00E47405" w:rsidRDefault="00E47405" w:rsidP="00FE4A68">
      <w:pPr>
        <w:pStyle w:val="BodyText"/>
        <w:numPr>
          <w:ilvl w:val="0"/>
          <w:numId w:val="20"/>
        </w:numPr>
        <w:autoSpaceDE w:val="0"/>
        <w:autoSpaceDN w:val="0"/>
        <w:adjustRightInd w:val="0"/>
        <w:spacing w:after="0"/>
      </w:pPr>
      <w:r>
        <w:t>specialist dietary requirement;</w:t>
      </w:r>
    </w:p>
    <w:p w:rsidR="00745807" w:rsidRDefault="00E47405" w:rsidP="00745807">
      <w:pPr>
        <w:pStyle w:val="BodyText"/>
        <w:numPr>
          <w:ilvl w:val="0"/>
          <w:numId w:val="20"/>
        </w:numPr>
        <w:autoSpaceDE w:val="0"/>
        <w:autoSpaceDN w:val="0"/>
        <w:adjustRightInd w:val="0"/>
        <w:spacing w:after="0"/>
      </w:pPr>
      <w:r>
        <w:t>specialist clothing;</w:t>
      </w:r>
    </w:p>
    <w:p w:rsidR="00745807" w:rsidRPr="00745807" w:rsidRDefault="00745807" w:rsidP="00745807">
      <w:pPr>
        <w:pStyle w:val="BodyText"/>
        <w:numPr>
          <w:ilvl w:val="0"/>
          <w:numId w:val="20"/>
        </w:numPr>
        <w:autoSpaceDE w:val="0"/>
        <w:autoSpaceDN w:val="0"/>
        <w:adjustRightInd w:val="0"/>
        <w:spacing w:after="0"/>
      </w:pPr>
      <w:r w:rsidRPr="00745807">
        <w:t xml:space="preserve">energy costs for disability related equipment e.g. concentrators </w:t>
      </w:r>
    </w:p>
    <w:p w:rsidR="00E47405" w:rsidRDefault="00E47405" w:rsidP="00FE4A68">
      <w:pPr>
        <w:pStyle w:val="BodyText"/>
        <w:numPr>
          <w:ilvl w:val="0"/>
          <w:numId w:val="20"/>
        </w:numPr>
        <w:autoSpaceDE w:val="0"/>
        <w:autoSpaceDN w:val="0"/>
        <w:adjustRightInd w:val="0"/>
        <w:spacing w:after="0"/>
      </w:pPr>
      <w:r>
        <w:t>help with cleaning and other domestic tasks including gardening (if that is   something the person would have undertaken themselves);</w:t>
      </w:r>
    </w:p>
    <w:p w:rsidR="00E47405" w:rsidRDefault="00E47405" w:rsidP="00FE4A68">
      <w:pPr>
        <w:pStyle w:val="BodyText"/>
        <w:numPr>
          <w:ilvl w:val="0"/>
          <w:numId w:val="20"/>
        </w:numPr>
        <w:autoSpaceDE w:val="0"/>
        <w:autoSpaceDN w:val="0"/>
        <w:adjustRightInd w:val="0"/>
        <w:spacing w:after="0"/>
      </w:pPr>
      <w:r>
        <w:t>extra washing; and</w:t>
      </w:r>
    </w:p>
    <w:p w:rsidR="00E47405" w:rsidRPr="00011223" w:rsidRDefault="00E47405" w:rsidP="00FE4A68">
      <w:pPr>
        <w:pStyle w:val="BodyText"/>
        <w:numPr>
          <w:ilvl w:val="0"/>
          <w:numId w:val="20"/>
        </w:numPr>
        <w:autoSpaceDE w:val="0"/>
        <w:autoSpaceDN w:val="0"/>
        <w:adjustRightInd w:val="0"/>
        <w:spacing w:after="0"/>
      </w:pPr>
      <w:r>
        <w:t>additional bedding.</w:t>
      </w:r>
    </w:p>
    <w:p w:rsidR="00E47405" w:rsidRPr="00CB6C16" w:rsidRDefault="00E47405" w:rsidP="00FE4A68">
      <w:pPr>
        <w:pStyle w:val="Heading1"/>
        <w:keepLines/>
        <w:numPr>
          <w:ilvl w:val="0"/>
          <w:numId w:val="6"/>
        </w:numPr>
        <w:spacing w:before="480" w:line="276" w:lineRule="auto"/>
        <w:rPr>
          <w:u w:val="single"/>
        </w:rPr>
      </w:pPr>
      <w:bookmarkStart w:id="41" w:name="_Toc131412120"/>
      <w:r w:rsidRPr="00CB6C16">
        <w:rPr>
          <w:u w:val="single"/>
        </w:rPr>
        <w:t>Financial Hardship</w:t>
      </w:r>
      <w:bookmarkEnd w:id="41"/>
    </w:p>
    <w:p w:rsidR="00E47405" w:rsidRPr="00F877AC" w:rsidRDefault="00E47405" w:rsidP="00E47405"/>
    <w:p w:rsidR="00BB1335" w:rsidRPr="000A641E" w:rsidRDefault="00E47405" w:rsidP="00E47405">
      <w:pPr>
        <w:pStyle w:val="BodyText"/>
      </w:pPr>
      <w:r w:rsidRPr="00B25FB0">
        <w:t xml:space="preserve">Where a </w:t>
      </w:r>
      <w:r>
        <w:t>service user</w:t>
      </w:r>
      <w:r w:rsidRPr="00B25FB0">
        <w:t xml:space="preserve"> has difficulty in meeting the approved charges due to their financial circumstances, </w:t>
      </w:r>
      <w:r>
        <w:t xml:space="preserve">the </w:t>
      </w:r>
      <w:r w:rsidR="00BB1335">
        <w:t xml:space="preserve">service user can contact their relevant social worker or point of contact.  </w:t>
      </w:r>
      <w:r w:rsidR="00BB1335" w:rsidRPr="00603725">
        <w:t xml:space="preserve">The applicable Head of Service will </w:t>
      </w:r>
      <w:r w:rsidR="00BB1335">
        <w:t>be notified of this and will provide a decision on the individual case.</w:t>
      </w:r>
    </w:p>
    <w:p w:rsidR="00E47405" w:rsidRPr="008C77CC" w:rsidRDefault="00FA3774" w:rsidP="00FE4A68">
      <w:pPr>
        <w:pStyle w:val="Heading1"/>
        <w:keepLines/>
        <w:numPr>
          <w:ilvl w:val="0"/>
          <w:numId w:val="6"/>
        </w:numPr>
        <w:spacing w:before="480" w:line="276" w:lineRule="auto"/>
      </w:pPr>
      <w:hyperlink r:id="rId44" w:history="1">
        <w:bookmarkStart w:id="42" w:name="_Toc131412121"/>
        <w:r w:rsidR="00E47405" w:rsidRPr="00730CC2">
          <w:rPr>
            <w:rStyle w:val="Hyperlink"/>
          </w:rPr>
          <w:t>Respite</w:t>
        </w:r>
        <w:bookmarkEnd w:id="42"/>
      </w:hyperlink>
    </w:p>
    <w:p w:rsidR="00E47405" w:rsidRDefault="00E47405" w:rsidP="00E47405">
      <w:pPr>
        <w:rPr>
          <w:highlight w:val="yellow"/>
        </w:rPr>
      </w:pPr>
    </w:p>
    <w:p w:rsidR="00E47405" w:rsidRDefault="00E47405" w:rsidP="00E47405">
      <w:r>
        <w:t xml:space="preserve">The statutory guidance on the </w:t>
      </w:r>
      <w:hyperlink r:id="rId45" w:history="1">
        <w:r w:rsidRPr="00E77769">
          <w:rPr>
            <w:rStyle w:val="Hyperlink"/>
            <w:rFonts w:eastAsiaTheme="majorEastAsia"/>
          </w:rPr>
          <w:t>Carers (Scotland) Act 2016</w:t>
        </w:r>
      </w:hyperlink>
      <w:r>
        <w:t xml:space="preserve"> includes updated guidance on the requirement to waive charges for carer support and how it interacts with the </w:t>
      </w:r>
      <w:r>
        <w:lastRenderedPageBreak/>
        <w:t xml:space="preserve">carers’ rights to support under the Act.  </w:t>
      </w:r>
      <w:hyperlink w:anchor="_Appendix_6" w:history="1">
        <w:r w:rsidRPr="002B49F7">
          <w:rPr>
            <w:rStyle w:val="Hyperlink"/>
          </w:rPr>
          <w:t>App</w:t>
        </w:r>
        <w:r w:rsidR="002B49F7" w:rsidRPr="002B49F7">
          <w:rPr>
            <w:rStyle w:val="Hyperlink"/>
          </w:rPr>
          <w:t>endix 6</w:t>
        </w:r>
      </w:hyperlink>
      <w:r>
        <w:t xml:space="preserve"> provides some examples to help carers, service users and services with decision-making.</w:t>
      </w:r>
    </w:p>
    <w:p w:rsidR="00CA0D49" w:rsidRDefault="00CA0D49" w:rsidP="00E47405"/>
    <w:p w:rsidR="00CA0D49" w:rsidRDefault="00CA0D49" w:rsidP="00E47405"/>
    <w:p w:rsidR="00CA0D49" w:rsidRDefault="00CA0D49" w:rsidP="00E47405"/>
    <w:p w:rsidR="00447237" w:rsidRDefault="00E47405" w:rsidP="00447237">
      <w:pPr>
        <w:pStyle w:val="Heading1"/>
        <w:ind w:left="432" w:hanging="432"/>
        <w:jc w:val="right"/>
      </w:pPr>
      <w:bookmarkStart w:id="43" w:name="_Toc131412122"/>
      <w:r w:rsidRPr="00574336">
        <w:t>Appendix 1</w:t>
      </w:r>
      <w:bookmarkEnd w:id="43"/>
    </w:p>
    <w:p w:rsidR="00447237" w:rsidRDefault="00447237" w:rsidP="00E47405">
      <w:pPr>
        <w:pStyle w:val="Heading1"/>
        <w:ind w:left="432" w:hanging="432"/>
      </w:pPr>
    </w:p>
    <w:p w:rsidR="00E47405" w:rsidRDefault="00E47405" w:rsidP="00E47405">
      <w:pPr>
        <w:pStyle w:val="Heading1"/>
        <w:ind w:left="432" w:hanging="432"/>
      </w:pPr>
      <w:r w:rsidRPr="00574336">
        <w:t xml:space="preserve"> </w:t>
      </w:r>
      <w:bookmarkStart w:id="44" w:name="_Toc131412123"/>
      <w:r w:rsidRPr="00574336">
        <w:t>Personal Care</w:t>
      </w:r>
      <w:r>
        <w:t xml:space="preserve"> Services exempt from charging</w:t>
      </w:r>
      <w:r w:rsidRPr="00574336">
        <w:t xml:space="preserve"> (service user and/or partner combined)</w:t>
      </w:r>
      <w:bookmarkEnd w:id="44"/>
    </w:p>
    <w:p w:rsidR="00E47405" w:rsidRPr="000A641E" w:rsidRDefault="00E47405" w:rsidP="00E47405">
      <w:pPr>
        <w:sectPr w:rsidR="00E47405" w:rsidRPr="000A641E" w:rsidSect="00E47405">
          <w:type w:val="continuous"/>
          <w:pgSz w:w="12240" w:h="15840"/>
          <w:pgMar w:top="1440" w:right="1440" w:bottom="1440" w:left="1440" w:header="720" w:footer="720" w:gutter="0"/>
          <w:cols w:space="720"/>
          <w:noEndnote/>
        </w:sectPr>
      </w:pPr>
    </w:p>
    <w:p w:rsidR="00E47405" w:rsidRPr="00641912" w:rsidRDefault="00E47405" w:rsidP="00FE4A68">
      <w:pPr>
        <w:pStyle w:val="BodyText"/>
        <w:numPr>
          <w:ilvl w:val="0"/>
          <w:numId w:val="19"/>
        </w:numPr>
        <w:autoSpaceDE w:val="0"/>
        <w:autoSpaceDN w:val="0"/>
        <w:adjustRightInd w:val="0"/>
        <w:spacing w:after="0"/>
      </w:pPr>
      <w:r w:rsidRPr="00641912">
        <w:t>Assistance</w:t>
      </w:r>
      <w:r w:rsidRPr="00D741E8">
        <w:t xml:space="preserve"> </w:t>
      </w:r>
      <w:r w:rsidRPr="00641912">
        <w:t>with</w:t>
      </w:r>
      <w:r w:rsidRPr="00D741E8">
        <w:t xml:space="preserve"> </w:t>
      </w:r>
      <w:r w:rsidRPr="00641912">
        <w:t>laundry</w:t>
      </w:r>
      <w:r w:rsidRPr="00D741E8">
        <w:t xml:space="preserve"> </w:t>
      </w:r>
      <w:r w:rsidRPr="00641912">
        <w:t>associated</w:t>
      </w:r>
      <w:r w:rsidRPr="00D741E8">
        <w:t xml:space="preserve"> </w:t>
      </w:r>
      <w:r w:rsidRPr="00641912">
        <w:t>with</w:t>
      </w:r>
      <w:r w:rsidRPr="00D741E8">
        <w:t xml:space="preserve"> </w:t>
      </w:r>
      <w:r w:rsidRPr="00641912">
        <w:t>medical</w:t>
      </w:r>
      <w:r w:rsidRPr="00D741E8">
        <w:t xml:space="preserve"> </w:t>
      </w:r>
      <w:r w:rsidRPr="00641912">
        <w:t>condition</w:t>
      </w:r>
      <w:r w:rsidRPr="00D741E8">
        <w:t xml:space="preserve"> </w:t>
      </w:r>
      <w:r w:rsidRPr="00641912">
        <w:t>e.g.</w:t>
      </w:r>
      <w:r w:rsidRPr="00D741E8">
        <w:t xml:space="preserve"> </w:t>
      </w:r>
      <w:r w:rsidRPr="00641912">
        <w:t>bed</w:t>
      </w:r>
      <w:r w:rsidRPr="00D741E8">
        <w:t xml:space="preserve"> </w:t>
      </w:r>
      <w:r w:rsidRPr="00641912">
        <w:t>changing</w:t>
      </w:r>
    </w:p>
    <w:p w:rsidR="00E47405" w:rsidRPr="00641912" w:rsidRDefault="00E47405" w:rsidP="00FE4A68">
      <w:pPr>
        <w:pStyle w:val="BodyText"/>
        <w:numPr>
          <w:ilvl w:val="0"/>
          <w:numId w:val="19"/>
        </w:numPr>
        <w:autoSpaceDE w:val="0"/>
        <w:autoSpaceDN w:val="0"/>
        <w:adjustRightInd w:val="0"/>
        <w:spacing w:after="0"/>
      </w:pPr>
      <w:r w:rsidRPr="00641912">
        <w:t>Special</w:t>
      </w:r>
      <w:r w:rsidRPr="00D741E8">
        <w:t xml:space="preserve"> </w:t>
      </w:r>
      <w:r w:rsidRPr="00641912">
        <w:t>preparation</w:t>
      </w:r>
      <w:r w:rsidRPr="00D741E8">
        <w:t xml:space="preserve"> of </w:t>
      </w:r>
      <w:r w:rsidRPr="00641912">
        <w:t>food</w:t>
      </w:r>
      <w:r w:rsidRPr="00D741E8">
        <w:t xml:space="preserve"> </w:t>
      </w:r>
      <w:r w:rsidRPr="00641912">
        <w:t>associated</w:t>
      </w:r>
      <w:r w:rsidRPr="00D741E8">
        <w:t xml:space="preserve"> with </w:t>
      </w:r>
      <w:r w:rsidRPr="00641912">
        <w:t>dietary</w:t>
      </w:r>
      <w:r w:rsidRPr="00D741E8">
        <w:t xml:space="preserve"> </w:t>
      </w:r>
      <w:r w:rsidRPr="00641912">
        <w:t>requirements</w:t>
      </w:r>
    </w:p>
    <w:p w:rsidR="00E47405" w:rsidRPr="00641912" w:rsidRDefault="00E47405" w:rsidP="00FE4A68">
      <w:pPr>
        <w:pStyle w:val="BodyText"/>
        <w:numPr>
          <w:ilvl w:val="0"/>
          <w:numId w:val="19"/>
        </w:numPr>
        <w:autoSpaceDE w:val="0"/>
        <w:autoSpaceDN w:val="0"/>
        <w:adjustRightInd w:val="0"/>
        <w:spacing w:after="0"/>
      </w:pPr>
      <w:r w:rsidRPr="00641912">
        <w:t>Assistance</w:t>
      </w:r>
      <w:r w:rsidRPr="00D741E8">
        <w:t xml:space="preserve"> </w:t>
      </w:r>
      <w:r w:rsidRPr="00641912">
        <w:t>with</w:t>
      </w:r>
      <w:r w:rsidRPr="00D741E8">
        <w:t xml:space="preserve"> </w:t>
      </w:r>
      <w:r w:rsidRPr="00641912">
        <w:t>eating/drinking</w:t>
      </w:r>
    </w:p>
    <w:p w:rsidR="00E47405" w:rsidRPr="00641912" w:rsidRDefault="00E47405" w:rsidP="00FE4A68">
      <w:pPr>
        <w:pStyle w:val="BodyText"/>
        <w:numPr>
          <w:ilvl w:val="0"/>
          <w:numId w:val="19"/>
        </w:numPr>
        <w:autoSpaceDE w:val="0"/>
        <w:autoSpaceDN w:val="0"/>
        <w:adjustRightInd w:val="0"/>
        <w:spacing w:after="0"/>
      </w:pPr>
      <w:r w:rsidRPr="00641912">
        <w:t>Getting</w:t>
      </w:r>
      <w:r w:rsidRPr="00D741E8">
        <w:t xml:space="preserve"> </w:t>
      </w:r>
      <w:r w:rsidRPr="00641912">
        <w:t>out</w:t>
      </w:r>
      <w:r w:rsidRPr="00D741E8">
        <w:t xml:space="preserve"> of </w:t>
      </w:r>
      <w:r w:rsidRPr="00641912">
        <w:t>bed</w:t>
      </w:r>
    </w:p>
    <w:p w:rsidR="00E47405" w:rsidRPr="00641912" w:rsidRDefault="00E47405" w:rsidP="00FE4A68">
      <w:pPr>
        <w:pStyle w:val="BodyText"/>
        <w:numPr>
          <w:ilvl w:val="0"/>
          <w:numId w:val="19"/>
        </w:numPr>
        <w:autoSpaceDE w:val="0"/>
        <w:autoSpaceDN w:val="0"/>
        <w:adjustRightInd w:val="0"/>
        <w:spacing w:after="0"/>
      </w:pPr>
      <w:r w:rsidRPr="00641912">
        <w:t>Going</w:t>
      </w:r>
      <w:r w:rsidRPr="00D741E8">
        <w:t xml:space="preserve"> </w:t>
      </w:r>
      <w:r w:rsidRPr="00641912">
        <w:t>to</w:t>
      </w:r>
      <w:r w:rsidRPr="00D741E8">
        <w:t xml:space="preserve"> </w:t>
      </w:r>
      <w:r w:rsidRPr="00641912">
        <w:t>bed</w:t>
      </w:r>
    </w:p>
    <w:p w:rsidR="00E47405" w:rsidRPr="00641912" w:rsidRDefault="00E47405" w:rsidP="00FE4A68">
      <w:pPr>
        <w:pStyle w:val="BodyText"/>
        <w:numPr>
          <w:ilvl w:val="0"/>
          <w:numId w:val="19"/>
        </w:numPr>
        <w:autoSpaceDE w:val="0"/>
        <w:autoSpaceDN w:val="0"/>
        <w:adjustRightInd w:val="0"/>
        <w:spacing w:after="0"/>
      </w:pPr>
      <w:r w:rsidRPr="00641912">
        <w:t>Assistance</w:t>
      </w:r>
      <w:r w:rsidRPr="00D741E8">
        <w:t xml:space="preserve"> </w:t>
      </w:r>
      <w:r w:rsidRPr="00641912">
        <w:t>with</w:t>
      </w:r>
      <w:r w:rsidRPr="00D741E8">
        <w:t xml:space="preserve"> </w:t>
      </w:r>
      <w:r w:rsidRPr="00641912">
        <w:t>dressing</w:t>
      </w:r>
      <w:r w:rsidRPr="00D741E8">
        <w:t xml:space="preserve"> </w:t>
      </w:r>
      <w:r w:rsidRPr="00641912">
        <w:t>/</w:t>
      </w:r>
      <w:r w:rsidRPr="00D741E8">
        <w:t xml:space="preserve"> </w:t>
      </w:r>
      <w:r w:rsidRPr="00641912">
        <w:t>undressing</w:t>
      </w:r>
    </w:p>
    <w:p w:rsidR="00E47405" w:rsidRPr="00641912" w:rsidRDefault="00E47405" w:rsidP="00FE4A68">
      <w:pPr>
        <w:pStyle w:val="BodyText"/>
        <w:numPr>
          <w:ilvl w:val="0"/>
          <w:numId w:val="19"/>
        </w:numPr>
        <w:autoSpaceDE w:val="0"/>
        <w:autoSpaceDN w:val="0"/>
        <w:adjustRightInd w:val="0"/>
        <w:spacing w:after="0"/>
      </w:pPr>
      <w:r w:rsidRPr="00641912">
        <w:t>Assistance</w:t>
      </w:r>
      <w:r w:rsidRPr="00D741E8">
        <w:t xml:space="preserve"> </w:t>
      </w:r>
      <w:r w:rsidRPr="00641912">
        <w:t>with</w:t>
      </w:r>
      <w:r w:rsidRPr="00D741E8">
        <w:t xml:space="preserve"> </w:t>
      </w:r>
      <w:r w:rsidRPr="00641912">
        <w:t>washing</w:t>
      </w:r>
      <w:r w:rsidRPr="00D741E8">
        <w:t xml:space="preserve"> </w:t>
      </w:r>
      <w:r w:rsidRPr="00641912">
        <w:t>and</w:t>
      </w:r>
      <w:r w:rsidRPr="00D741E8">
        <w:t xml:space="preserve"> </w:t>
      </w:r>
      <w:r w:rsidRPr="00641912">
        <w:t>bathing</w:t>
      </w:r>
    </w:p>
    <w:p w:rsidR="00E47405" w:rsidRPr="00641912" w:rsidRDefault="00E47405" w:rsidP="00FE4A68">
      <w:pPr>
        <w:pStyle w:val="BodyText"/>
        <w:numPr>
          <w:ilvl w:val="0"/>
          <w:numId w:val="19"/>
        </w:numPr>
        <w:autoSpaceDE w:val="0"/>
        <w:autoSpaceDN w:val="0"/>
        <w:adjustRightInd w:val="0"/>
        <w:spacing w:after="0"/>
      </w:pPr>
      <w:r w:rsidRPr="00641912">
        <w:t>Assistance</w:t>
      </w:r>
      <w:r w:rsidRPr="00D741E8">
        <w:t xml:space="preserve"> </w:t>
      </w:r>
      <w:r w:rsidRPr="00641912">
        <w:t>with</w:t>
      </w:r>
      <w:r w:rsidRPr="00D741E8">
        <w:t xml:space="preserve"> </w:t>
      </w:r>
      <w:r w:rsidRPr="00641912">
        <w:t>personal</w:t>
      </w:r>
      <w:r w:rsidRPr="00D741E8">
        <w:t xml:space="preserve"> </w:t>
      </w:r>
      <w:r w:rsidRPr="00641912">
        <w:t>grooming/dental</w:t>
      </w:r>
      <w:r w:rsidRPr="00D741E8">
        <w:t xml:space="preserve"> </w:t>
      </w:r>
      <w:r w:rsidRPr="00641912">
        <w:t>Hygiene</w:t>
      </w:r>
      <w:r w:rsidRPr="00D741E8">
        <w:t xml:space="preserve"> </w:t>
      </w:r>
      <w:r w:rsidRPr="00641912">
        <w:t>e.g.</w:t>
      </w:r>
      <w:r w:rsidRPr="00D741E8">
        <w:t xml:space="preserve"> </w:t>
      </w:r>
      <w:r w:rsidRPr="00641912">
        <w:t>shaving</w:t>
      </w:r>
      <w:r w:rsidRPr="00D741E8">
        <w:t xml:space="preserve"> </w:t>
      </w:r>
      <w:r w:rsidRPr="00641912">
        <w:t>and</w:t>
      </w:r>
      <w:r w:rsidRPr="00D741E8">
        <w:t xml:space="preserve"> </w:t>
      </w:r>
      <w:r w:rsidRPr="00641912">
        <w:t>nail</w:t>
      </w:r>
      <w:r w:rsidRPr="00D741E8">
        <w:t xml:space="preserve"> </w:t>
      </w:r>
      <w:r w:rsidRPr="00641912">
        <w:t>care</w:t>
      </w:r>
    </w:p>
    <w:p w:rsidR="00E47405" w:rsidRPr="00641912" w:rsidRDefault="00E47405" w:rsidP="00FE4A68">
      <w:pPr>
        <w:pStyle w:val="BodyText"/>
        <w:numPr>
          <w:ilvl w:val="0"/>
          <w:numId w:val="19"/>
        </w:numPr>
        <w:autoSpaceDE w:val="0"/>
        <w:autoSpaceDN w:val="0"/>
        <w:adjustRightInd w:val="0"/>
        <w:spacing w:after="0"/>
      </w:pPr>
      <w:r w:rsidRPr="00641912">
        <w:t>Assistance</w:t>
      </w:r>
      <w:r w:rsidRPr="00D741E8">
        <w:t xml:space="preserve"> </w:t>
      </w:r>
      <w:r w:rsidRPr="00641912">
        <w:t>with</w:t>
      </w:r>
      <w:r w:rsidRPr="00D741E8">
        <w:t xml:space="preserve"> </w:t>
      </w:r>
      <w:r w:rsidRPr="00641912">
        <w:t>continence</w:t>
      </w:r>
      <w:r w:rsidRPr="00D741E8">
        <w:t xml:space="preserve"> care</w:t>
      </w:r>
    </w:p>
    <w:p w:rsidR="00E47405" w:rsidRPr="00641912" w:rsidRDefault="00E47405" w:rsidP="00FE4A68">
      <w:pPr>
        <w:pStyle w:val="BodyText"/>
        <w:numPr>
          <w:ilvl w:val="0"/>
          <w:numId w:val="19"/>
        </w:numPr>
        <w:autoSpaceDE w:val="0"/>
        <w:autoSpaceDN w:val="0"/>
        <w:adjustRightInd w:val="0"/>
        <w:spacing w:after="0"/>
      </w:pPr>
      <w:r w:rsidRPr="00641912">
        <w:t>Assistance</w:t>
      </w:r>
      <w:r w:rsidRPr="00D741E8">
        <w:t xml:space="preserve"> </w:t>
      </w:r>
      <w:r w:rsidRPr="00641912">
        <w:t>with</w:t>
      </w:r>
      <w:r w:rsidRPr="00D741E8">
        <w:t xml:space="preserve"> </w:t>
      </w:r>
      <w:r w:rsidRPr="00641912">
        <w:t>toileting</w:t>
      </w:r>
    </w:p>
    <w:p w:rsidR="00E47405" w:rsidRPr="00641912" w:rsidRDefault="00E47405" w:rsidP="00FE4A68">
      <w:pPr>
        <w:pStyle w:val="BodyText"/>
        <w:numPr>
          <w:ilvl w:val="0"/>
          <w:numId w:val="19"/>
        </w:numPr>
        <w:autoSpaceDE w:val="0"/>
        <w:autoSpaceDN w:val="0"/>
        <w:adjustRightInd w:val="0"/>
        <w:spacing w:after="0"/>
      </w:pPr>
      <w:r w:rsidRPr="00641912">
        <w:t>Assistance</w:t>
      </w:r>
      <w:r w:rsidRPr="00D741E8">
        <w:t xml:space="preserve"> </w:t>
      </w:r>
      <w:r w:rsidRPr="00641912">
        <w:t>with</w:t>
      </w:r>
      <w:r w:rsidRPr="00D741E8">
        <w:t xml:space="preserve"> </w:t>
      </w:r>
      <w:r w:rsidRPr="00641912">
        <w:t>medication</w:t>
      </w:r>
      <w:r w:rsidRPr="00D741E8">
        <w:t xml:space="preserve"> </w:t>
      </w:r>
      <w:r w:rsidRPr="00641912">
        <w:t>supervising/reminding</w:t>
      </w:r>
    </w:p>
    <w:p w:rsidR="00E47405" w:rsidRPr="00641912" w:rsidRDefault="00E47405" w:rsidP="00FE4A68">
      <w:pPr>
        <w:pStyle w:val="BodyText"/>
        <w:numPr>
          <w:ilvl w:val="0"/>
          <w:numId w:val="19"/>
        </w:numPr>
        <w:autoSpaceDE w:val="0"/>
        <w:autoSpaceDN w:val="0"/>
        <w:adjustRightInd w:val="0"/>
        <w:spacing w:after="0"/>
      </w:pPr>
      <w:r w:rsidRPr="00641912">
        <w:t>Assistance</w:t>
      </w:r>
      <w:r w:rsidRPr="00D741E8">
        <w:t xml:space="preserve"> </w:t>
      </w:r>
      <w:r w:rsidRPr="00641912">
        <w:t>with</w:t>
      </w:r>
      <w:r w:rsidRPr="00D741E8">
        <w:t xml:space="preserve"> </w:t>
      </w:r>
      <w:r w:rsidRPr="00641912">
        <w:t>mobility</w:t>
      </w:r>
    </w:p>
    <w:p w:rsidR="00E47405" w:rsidRPr="00641912" w:rsidRDefault="00E47405" w:rsidP="00FE4A68">
      <w:pPr>
        <w:pStyle w:val="BodyText"/>
        <w:numPr>
          <w:ilvl w:val="0"/>
          <w:numId w:val="19"/>
        </w:numPr>
        <w:autoSpaceDE w:val="0"/>
        <w:autoSpaceDN w:val="0"/>
        <w:adjustRightInd w:val="0"/>
        <w:spacing w:after="0"/>
      </w:pPr>
      <w:r w:rsidRPr="00641912">
        <w:t>Assistance</w:t>
      </w:r>
      <w:r w:rsidRPr="00D741E8">
        <w:t xml:space="preserve"> </w:t>
      </w:r>
      <w:r w:rsidRPr="00641912">
        <w:t>with</w:t>
      </w:r>
      <w:r w:rsidRPr="00D741E8">
        <w:t xml:space="preserve"> </w:t>
      </w:r>
      <w:r w:rsidRPr="00641912">
        <w:t>specialist</w:t>
      </w:r>
      <w:r w:rsidRPr="00D741E8">
        <w:t xml:space="preserve"> </w:t>
      </w:r>
      <w:r w:rsidRPr="00641912">
        <w:t>feeding</w:t>
      </w:r>
    </w:p>
    <w:p w:rsidR="00E47405" w:rsidRPr="00641912" w:rsidRDefault="00E47405" w:rsidP="00FE4A68">
      <w:pPr>
        <w:pStyle w:val="BodyText"/>
        <w:numPr>
          <w:ilvl w:val="0"/>
          <w:numId w:val="19"/>
        </w:numPr>
        <w:autoSpaceDE w:val="0"/>
        <w:autoSpaceDN w:val="0"/>
        <w:adjustRightInd w:val="0"/>
        <w:spacing w:after="0"/>
      </w:pPr>
      <w:r w:rsidRPr="00641912">
        <w:t>Assistance</w:t>
      </w:r>
      <w:r w:rsidRPr="00D741E8">
        <w:t xml:space="preserve"> </w:t>
      </w:r>
      <w:r w:rsidRPr="00641912">
        <w:t>with</w:t>
      </w:r>
      <w:r w:rsidRPr="00D741E8">
        <w:t xml:space="preserve"> </w:t>
      </w:r>
      <w:r w:rsidRPr="00641912">
        <w:t>stoma</w:t>
      </w:r>
      <w:r w:rsidRPr="00D741E8">
        <w:t xml:space="preserve"> </w:t>
      </w:r>
      <w:r w:rsidRPr="00641912">
        <w:t>care</w:t>
      </w:r>
    </w:p>
    <w:p w:rsidR="00E47405" w:rsidRPr="00641912" w:rsidRDefault="00E47405" w:rsidP="00FE4A68">
      <w:pPr>
        <w:pStyle w:val="BodyText"/>
        <w:numPr>
          <w:ilvl w:val="0"/>
          <w:numId w:val="19"/>
        </w:numPr>
        <w:autoSpaceDE w:val="0"/>
        <w:autoSpaceDN w:val="0"/>
        <w:adjustRightInd w:val="0"/>
        <w:spacing w:after="0"/>
      </w:pPr>
      <w:r w:rsidRPr="00641912">
        <w:t>Assistance</w:t>
      </w:r>
      <w:r w:rsidRPr="00D741E8">
        <w:t xml:space="preserve"> </w:t>
      </w:r>
      <w:r w:rsidRPr="00641912">
        <w:t>with</w:t>
      </w:r>
      <w:r w:rsidRPr="00D741E8">
        <w:t xml:space="preserve"> </w:t>
      </w:r>
      <w:r w:rsidRPr="00641912">
        <w:t>catheter</w:t>
      </w:r>
      <w:r w:rsidRPr="00D741E8">
        <w:t xml:space="preserve"> </w:t>
      </w:r>
      <w:r w:rsidRPr="00641912">
        <w:t>care</w:t>
      </w:r>
    </w:p>
    <w:p w:rsidR="00E47405" w:rsidRPr="00641912" w:rsidRDefault="00E47405" w:rsidP="00FE4A68">
      <w:pPr>
        <w:pStyle w:val="BodyText"/>
        <w:numPr>
          <w:ilvl w:val="0"/>
          <w:numId w:val="19"/>
        </w:numPr>
        <w:autoSpaceDE w:val="0"/>
        <w:autoSpaceDN w:val="0"/>
        <w:adjustRightInd w:val="0"/>
        <w:spacing w:after="0"/>
      </w:pPr>
      <w:r w:rsidRPr="00641912">
        <w:t>Assistance</w:t>
      </w:r>
      <w:r w:rsidRPr="00D741E8">
        <w:t xml:space="preserve"> </w:t>
      </w:r>
      <w:r w:rsidRPr="00641912">
        <w:t>with</w:t>
      </w:r>
      <w:r w:rsidRPr="00D741E8">
        <w:t xml:space="preserve"> </w:t>
      </w:r>
      <w:r w:rsidRPr="00641912">
        <w:t>skin</w:t>
      </w:r>
      <w:r w:rsidRPr="00D741E8">
        <w:t xml:space="preserve"> </w:t>
      </w:r>
      <w:r w:rsidRPr="00641912">
        <w:t>care</w:t>
      </w:r>
    </w:p>
    <w:p w:rsidR="00E47405" w:rsidRPr="00641912" w:rsidRDefault="00E47405" w:rsidP="00FE4A68">
      <w:pPr>
        <w:pStyle w:val="BodyText"/>
        <w:numPr>
          <w:ilvl w:val="0"/>
          <w:numId w:val="19"/>
        </w:numPr>
        <w:autoSpaceDE w:val="0"/>
        <w:autoSpaceDN w:val="0"/>
        <w:adjustRightInd w:val="0"/>
        <w:spacing w:after="0"/>
      </w:pPr>
      <w:r w:rsidRPr="00641912">
        <w:t>Administering</w:t>
      </w:r>
      <w:r w:rsidRPr="00D741E8">
        <w:t xml:space="preserve"> of </w:t>
      </w:r>
      <w:r w:rsidRPr="00641912">
        <w:t>medication</w:t>
      </w:r>
      <w:r w:rsidRPr="00D741E8">
        <w:t xml:space="preserve"> </w:t>
      </w:r>
      <w:r w:rsidRPr="00641912">
        <w:t>(including</w:t>
      </w:r>
      <w:r w:rsidRPr="00D741E8">
        <w:t xml:space="preserve"> administering </w:t>
      </w:r>
      <w:r w:rsidRPr="00641912">
        <w:t xml:space="preserve">of </w:t>
      </w:r>
      <w:r w:rsidRPr="00D741E8">
        <w:t>oxygen)</w:t>
      </w:r>
    </w:p>
    <w:p w:rsidR="00E47405" w:rsidRPr="00641912" w:rsidRDefault="00E47405" w:rsidP="00FE4A68">
      <w:pPr>
        <w:pStyle w:val="BodyText"/>
        <w:numPr>
          <w:ilvl w:val="0"/>
          <w:numId w:val="19"/>
        </w:numPr>
        <w:autoSpaceDE w:val="0"/>
        <w:autoSpaceDN w:val="0"/>
        <w:adjustRightInd w:val="0"/>
        <w:spacing w:after="0"/>
      </w:pPr>
      <w:r w:rsidRPr="00641912">
        <w:t>Rehab</w:t>
      </w:r>
      <w:r>
        <w:t xml:space="preserve">ilitation </w:t>
      </w:r>
      <w:r w:rsidRPr="00D741E8">
        <w:t xml:space="preserve"> </w:t>
      </w:r>
      <w:r w:rsidRPr="00641912">
        <w:t>work</w:t>
      </w:r>
      <w:r w:rsidRPr="00D741E8">
        <w:t xml:space="preserve"> </w:t>
      </w:r>
      <w:r w:rsidRPr="00641912">
        <w:t>(under</w:t>
      </w:r>
      <w:r w:rsidRPr="00D741E8">
        <w:t xml:space="preserve"> </w:t>
      </w:r>
      <w:r w:rsidRPr="00641912">
        <w:t>support</w:t>
      </w:r>
      <w:r w:rsidRPr="00D741E8">
        <w:t xml:space="preserve"> of </w:t>
      </w:r>
      <w:r w:rsidRPr="00641912">
        <w:t>professional)</w:t>
      </w:r>
    </w:p>
    <w:p w:rsidR="00E47405" w:rsidRPr="00641912" w:rsidRDefault="00E47405" w:rsidP="00FE4A68">
      <w:pPr>
        <w:pStyle w:val="BodyText"/>
        <w:numPr>
          <w:ilvl w:val="0"/>
          <w:numId w:val="19"/>
        </w:numPr>
        <w:autoSpaceDE w:val="0"/>
        <w:autoSpaceDN w:val="0"/>
        <w:adjustRightInd w:val="0"/>
        <w:spacing w:after="0"/>
      </w:pPr>
      <w:r w:rsidRPr="00641912">
        <w:t>Food</w:t>
      </w:r>
      <w:r w:rsidRPr="00D741E8">
        <w:t xml:space="preserve"> </w:t>
      </w:r>
      <w:r w:rsidRPr="00641912">
        <w:t>preparation</w:t>
      </w:r>
    </w:p>
    <w:p w:rsidR="00E47405" w:rsidRDefault="00E47405" w:rsidP="00FE4A68">
      <w:pPr>
        <w:pStyle w:val="Heading1"/>
        <w:keepLines/>
        <w:numPr>
          <w:ilvl w:val="0"/>
          <w:numId w:val="8"/>
        </w:numPr>
        <w:spacing w:before="480" w:line="276" w:lineRule="auto"/>
        <w:sectPr w:rsidR="00E47405" w:rsidSect="00E47405">
          <w:type w:val="continuous"/>
          <w:pgSz w:w="12240" w:h="15840"/>
          <w:pgMar w:top="1440" w:right="1440" w:bottom="1440" w:left="1440" w:header="720" w:footer="720" w:gutter="0"/>
          <w:cols w:num="2" w:space="720"/>
          <w:noEndnote/>
        </w:sectPr>
      </w:pPr>
      <w:bookmarkStart w:id="45" w:name="_Appendix_2_–"/>
      <w:bookmarkEnd w:id="45"/>
    </w:p>
    <w:p w:rsidR="00447237" w:rsidRDefault="00E47405" w:rsidP="00447237">
      <w:pPr>
        <w:pStyle w:val="Heading1"/>
        <w:jc w:val="right"/>
      </w:pPr>
      <w:bookmarkStart w:id="46" w:name="_Appendix_2_Minimum"/>
      <w:bookmarkStart w:id="47" w:name="_Toc131412124"/>
      <w:bookmarkEnd w:id="46"/>
      <w:r>
        <w:lastRenderedPageBreak/>
        <w:t>Appendix 2</w:t>
      </w:r>
      <w:bookmarkEnd w:id="47"/>
      <w:r>
        <w:t xml:space="preserve"> </w:t>
      </w:r>
    </w:p>
    <w:p w:rsidR="00E47405" w:rsidRPr="00CB6C16" w:rsidRDefault="00E47405" w:rsidP="00E47405">
      <w:pPr>
        <w:pStyle w:val="Heading1"/>
        <w:rPr>
          <w:i/>
          <w:u w:val="single"/>
        </w:rPr>
      </w:pPr>
      <w:bookmarkStart w:id="48" w:name="_Toc131412125"/>
      <w:r w:rsidRPr="00CB6C16">
        <w:rPr>
          <w:u w:val="single"/>
        </w:rPr>
        <w:t xml:space="preserve">Minimum Income Thresholds </w:t>
      </w:r>
      <w:r w:rsidR="004B4DA6">
        <w:rPr>
          <w:u w:val="single"/>
        </w:rPr>
        <w:t>2023/2024</w:t>
      </w:r>
      <w:bookmarkEnd w:id="48"/>
      <w:r w:rsidR="005718B5" w:rsidRPr="00CB6C16">
        <w:rPr>
          <w:u w:val="single"/>
        </w:rPr>
        <w:t xml:space="preserve"> </w:t>
      </w:r>
    </w:p>
    <w:p w:rsidR="00E47405" w:rsidRPr="00A55510" w:rsidRDefault="00E47405" w:rsidP="00E47405"/>
    <w:p w:rsidR="00333472" w:rsidRDefault="00E47405" w:rsidP="00E47405">
      <w:pPr>
        <w:pStyle w:val="BodyText"/>
      </w:pPr>
      <w:r>
        <w:t>Minimum income thresholds mean that service users whose income falls below the charging threshold do not need to pay a charge for their service.  These rates are based on COSLA guidance and DWP rates of benefit and are not determined by WDC.</w:t>
      </w:r>
    </w:p>
    <w:p w:rsidR="00A1413F" w:rsidRDefault="00333472" w:rsidP="00E47405">
      <w:pPr>
        <w:pStyle w:val="BodyText"/>
      </w:pPr>
      <w:r>
        <w:t>A b</w:t>
      </w:r>
      <w:r w:rsidR="00A1413F">
        <w:t xml:space="preserve">uffer is applied </w:t>
      </w:r>
      <w:r>
        <w:t xml:space="preserve">to recognise that not all of a </w:t>
      </w:r>
      <w:r w:rsidR="00A1413F">
        <w:t>person’s</w:t>
      </w:r>
      <w:r>
        <w:t xml:space="preserve"> income should be taken into account when calculating charges for people on low incomes or who may incur additional living costs due to their impairment or to support frailty. This buffer is currently set at 25% </w:t>
      </w:r>
      <w:r w:rsidR="00A1413F">
        <w:t>as per COSLA guidance.  A</w:t>
      </w:r>
      <w:r>
        <w:t xml:space="preserve">ll </w:t>
      </w:r>
      <w:r w:rsidR="00A1413F">
        <w:t>thresholds are rounded up.</w:t>
      </w:r>
    </w:p>
    <w:p w:rsidR="00333472" w:rsidRDefault="00333472" w:rsidP="00E47405">
      <w:pPr>
        <w:pStyle w:val="BodyText"/>
      </w:pPr>
      <w:r>
        <w:t>For people below state pension qualifying age, the Income Support Personal Allowance and the Disability Premium are added together with the buffer adde</w:t>
      </w:r>
      <w:r w:rsidR="00A1413F">
        <w:t>d to the sum of these two rates.</w:t>
      </w:r>
    </w:p>
    <w:p w:rsidR="00406461" w:rsidRPr="00406461" w:rsidRDefault="00406461" w:rsidP="00406461">
      <w:pPr>
        <w:pStyle w:val="Default"/>
      </w:pPr>
      <w:r w:rsidRPr="00365858">
        <w:t>From 1</w:t>
      </w:r>
      <w:r w:rsidRPr="00365858">
        <w:rPr>
          <w:vertAlign w:val="superscript"/>
        </w:rPr>
        <w:t>st</w:t>
      </w:r>
      <w:r w:rsidR="005718B5">
        <w:t xml:space="preserve"> April 20</w:t>
      </w:r>
      <w:r w:rsidRPr="00365858">
        <w:t>22 WDC will no longer distinguish between over and under 60 threshold rates and will use the over 60 rates for all clients based upon COSLA recommendation and the  Equality Act 2010 and the on-going DWP alignment of state pension qualifying age for men and women.</w:t>
      </w:r>
    </w:p>
    <w:p w:rsidR="00E47405" w:rsidRPr="00165B21" w:rsidRDefault="00E47405" w:rsidP="00E47405">
      <w:pPr>
        <w:pStyle w:val="BodyText"/>
      </w:pPr>
    </w:p>
    <w:p w:rsidR="00E47405" w:rsidRPr="00641912" w:rsidRDefault="00E47405" w:rsidP="00E47405">
      <w:pPr>
        <w:pStyle w:val="BodyText"/>
      </w:pPr>
      <w:r w:rsidRPr="00165B21">
        <w:rPr>
          <w:spacing w:val="-1"/>
        </w:rPr>
        <w:t>The</w:t>
      </w:r>
      <w:r w:rsidRPr="00165B21">
        <w:rPr>
          <w:spacing w:val="-4"/>
        </w:rPr>
        <w:t xml:space="preserve"> </w:t>
      </w:r>
      <w:r w:rsidRPr="00165B21">
        <w:t>thresholds</w:t>
      </w:r>
      <w:r w:rsidRPr="00165B21">
        <w:rPr>
          <w:spacing w:val="-12"/>
        </w:rPr>
        <w:t xml:space="preserve"> </w:t>
      </w:r>
      <w:r w:rsidRPr="00165B21">
        <w:rPr>
          <w:spacing w:val="-1"/>
        </w:rPr>
        <w:t>for</w:t>
      </w:r>
      <w:r w:rsidRPr="00165B21">
        <w:rPr>
          <w:spacing w:val="-3"/>
        </w:rPr>
        <w:t xml:space="preserve"> </w:t>
      </w:r>
      <w:r w:rsidR="004B4DA6">
        <w:t>2023/2024</w:t>
      </w:r>
      <w:r w:rsidR="005718B5">
        <w:t xml:space="preserve"> are in the below box </w:t>
      </w:r>
    </w:p>
    <w:tbl>
      <w:tblPr>
        <w:tblW w:w="5153" w:type="dxa"/>
        <w:tblInd w:w="175" w:type="dxa"/>
        <w:tblLayout w:type="fixed"/>
        <w:tblCellMar>
          <w:left w:w="0" w:type="dxa"/>
          <w:right w:w="0" w:type="dxa"/>
        </w:tblCellMar>
        <w:tblLook w:val="0000" w:firstRow="0" w:lastRow="0" w:firstColumn="0" w:lastColumn="0" w:noHBand="0" w:noVBand="0"/>
      </w:tblPr>
      <w:tblGrid>
        <w:gridCol w:w="3516"/>
        <w:gridCol w:w="1637"/>
      </w:tblGrid>
      <w:tr w:rsidR="000324A6" w:rsidRPr="00641912" w:rsidTr="000324A6">
        <w:trPr>
          <w:trHeight w:val="352"/>
        </w:trPr>
        <w:tc>
          <w:tcPr>
            <w:tcW w:w="3516" w:type="dxa"/>
            <w:tcBorders>
              <w:top w:val="single" w:sz="4" w:space="0" w:color="000000"/>
              <w:left w:val="single" w:sz="4" w:space="0" w:color="000000"/>
              <w:bottom w:val="single" w:sz="4" w:space="0" w:color="000000"/>
              <w:right w:val="single" w:sz="4" w:space="0" w:color="000000"/>
            </w:tcBorders>
            <w:shd w:val="clear" w:color="auto" w:fill="000000" w:themeFill="text1"/>
          </w:tcPr>
          <w:p w:rsidR="000324A6" w:rsidRPr="00641912" w:rsidRDefault="000324A6" w:rsidP="00E47405"/>
        </w:tc>
        <w:tc>
          <w:tcPr>
            <w:tcW w:w="1637" w:type="dxa"/>
            <w:tcBorders>
              <w:top w:val="single" w:sz="4" w:space="0" w:color="000000"/>
              <w:left w:val="single" w:sz="4" w:space="0" w:color="000000"/>
              <w:bottom w:val="single" w:sz="4" w:space="0" w:color="000000"/>
              <w:right w:val="single" w:sz="4" w:space="0" w:color="000000"/>
            </w:tcBorders>
            <w:shd w:val="clear" w:color="auto" w:fill="000000" w:themeFill="text1"/>
          </w:tcPr>
          <w:p w:rsidR="000324A6" w:rsidRDefault="000324A6" w:rsidP="00124D67">
            <w:pPr>
              <w:jc w:val="center"/>
              <w:rPr>
                <w:b/>
              </w:rPr>
            </w:pPr>
          </w:p>
          <w:p w:rsidR="000B5C95" w:rsidRPr="00124D67" w:rsidRDefault="000324A6" w:rsidP="000B5C95">
            <w:pPr>
              <w:jc w:val="center"/>
              <w:rPr>
                <w:b/>
              </w:rPr>
            </w:pPr>
            <w:r>
              <w:rPr>
                <w:b/>
              </w:rPr>
              <w:t>Threshold (Rounded)</w:t>
            </w:r>
          </w:p>
          <w:p w:rsidR="000324A6" w:rsidRPr="00124D67" w:rsidRDefault="000324A6" w:rsidP="00124D67">
            <w:pPr>
              <w:jc w:val="center"/>
              <w:rPr>
                <w:b/>
                <w:bCs/>
                <w:color w:val="FFFFFF" w:themeColor="background1"/>
              </w:rPr>
            </w:pPr>
          </w:p>
        </w:tc>
      </w:tr>
      <w:tr w:rsidR="000324A6" w:rsidRPr="00641912" w:rsidTr="000324A6">
        <w:trPr>
          <w:trHeight w:val="352"/>
        </w:trPr>
        <w:tc>
          <w:tcPr>
            <w:tcW w:w="3516" w:type="dxa"/>
            <w:tcBorders>
              <w:top w:val="single" w:sz="4" w:space="0" w:color="000000"/>
              <w:left w:val="single" w:sz="4" w:space="0" w:color="000000"/>
              <w:bottom w:val="single" w:sz="4" w:space="0" w:color="000000"/>
              <w:right w:val="single" w:sz="4" w:space="0" w:color="000000"/>
            </w:tcBorders>
            <w:shd w:val="clear" w:color="auto" w:fill="000000" w:themeFill="text1"/>
          </w:tcPr>
          <w:p w:rsidR="000324A6" w:rsidRPr="00165B21" w:rsidRDefault="000324A6" w:rsidP="00124D67">
            <w:pPr>
              <w:jc w:val="center"/>
              <w:rPr>
                <w:b/>
                <w:bCs/>
                <w:color w:val="FFFFFF" w:themeColor="background1"/>
              </w:rPr>
            </w:pPr>
            <w:r w:rsidRPr="00165B21">
              <w:rPr>
                <w:b/>
                <w:bCs/>
                <w:color w:val="FFFFFF" w:themeColor="background1"/>
              </w:rPr>
              <w:t>Single</w:t>
            </w:r>
            <w:r w:rsidRPr="00165B21">
              <w:rPr>
                <w:b/>
                <w:bCs/>
                <w:color w:val="FFFFFF" w:themeColor="background1"/>
                <w:spacing w:val="-9"/>
              </w:rPr>
              <w:t xml:space="preserve"> </w:t>
            </w:r>
            <w:r w:rsidRPr="00165B21">
              <w:rPr>
                <w:b/>
                <w:bCs/>
                <w:color w:val="FFFFFF" w:themeColor="background1"/>
              </w:rPr>
              <w:t>Person</w:t>
            </w:r>
            <w:r w:rsidRPr="00165B21">
              <w:rPr>
                <w:b/>
                <w:bCs/>
                <w:color w:val="FFFFFF" w:themeColor="background1"/>
                <w:spacing w:val="-11"/>
              </w:rPr>
              <w:t xml:space="preserve"> </w:t>
            </w:r>
          </w:p>
        </w:tc>
        <w:tc>
          <w:tcPr>
            <w:tcW w:w="1637" w:type="dxa"/>
            <w:tcBorders>
              <w:top w:val="single" w:sz="4" w:space="0" w:color="000000"/>
              <w:left w:val="single" w:sz="4" w:space="0" w:color="000000"/>
              <w:bottom w:val="single" w:sz="4" w:space="0" w:color="000000"/>
              <w:right w:val="single" w:sz="4" w:space="0" w:color="000000"/>
            </w:tcBorders>
            <w:shd w:val="clear" w:color="000000" w:fill="FFFFFF"/>
          </w:tcPr>
          <w:p w:rsidR="000324A6" w:rsidRPr="00641912" w:rsidRDefault="004B4DA6" w:rsidP="00100F2D">
            <w:pPr>
              <w:jc w:val="center"/>
            </w:pPr>
            <w:r>
              <w:t>£252</w:t>
            </w:r>
          </w:p>
        </w:tc>
      </w:tr>
      <w:tr w:rsidR="000324A6" w:rsidRPr="00641912" w:rsidTr="000324A6">
        <w:trPr>
          <w:trHeight w:val="354"/>
        </w:trPr>
        <w:tc>
          <w:tcPr>
            <w:tcW w:w="3516" w:type="dxa"/>
            <w:tcBorders>
              <w:top w:val="single" w:sz="4" w:space="0" w:color="000000"/>
              <w:left w:val="single" w:sz="4" w:space="0" w:color="000000"/>
              <w:bottom w:val="single" w:sz="4" w:space="0" w:color="000000"/>
              <w:right w:val="single" w:sz="4" w:space="0" w:color="000000"/>
            </w:tcBorders>
            <w:shd w:val="clear" w:color="auto" w:fill="000000" w:themeFill="text1"/>
          </w:tcPr>
          <w:p w:rsidR="000324A6" w:rsidRPr="00165B21" w:rsidRDefault="000324A6" w:rsidP="00E47405">
            <w:pPr>
              <w:jc w:val="center"/>
              <w:rPr>
                <w:b/>
                <w:bCs/>
                <w:color w:val="FFFFFF" w:themeColor="background1"/>
              </w:rPr>
            </w:pPr>
            <w:r>
              <w:rPr>
                <w:b/>
                <w:bCs/>
                <w:color w:val="FFFFFF" w:themeColor="background1"/>
              </w:rPr>
              <w:t>Couple</w:t>
            </w:r>
          </w:p>
        </w:tc>
        <w:tc>
          <w:tcPr>
            <w:tcW w:w="1637" w:type="dxa"/>
            <w:tcBorders>
              <w:top w:val="single" w:sz="4" w:space="0" w:color="000000"/>
              <w:left w:val="single" w:sz="4" w:space="0" w:color="000000"/>
              <w:bottom w:val="single" w:sz="4" w:space="0" w:color="000000"/>
              <w:right w:val="single" w:sz="4" w:space="0" w:color="000000"/>
            </w:tcBorders>
            <w:shd w:val="clear" w:color="000000" w:fill="FFFFFF"/>
          </w:tcPr>
          <w:p w:rsidR="000324A6" w:rsidRPr="00641912" w:rsidRDefault="004B4DA6" w:rsidP="009C3408">
            <w:pPr>
              <w:jc w:val="center"/>
            </w:pPr>
            <w:r>
              <w:t>£384</w:t>
            </w:r>
          </w:p>
        </w:tc>
      </w:tr>
    </w:tbl>
    <w:p w:rsidR="00683AE5" w:rsidRDefault="00683AE5" w:rsidP="00E47405"/>
    <w:p w:rsidR="00683AE5" w:rsidRDefault="00683AE5" w:rsidP="00E47405"/>
    <w:p w:rsidR="00683AE5" w:rsidRDefault="00683AE5" w:rsidP="00E47405"/>
    <w:p w:rsidR="00683AE5" w:rsidRDefault="00683AE5" w:rsidP="00E47405"/>
    <w:p w:rsidR="00447237" w:rsidRDefault="00447237" w:rsidP="00E47405"/>
    <w:p w:rsidR="00447237" w:rsidRDefault="00447237" w:rsidP="00E47405"/>
    <w:p w:rsidR="00447237" w:rsidRDefault="00447237" w:rsidP="00E47405"/>
    <w:p w:rsidR="00447237" w:rsidRDefault="00447237" w:rsidP="00E47405"/>
    <w:p w:rsidR="00447237" w:rsidRDefault="00447237" w:rsidP="00E47405"/>
    <w:p w:rsidR="000324A6" w:rsidRDefault="000324A6" w:rsidP="00E47405"/>
    <w:p w:rsidR="000324A6" w:rsidRDefault="000324A6" w:rsidP="00E47405"/>
    <w:p w:rsidR="00447237" w:rsidRDefault="00447237" w:rsidP="00E47405"/>
    <w:p w:rsidR="00447237" w:rsidRDefault="00447237" w:rsidP="00E47405"/>
    <w:p w:rsidR="00447237" w:rsidRDefault="00447237" w:rsidP="00E47405"/>
    <w:p w:rsidR="00CA0D49" w:rsidRDefault="00CA0D49" w:rsidP="00E47405"/>
    <w:p w:rsidR="004B4DA6" w:rsidRDefault="004B4DA6" w:rsidP="00E47405"/>
    <w:p w:rsidR="004B4DA6" w:rsidRDefault="004B4DA6" w:rsidP="00E47405"/>
    <w:p w:rsidR="004B4DA6" w:rsidRDefault="004B4DA6" w:rsidP="00E47405"/>
    <w:p w:rsidR="00447237" w:rsidRDefault="00E47405" w:rsidP="00447237">
      <w:pPr>
        <w:pStyle w:val="Heading1"/>
        <w:ind w:left="432" w:hanging="432"/>
        <w:jc w:val="right"/>
      </w:pPr>
      <w:bookmarkStart w:id="49" w:name="_Toc131412126"/>
      <w:r>
        <w:lastRenderedPageBreak/>
        <w:t>Appendix 3</w:t>
      </w:r>
      <w:bookmarkEnd w:id="49"/>
      <w:r>
        <w:t xml:space="preserve"> </w:t>
      </w:r>
    </w:p>
    <w:p w:rsidR="00E47405" w:rsidRPr="00CB6C16" w:rsidRDefault="00E47405" w:rsidP="00E47405">
      <w:pPr>
        <w:pStyle w:val="Heading1"/>
        <w:ind w:left="432" w:hanging="432"/>
        <w:rPr>
          <w:u w:val="single"/>
        </w:rPr>
      </w:pPr>
      <w:bookmarkStart w:id="50" w:name="_Toc131412127"/>
      <w:r w:rsidRPr="00CB6C16">
        <w:rPr>
          <w:u w:val="single"/>
        </w:rPr>
        <w:t>Fixed Charges for HSCP services</w:t>
      </w:r>
      <w:bookmarkEnd w:id="50"/>
    </w:p>
    <w:p w:rsidR="00E47405" w:rsidRDefault="00E47405" w:rsidP="00E47405"/>
    <w:p w:rsidR="00E47405" w:rsidRDefault="00E47405" w:rsidP="00E47405">
      <w:r>
        <w:t>These fixed charges will increase annually by 4% in line with inflation.  If there are any other changes to the charges out width of the annual % increase then the consultation process will begin.</w:t>
      </w:r>
      <w:r w:rsidR="004B4DA6">
        <w:t xml:space="preserve"> There was a 10% increase in charges in 2023/2024.</w:t>
      </w:r>
    </w:p>
    <w:p w:rsidR="00447237" w:rsidRDefault="00447237" w:rsidP="00E47405"/>
    <w:tbl>
      <w:tblPr>
        <w:tblW w:w="1089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319"/>
        <w:gridCol w:w="1931"/>
        <w:gridCol w:w="1501"/>
        <w:gridCol w:w="1716"/>
        <w:gridCol w:w="1716"/>
        <w:gridCol w:w="1716"/>
      </w:tblGrid>
      <w:tr w:rsidR="004B4DA6" w:rsidTr="004B4DA6">
        <w:trPr>
          <w:trHeight w:val="487"/>
        </w:trPr>
        <w:tc>
          <w:tcPr>
            <w:tcW w:w="2319" w:type="dxa"/>
            <w:shd w:val="clear" w:color="auto" w:fill="000000" w:themeFill="text1"/>
          </w:tcPr>
          <w:p w:rsidR="004B4DA6" w:rsidRPr="004B4DA6" w:rsidRDefault="004B4DA6" w:rsidP="00E47405">
            <w:pPr>
              <w:pStyle w:val="BodyText"/>
              <w:jc w:val="center"/>
              <w:rPr>
                <w:rFonts w:cs="Arial"/>
                <w:b/>
                <w:bCs/>
                <w:color w:val="FFFFFF" w:themeColor="background1"/>
                <w:szCs w:val="24"/>
              </w:rPr>
            </w:pPr>
            <w:r w:rsidRPr="004B4DA6">
              <w:rPr>
                <w:rFonts w:cs="Arial"/>
                <w:b/>
                <w:bCs/>
                <w:color w:val="FFFFFF" w:themeColor="background1"/>
                <w:szCs w:val="24"/>
              </w:rPr>
              <w:t xml:space="preserve">Fixed Charge </w:t>
            </w:r>
          </w:p>
        </w:tc>
        <w:tc>
          <w:tcPr>
            <w:tcW w:w="1931" w:type="dxa"/>
            <w:shd w:val="clear" w:color="auto" w:fill="000000" w:themeFill="text1"/>
          </w:tcPr>
          <w:p w:rsidR="004B4DA6" w:rsidRPr="004B4DA6" w:rsidRDefault="004B4DA6" w:rsidP="00E47405">
            <w:pPr>
              <w:pStyle w:val="BodyText"/>
              <w:jc w:val="center"/>
              <w:rPr>
                <w:rFonts w:cs="Arial"/>
                <w:b/>
                <w:bCs/>
                <w:color w:val="FFFFFF" w:themeColor="background1"/>
                <w:szCs w:val="24"/>
              </w:rPr>
            </w:pPr>
            <w:r w:rsidRPr="004B4DA6">
              <w:rPr>
                <w:rFonts w:cs="Arial"/>
                <w:b/>
                <w:bCs/>
                <w:color w:val="FFFFFF" w:themeColor="background1"/>
                <w:szCs w:val="24"/>
              </w:rPr>
              <w:t xml:space="preserve">Frequency </w:t>
            </w:r>
          </w:p>
        </w:tc>
        <w:tc>
          <w:tcPr>
            <w:tcW w:w="1501" w:type="dxa"/>
            <w:shd w:val="clear" w:color="auto" w:fill="000000" w:themeFill="text1"/>
          </w:tcPr>
          <w:p w:rsidR="004B4DA6" w:rsidRPr="004B4DA6" w:rsidRDefault="004B4DA6" w:rsidP="00E47405">
            <w:pPr>
              <w:pStyle w:val="BodyText"/>
              <w:jc w:val="center"/>
              <w:rPr>
                <w:rFonts w:cs="Arial"/>
                <w:b/>
                <w:bCs/>
                <w:color w:val="FFFFFF" w:themeColor="background1"/>
                <w:szCs w:val="24"/>
              </w:rPr>
            </w:pPr>
            <w:r w:rsidRPr="004B4DA6">
              <w:rPr>
                <w:rFonts w:cs="Arial"/>
                <w:b/>
                <w:bCs/>
                <w:color w:val="FFFFFF" w:themeColor="background1"/>
                <w:szCs w:val="24"/>
              </w:rPr>
              <w:t>2020/2021</w:t>
            </w:r>
          </w:p>
          <w:p w:rsidR="004B4DA6" w:rsidRPr="004B4DA6" w:rsidRDefault="004B4DA6" w:rsidP="00E47405">
            <w:pPr>
              <w:pStyle w:val="BodyText"/>
              <w:jc w:val="center"/>
              <w:rPr>
                <w:rFonts w:cs="Arial"/>
                <w:b/>
                <w:bCs/>
                <w:color w:val="FFFFFF" w:themeColor="background1"/>
                <w:szCs w:val="24"/>
              </w:rPr>
            </w:pPr>
            <w:r w:rsidRPr="004B4DA6">
              <w:rPr>
                <w:rFonts w:cs="Arial"/>
                <w:b/>
                <w:bCs/>
                <w:color w:val="FFFFFF" w:themeColor="background1"/>
                <w:szCs w:val="24"/>
              </w:rPr>
              <w:t xml:space="preserve"> (£)</w:t>
            </w:r>
          </w:p>
        </w:tc>
        <w:tc>
          <w:tcPr>
            <w:tcW w:w="1716" w:type="dxa"/>
            <w:shd w:val="clear" w:color="auto" w:fill="000000" w:themeFill="text1"/>
          </w:tcPr>
          <w:p w:rsidR="004B4DA6" w:rsidRPr="004B4DA6" w:rsidRDefault="004B4DA6" w:rsidP="00E47405">
            <w:pPr>
              <w:pStyle w:val="BodyText"/>
              <w:jc w:val="center"/>
              <w:rPr>
                <w:rFonts w:cs="Arial"/>
                <w:b/>
                <w:bCs/>
                <w:color w:val="FFFFFF" w:themeColor="background1"/>
                <w:szCs w:val="24"/>
              </w:rPr>
            </w:pPr>
            <w:r w:rsidRPr="004B4DA6">
              <w:rPr>
                <w:rFonts w:cs="Arial"/>
                <w:b/>
                <w:bCs/>
                <w:color w:val="FFFFFF" w:themeColor="background1"/>
                <w:szCs w:val="24"/>
              </w:rPr>
              <w:t xml:space="preserve">2021/2022 </w:t>
            </w:r>
          </w:p>
          <w:p w:rsidR="004B4DA6" w:rsidRPr="004B4DA6" w:rsidRDefault="004B4DA6" w:rsidP="00E47405">
            <w:pPr>
              <w:pStyle w:val="BodyText"/>
              <w:jc w:val="center"/>
              <w:rPr>
                <w:rFonts w:cs="Arial"/>
                <w:b/>
                <w:bCs/>
                <w:color w:val="FFFFFF" w:themeColor="background1"/>
                <w:szCs w:val="24"/>
              </w:rPr>
            </w:pPr>
            <w:r w:rsidRPr="004B4DA6">
              <w:rPr>
                <w:rFonts w:cs="Arial"/>
                <w:b/>
                <w:bCs/>
                <w:color w:val="FFFFFF" w:themeColor="background1"/>
                <w:szCs w:val="24"/>
              </w:rPr>
              <w:t>(£)</w:t>
            </w:r>
          </w:p>
        </w:tc>
        <w:tc>
          <w:tcPr>
            <w:tcW w:w="1716" w:type="dxa"/>
            <w:shd w:val="clear" w:color="auto" w:fill="000000" w:themeFill="text1"/>
          </w:tcPr>
          <w:p w:rsidR="004B4DA6" w:rsidRPr="004B4DA6" w:rsidRDefault="004B4DA6" w:rsidP="00E47405">
            <w:pPr>
              <w:pStyle w:val="BodyText"/>
              <w:jc w:val="center"/>
              <w:rPr>
                <w:rFonts w:cs="Arial"/>
                <w:b/>
                <w:bCs/>
                <w:color w:val="FFFFFF" w:themeColor="background1"/>
                <w:szCs w:val="24"/>
              </w:rPr>
            </w:pPr>
            <w:r w:rsidRPr="004B4DA6">
              <w:rPr>
                <w:rFonts w:cs="Arial"/>
                <w:b/>
                <w:bCs/>
                <w:color w:val="FFFFFF" w:themeColor="background1"/>
                <w:szCs w:val="24"/>
              </w:rPr>
              <w:t xml:space="preserve">2022/2023 </w:t>
            </w:r>
          </w:p>
          <w:p w:rsidR="004B4DA6" w:rsidRPr="004B4DA6" w:rsidRDefault="004B4DA6" w:rsidP="00E47405">
            <w:pPr>
              <w:pStyle w:val="BodyText"/>
              <w:jc w:val="center"/>
              <w:rPr>
                <w:rFonts w:cs="Arial"/>
                <w:b/>
                <w:bCs/>
                <w:color w:val="FFFFFF" w:themeColor="background1"/>
                <w:szCs w:val="24"/>
              </w:rPr>
            </w:pPr>
            <w:r w:rsidRPr="004B4DA6">
              <w:rPr>
                <w:rFonts w:cs="Arial"/>
                <w:b/>
                <w:bCs/>
                <w:color w:val="FFFFFF" w:themeColor="background1"/>
                <w:szCs w:val="24"/>
              </w:rPr>
              <w:t>(£)</w:t>
            </w:r>
          </w:p>
        </w:tc>
        <w:tc>
          <w:tcPr>
            <w:tcW w:w="1716" w:type="dxa"/>
            <w:shd w:val="clear" w:color="auto" w:fill="000000" w:themeFill="text1"/>
          </w:tcPr>
          <w:p w:rsidR="004B4DA6" w:rsidRPr="004B4DA6" w:rsidRDefault="004B4DA6" w:rsidP="00E47405">
            <w:pPr>
              <w:pStyle w:val="BodyText"/>
              <w:jc w:val="center"/>
              <w:rPr>
                <w:rFonts w:cs="Arial"/>
                <w:b/>
                <w:bCs/>
                <w:color w:val="FFFFFF" w:themeColor="background1"/>
                <w:szCs w:val="24"/>
              </w:rPr>
            </w:pPr>
            <w:r w:rsidRPr="004B4DA6">
              <w:rPr>
                <w:rFonts w:cs="Arial"/>
                <w:b/>
                <w:bCs/>
                <w:color w:val="FFFFFF" w:themeColor="background1"/>
                <w:szCs w:val="24"/>
              </w:rPr>
              <w:t>2023/2024</w:t>
            </w:r>
          </w:p>
          <w:p w:rsidR="004B4DA6" w:rsidRPr="004B4DA6" w:rsidRDefault="004B4DA6" w:rsidP="00E47405">
            <w:pPr>
              <w:pStyle w:val="BodyText"/>
              <w:jc w:val="center"/>
              <w:rPr>
                <w:rFonts w:cs="Arial"/>
                <w:b/>
                <w:bCs/>
                <w:color w:val="FFFFFF" w:themeColor="background1"/>
                <w:szCs w:val="24"/>
              </w:rPr>
            </w:pPr>
            <w:r w:rsidRPr="004B4DA6">
              <w:rPr>
                <w:rFonts w:cs="Arial"/>
                <w:b/>
                <w:bCs/>
                <w:color w:val="FFFFFF" w:themeColor="background1"/>
                <w:szCs w:val="24"/>
              </w:rPr>
              <w:t>(£)</w:t>
            </w:r>
          </w:p>
        </w:tc>
      </w:tr>
      <w:tr w:rsidR="004B4DA6" w:rsidTr="004B4DA6">
        <w:trPr>
          <w:trHeight w:val="190"/>
        </w:trPr>
        <w:tc>
          <w:tcPr>
            <w:tcW w:w="2319" w:type="dxa"/>
          </w:tcPr>
          <w:p w:rsidR="004B4DA6" w:rsidRPr="004B4DA6" w:rsidRDefault="004B4DA6" w:rsidP="00253FAD">
            <w:pPr>
              <w:pStyle w:val="BodyText"/>
              <w:rPr>
                <w:rFonts w:cs="Arial"/>
                <w:szCs w:val="24"/>
              </w:rPr>
            </w:pPr>
            <w:r w:rsidRPr="004B4DA6">
              <w:rPr>
                <w:rFonts w:cs="Arial"/>
                <w:szCs w:val="24"/>
              </w:rPr>
              <w:t>Day Care charge to other Councils</w:t>
            </w:r>
          </w:p>
        </w:tc>
        <w:tc>
          <w:tcPr>
            <w:tcW w:w="1931" w:type="dxa"/>
          </w:tcPr>
          <w:p w:rsidR="004B4DA6" w:rsidRPr="004B4DA6" w:rsidRDefault="004B4DA6" w:rsidP="00253FAD">
            <w:pPr>
              <w:pStyle w:val="BodyText"/>
              <w:jc w:val="center"/>
              <w:rPr>
                <w:rFonts w:cs="Arial"/>
                <w:szCs w:val="24"/>
              </w:rPr>
            </w:pPr>
            <w:r w:rsidRPr="004B4DA6">
              <w:rPr>
                <w:rFonts w:cs="Arial"/>
                <w:szCs w:val="24"/>
              </w:rPr>
              <w:t>Per day</w:t>
            </w:r>
          </w:p>
        </w:tc>
        <w:tc>
          <w:tcPr>
            <w:tcW w:w="1501" w:type="dxa"/>
          </w:tcPr>
          <w:p w:rsidR="004B4DA6" w:rsidRPr="004B4DA6" w:rsidRDefault="004B4DA6" w:rsidP="00253FAD">
            <w:pPr>
              <w:pStyle w:val="BodyText"/>
              <w:jc w:val="center"/>
              <w:rPr>
                <w:rFonts w:cs="Arial"/>
                <w:szCs w:val="24"/>
              </w:rPr>
            </w:pPr>
            <w:r w:rsidRPr="004B4DA6">
              <w:rPr>
                <w:rFonts w:cs="Arial"/>
                <w:szCs w:val="24"/>
              </w:rPr>
              <w:t>98.50</w:t>
            </w:r>
          </w:p>
        </w:tc>
        <w:tc>
          <w:tcPr>
            <w:tcW w:w="1716" w:type="dxa"/>
          </w:tcPr>
          <w:p w:rsidR="004B4DA6" w:rsidRPr="004B4DA6" w:rsidRDefault="004B4DA6" w:rsidP="00253FAD">
            <w:pPr>
              <w:pStyle w:val="BodyText"/>
              <w:jc w:val="center"/>
              <w:rPr>
                <w:rFonts w:cs="Arial"/>
                <w:szCs w:val="24"/>
              </w:rPr>
            </w:pPr>
            <w:r w:rsidRPr="004B4DA6">
              <w:rPr>
                <w:rFonts w:cs="Arial"/>
                <w:szCs w:val="24"/>
              </w:rPr>
              <w:t>102.40</w:t>
            </w:r>
          </w:p>
        </w:tc>
        <w:tc>
          <w:tcPr>
            <w:tcW w:w="1716" w:type="dxa"/>
          </w:tcPr>
          <w:p w:rsidR="004B4DA6" w:rsidRPr="004B4DA6" w:rsidRDefault="004B4DA6" w:rsidP="00253FAD">
            <w:pPr>
              <w:pStyle w:val="BodyText"/>
              <w:jc w:val="center"/>
              <w:rPr>
                <w:rFonts w:cs="Arial"/>
                <w:szCs w:val="24"/>
              </w:rPr>
            </w:pPr>
            <w:r w:rsidRPr="004B4DA6">
              <w:rPr>
                <w:rFonts w:cs="Arial"/>
                <w:szCs w:val="24"/>
              </w:rPr>
              <w:t>102.40</w:t>
            </w:r>
          </w:p>
        </w:tc>
        <w:tc>
          <w:tcPr>
            <w:tcW w:w="1716" w:type="dxa"/>
          </w:tcPr>
          <w:p w:rsidR="004B4DA6" w:rsidRPr="004B4DA6" w:rsidRDefault="004B4DA6" w:rsidP="00253FAD">
            <w:pPr>
              <w:pStyle w:val="BodyText"/>
              <w:jc w:val="center"/>
              <w:rPr>
                <w:rFonts w:cs="Arial"/>
                <w:szCs w:val="24"/>
              </w:rPr>
            </w:pPr>
            <w:r w:rsidRPr="004B4DA6">
              <w:rPr>
                <w:rFonts w:cs="Arial"/>
                <w:szCs w:val="24"/>
              </w:rPr>
              <w:t>112.60</w:t>
            </w:r>
          </w:p>
        </w:tc>
      </w:tr>
      <w:tr w:rsidR="004B4DA6" w:rsidTr="004B4DA6">
        <w:trPr>
          <w:trHeight w:val="190"/>
        </w:trPr>
        <w:tc>
          <w:tcPr>
            <w:tcW w:w="2319" w:type="dxa"/>
          </w:tcPr>
          <w:p w:rsidR="004B4DA6" w:rsidRPr="004B4DA6" w:rsidRDefault="004B4DA6" w:rsidP="00253FAD">
            <w:pPr>
              <w:pStyle w:val="BodyText"/>
              <w:rPr>
                <w:rFonts w:cs="Arial"/>
                <w:szCs w:val="24"/>
              </w:rPr>
            </w:pPr>
            <w:r w:rsidRPr="004B4DA6">
              <w:rPr>
                <w:rFonts w:cs="Arial"/>
                <w:szCs w:val="24"/>
              </w:rPr>
              <w:t>Community Alarms</w:t>
            </w:r>
          </w:p>
        </w:tc>
        <w:tc>
          <w:tcPr>
            <w:tcW w:w="1931" w:type="dxa"/>
          </w:tcPr>
          <w:p w:rsidR="004B4DA6" w:rsidRPr="004B4DA6" w:rsidRDefault="004B4DA6" w:rsidP="00253FAD">
            <w:pPr>
              <w:pStyle w:val="BodyText"/>
              <w:jc w:val="center"/>
              <w:rPr>
                <w:rFonts w:cs="Arial"/>
                <w:szCs w:val="24"/>
              </w:rPr>
            </w:pPr>
            <w:r w:rsidRPr="004B4DA6">
              <w:rPr>
                <w:rFonts w:cs="Arial"/>
                <w:szCs w:val="24"/>
              </w:rPr>
              <w:t>Weekly</w:t>
            </w:r>
          </w:p>
        </w:tc>
        <w:tc>
          <w:tcPr>
            <w:tcW w:w="1501" w:type="dxa"/>
          </w:tcPr>
          <w:p w:rsidR="004B4DA6" w:rsidRPr="004B4DA6" w:rsidRDefault="004B4DA6" w:rsidP="00253FAD">
            <w:pPr>
              <w:pStyle w:val="BodyText"/>
              <w:jc w:val="center"/>
              <w:rPr>
                <w:rFonts w:cs="Arial"/>
                <w:szCs w:val="24"/>
              </w:rPr>
            </w:pPr>
            <w:r w:rsidRPr="004B4DA6">
              <w:rPr>
                <w:rFonts w:cs="Arial"/>
                <w:szCs w:val="24"/>
              </w:rPr>
              <w:t>5.20</w:t>
            </w:r>
          </w:p>
        </w:tc>
        <w:tc>
          <w:tcPr>
            <w:tcW w:w="1716" w:type="dxa"/>
          </w:tcPr>
          <w:p w:rsidR="004B4DA6" w:rsidRPr="004B4DA6" w:rsidRDefault="004B4DA6" w:rsidP="00253FAD">
            <w:pPr>
              <w:pStyle w:val="BodyText"/>
              <w:jc w:val="center"/>
              <w:rPr>
                <w:rFonts w:cs="Arial"/>
                <w:szCs w:val="24"/>
              </w:rPr>
            </w:pPr>
            <w:r w:rsidRPr="004B4DA6">
              <w:rPr>
                <w:rFonts w:cs="Arial"/>
                <w:szCs w:val="24"/>
              </w:rPr>
              <w:t>5.40</w:t>
            </w:r>
          </w:p>
        </w:tc>
        <w:tc>
          <w:tcPr>
            <w:tcW w:w="1716" w:type="dxa"/>
          </w:tcPr>
          <w:p w:rsidR="004B4DA6" w:rsidRPr="004B4DA6" w:rsidRDefault="004B4DA6" w:rsidP="00253FAD">
            <w:pPr>
              <w:pStyle w:val="BodyText"/>
              <w:jc w:val="center"/>
              <w:rPr>
                <w:rFonts w:cs="Arial"/>
                <w:szCs w:val="24"/>
              </w:rPr>
            </w:pPr>
            <w:r w:rsidRPr="004B4DA6">
              <w:rPr>
                <w:rFonts w:cs="Arial"/>
                <w:szCs w:val="24"/>
              </w:rPr>
              <w:t>5.40</w:t>
            </w:r>
          </w:p>
        </w:tc>
        <w:tc>
          <w:tcPr>
            <w:tcW w:w="1716" w:type="dxa"/>
          </w:tcPr>
          <w:p w:rsidR="004B4DA6" w:rsidRPr="004B4DA6" w:rsidRDefault="004B4DA6" w:rsidP="00253FAD">
            <w:pPr>
              <w:pStyle w:val="BodyText"/>
              <w:jc w:val="center"/>
              <w:rPr>
                <w:rFonts w:cs="Arial"/>
                <w:szCs w:val="24"/>
              </w:rPr>
            </w:pPr>
            <w:r w:rsidRPr="004B4DA6">
              <w:rPr>
                <w:rFonts w:cs="Arial"/>
                <w:szCs w:val="24"/>
              </w:rPr>
              <w:t>5.90</w:t>
            </w:r>
          </w:p>
        </w:tc>
      </w:tr>
      <w:tr w:rsidR="004B4DA6" w:rsidTr="004B4DA6">
        <w:trPr>
          <w:trHeight w:val="190"/>
        </w:trPr>
        <w:tc>
          <w:tcPr>
            <w:tcW w:w="2319" w:type="dxa"/>
          </w:tcPr>
          <w:p w:rsidR="004B4DA6" w:rsidRPr="004B4DA6" w:rsidRDefault="004B4DA6" w:rsidP="00253FAD">
            <w:pPr>
              <w:pStyle w:val="BodyText"/>
              <w:rPr>
                <w:rFonts w:cs="Arial"/>
                <w:szCs w:val="24"/>
              </w:rPr>
            </w:pPr>
            <w:r w:rsidRPr="004B4DA6">
              <w:rPr>
                <w:rFonts w:cs="Arial"/>
                <w:szCs w:val="24"/>
              </w:rPr>
              <w:t>Respite Care (18-24 yrs.)</w:t>
            </w:r>
          </w:p>
        </w:tc>
        <w:tc>
          <w:tcPr>
            <w:tcW w:w="1931" w:type="dxa"/>
          </w:tcPr>
          <w:p w:rsidR="004B4DA6" w:rsidRPr="004B4DA6" w:rsidRDefault="004B4DA6" w:rsidP="00253FAD">
            <w:pPr>
              <w:pStyle w:val="BodyText"/>
              <w:jc w:val="center"/>
              <w:rPr>
                <w:rFonts w:cs="Arial"/>
                <w:szCs w:val="24"/>
              </w:rPr>
            </w:pPr>
            <w:r w:rsidRPr="004B4DA6">
              <w:rPr>
                <w:rFonts w:cs="Arial"/>
                <w:szCs w:val="24"/>
              </w:rPr>
              <w:t>Per day</w:t>
            </w:r>
          </w:p>
        </w:tc>
        <w:tc>
          <w:tcPr>
            <w:tcW w:w="1501" w:type="dxa"/>
          </w:tcPr>
          <w:p w:rsidR="004B4DA6" w:rsidRPr="004B4DA6" w:rsidRDefault="004B4DA6" w:rsidP="00253FAD">
            <w:pPr>
              <w:pStyle w:val="BodyText"/>
              <w:jc w:val="center"/>
              <w:rPr>
                <w:rFonts w:cs="Arial"/>
                <w:szCs w:val="24"/>
              </w:rPr>
            </w:pPr>
            <w:r w:rsidRPr="004B4DA6">
              <w:rPr>
                <w:rFonts w:cs="Arial"/>
                <w:szCs w:val="24"/>
              </w:rPr>
              <w:t>12.50</w:t>
            </w:r>
          </w:p>
        </w:tc>
        <w:tc>
          <w:tcPr>
            <w:tcW w:w="1716" w:type="dxa"/>
          </w:tcPr>
          <w:p w:rsidR="004B4DA6" w:rsidRPr="004B4DA6" w:rsidRDefault="004B4DA6" w:rsidP="00253FAD">
            <w:pPr>
              <w:pStyle w:val="BodyText"/>
              <w:jc w:val="center"/>
              <w:rPr>
                <w:rFonts w:cs="Arial"/>
                <w:szCs w:val="24"/>
              </w:rPr>
            </w:pPr>
            <w:r w:rsidRPr="004B4DA6">
              <w:rPr>
                <w:rFonts w:cs="Arial"/>
                <w:szCs w:val="24"/>
              </w:rPr>
              <w:t>13.00</w:t>
            </w:r>
          </w:p>
        </w:tc>
        <w:tc>
          <w:tcPr>
            <w:tcW w:w="1716" w:type="dxa"/>
          </w:tcPr>
          <w:p w:rsidR="004B4DA6" w:rsidRPr="004B4DA6" w:rsidRDefault="004B4DA6" w:rsidP="00253FAD">
            <w:pPr>
              <w:pStyle w:val="BodyText"/>
              <w:jc w:val="center"/>
              <w:rPr>
                <w:rFonts w:cs="Arial"/>
                <w:szCs w:val="24"/>
              </w:rPr>
            </w:pPr>
            <w:r w:rsidRPr="004B4DA6">
              <w:rPr>
                <w:rFonts w:cs="Arial"/>
                <w:szCs w:val="24"/>
              </w:rPr>
              <w:t>13.00</w:t>
            </w:r>
          </w:p>
        </w:tc>
        <w:tc>
          <w:tcPr>
            <w:tcW w:w="1716" w:type="dxa"/>
          </w:tcPr>
          <w:p w:rsidR="004B4DA6" w:rsidRPr="004B4DA6" w:rsidRDefault="004B4DA6" w:rsidP="00253FAD">
            <w:pPr>
              <w:pStyle w:val="BodyText"/>
              <w:jc w:val="center"/>
              <w:rPr>
                <w:rFonts w:cs="Arial"/>
                <w:szCs w:val="24"/>
              </w:rPr>
            </w:pPr>
            <w:r w:rsidRPr="004B4DA6">
              <w:rPr>
                <w:rFonts w:cs="Arial"/>
                <w:szCs w:val="24"/>
              </w:rPr>
              <w:t>14.30</w:t>
            </w:r>
          </w:p>
        </w:tc>
      </w:tr>
      <w:tr w:rsidR="004B4DA6" w:rsidTr="004B4DA6">
        <w:trPr>
          <w:trHeight w:val="190"/>
        </w:trPr>
        <w:tc>
          <w:tcPr>
            <w:tcW w:w="2319" w:type="dxa"/>
          </w:tcPr>
          <w:p w:rsidR="004B4DA6" w:rsidRPr="004B4DA6" w:rsidRDefault="004B4DA6" w:rsidP="00253FAD">
            <w:pPr>
              <w:pStyle w:val="BodyText"/>
              <w:rPr>
                <w:rFonts w:cs="Arial"/>
                <w:szCs w:val="24"/>
              </w:rPr>
            </w:pPr>
            <w:r w:rsidRPr="004B4DA6">
              <w:rPr>
                <w:rFonts w:cs="Arial"/>
                <w:szCs w:val="24"/>
              </w:rPr>
              <w:t>Respite Care (25-64 yrs.)</w:t>
            </w:r>
          </w:p>
        </w:tc>
        <w:tc>
          <w:tcPr>
            <w:tcW w:w="1931" w:type="dxa"/>
          </w:tcPr>
          <w:p w:rsidR="004B4DA6" w:rsidRPr="004B4DA6" w:rsidRDefault="004B4DA6" w:rsidP="00253FAD">
            <w:pPr>
              <w:pStyle w:val="BodyText"/>
              <w:jc w:val="center"/>
              <w:rPr>
                <w:rFonts w:cs="Arial"/>
                <w:szCs w:val="24"/>
              </w:rPr>
            </w:pPr>
            <w:r w:rsidRPr="004B4DA6">
              <w:rPr>
                <w:rFonts w:cs="Arial"/>
                <w:szCs w:val="24"/>
              </w:rPr>
              <w:t>Per day</w:t>
            </w:r>
          </w:p>
        </w:tc>
        <w:tc>
          <w:tcPr>
            <w:tcW w:w="1501" w:type="dxa"/>
          </w:tcPr>
          <w:p w:rsidR="004B4DA6" w:rsidRPr="004B4DA6" w:rsidRDefault="004B4DA6" w:rsidP="00253FAD">
            <w:pPr>
              <w:pStyle w:val="BodyText"/>
              <w:jc w:val="center"/>
              <w:rPr>
                <w:rFonts w:cs="Arial"/>
                <w:szCs w:val="24"/>
              </w:rPr>
            </w:pPr>
            <w:r w:rsidRPr="004B4DA6">
              <w:rPr>
                <w:rFonts w:cs="Arial"/>
                <w:szCs w:val="24"/>
              </w:rPr>
              <w:t>15.35</w:t>
            </w:r>
          </w:p>
        </w:tc>
        <w:tc>
          <w:tcPr>
            <w:tcW w:w="1716" w:type="dxa"/>
          </w:tcPr>
          <w:p w:rsidR="004B4DA6" w:rsidRPr="004B4DA6" w:rsidRDefault="004B4DA6" w:rsidP="00253FAD">
            <w:pPr>
              <w:pStyle w:val="BodyText"/>
              <w:jc w:val="center"/>
              <w:rPr>
                <w:rFonts w:cs="Arial"/>
                <w:szCs w:val="24"/>
              </w:rPr>
            </w:pPr>
            <w:r w:rsidRPr="004B4DA6">
              <w:rPr>
                <w:rFonts w:cs="Arial"/>
                <w:szCs w:val="24"/>
              </w:rPr>
              <w:t>16.00</w:t>
            </w:r>
          </w:p>
        </w:tc>
        <w:tc>
          <w:tcPr>
            <w:tcW w:w="1716" w:type="dxa"/>
          </w:tcPr>
          <w:p w:rsidR="004B4DA6" w:rsidRPr="004B4DA6" w:rsidRDefault="004B4DA6" w:rsidP="00253FAD">
            <w:pPr>
              <w:pStyle w:val="BodyText"/>
              <w:jc w:val="center"/>
              <w:rPr>
                <w:rFonts w:cs="Arial"/>
                <w:szCs w:val="24"/>
              </w:rPr>
            </w:pPr>
            <w:r w:rsidRPr="004B4DA6">
              <w:rPr>
                <w:rFonts w:cs="Arial"/>
                <w:szCs w:val="24"/>
              </w:rPr>
              <w:t>16.00</w:t>
            </w:r>
          </w:p>
        </w:tc>
        <w:tc>
          <w:tcPr>
            <w:tcW w:w="1716" w:type="dxa"/>
          </w:tcPr>
          <w:p w:rsidR="004B4DA6" w:rsidRPr="004B4DA6" w:rsidRDefault="004B4DA6" w:rsidP="00253FAD">
            <w:pPr>
              <w:pStyle w:val="BodyText"/>
              <w:jc w:val="center"/>
              <w:rPr>
                <w:rFonts w:cs="Arial"/>
                <w:szCs w:val="24"/>
              </w:rPr>
            </w:pPr>
            <w:r w:rsidRPr="004B4DA6">
              <w:rPr>
                <w:rFonts w:cs="Arial"/>
                <w:szCs w:val="24"/>
              </w:rPr>
              <w:t>17.60</w:t>
            </w:r>
          </w:p>
        </w:tc>
      </w:tr>
      <w:tr w:rsidR="004B4DA6" w:rsidTr="004B4DA6">
        <w:trPr>
          <w:trHeight w:val="337"/>
        </w:trPr>
        <w:tc>
          <w:tcPr>
            <w:tcW w:w="2319" w:type="dxa"/>
          </w:tcPr>
          <w:p w:rsidR="004B4DA6" w:rsidRPr="004B4DA6" w:rsidRDefault="004B4DA6" w:rsidP="00253FAD">
            <w:pPr>
              <w:pStyle w:val="BodyText"/>
              <w:rPr>
                <w:rFonts w:cs="Arial"/>
                <w:szCs w:val="24"/>
              </w:rPr>
            </w:pPr>
            <w:r w:rsidRPr="004B4DA6">
              <w:rPr>
                <w:rFonts w:cs="Arial"/>
                <w:szCs w:val="24"/>
              </w:rPr>
              <w:t>Respite Care (65+ yrs.)</w:t>
            </w:r>
          </w:p>
        </w:tc>
        <w:tc>
          <w:tcPr>
            <w:tcW w:w="1931" w:type="dxa"/>
          </w:tcPr>
          <w:p w:rsidR="004B4DA6" w:rsidRPr="004B4DA6" w:rsidRDefault="004B4DA6" w:rsidP="00253FAD">
            <w:pPr>
              <w:pStyle w:val="BodyText"/>
              <w:jc w:val="center"/>
              <w:rPr>
                <w:rFonts w:cs="Arial"/>
                <w:szCs w:val="24"/>
              </w:rPr>
            </w:pPr>
            <w:r w:rsidRPr="004B4DA6">
              <w:rPr>
                <w:rFonts w:cs="Arial"/>
                <w:szCs w:val="24"/>
              </w:rPr>
              <w:t>Per day</w:t>
            </w:r>
          </w:p>
        </w:tc>
        <w:tc>
          <w:tcPr>
            <w:tcW w:w="1501" w:type="dxa"/>
          </w:tcPr>
          <w:p w:rsidR="004B4DA6" w:rsidRPr="004B4DA6" w:rsidRDefault="004B4DA6" w:rsidP="00253FAD">
            <w:pPr>
              <w:pStyle w:val="BodyText"/>
              <w:jc w:val="center"/>
              <w:rPr>
                <w:rFonts w:cs="Arial"/>
                <w:szCs w:val="24"/>
              </w:rPr>
            </w:pPr>
            <w:r w:rsidRPr="004B4DA6">
              <w:rPr>
                <w:rFonts w:cs="Arial"/>
                <w:szCs w:val="24"/>
              </w:rPr>
              <w:t>23.55</w:t>
            </w:r>
          </w:p>
        </w:tc>
        <w:tc>
          <w:tcPr>
            <w:tcW w:w="1716" w:type="dxa"/>
          </w:tcPr>
          <w:p w:rsidR="004B4DA6" w:rsidRPr="004B4DA6" w:rsidRDefault="004B4DA6" w:rsidP="00253FAD">
            <w:pPr>
              <w:pStyle w:val="BodyText"/>
              <w:jc w:val="center"/>
              <w:rPr>
                <w:rFonts w:cs="Arial"/>
                <w:szCs w:val="24"/>
              </w:rPr>
            </w:pPr>
            <w:r w:rsidRPr="004B4DA6">
              <w:rPr>
                <w:rFonts w:cs="Arial"/>
                <w:szCs w:val="24"/>
              </w:rPr>
              <w:t>24.50</w:t>
            </w:r>
          </w:p>
        </w:tc>
        <w:tc>
          <w:tcPr>
            <w:tcW w:w="1716" w:type="dxa"/>
          </w:tcPr>
          <w:p w:rsidR="004B4DA6" w:rsidRPr="004B4DA6" w:rsidRDefault="004B4DA6" w:rsidP="00253FAD">
            <w:pPr>
              <w:pStyle w:val="BodyText"/>
              <w:jc w:val="center"/>
              <w:rPr>
                <w:rFonts w:cs="Arial"/>
                <w:szCs w:val="24"/>
              </w:rPr>
            </w:pPr>
            <w:r w:rsidRPr="004B4DA6">
              <w:rPr>
                <w:rFonts w:cs="Arial"/>
                <w:szCs w:val="24"/>
              </w:rPr>
              <w:t>24.50</w:t>
            </w:r>
          </w:p>
        </w:tc>
        <w:tc>
          <w:tcPr>
            <w:tcW w:w="1716" w:type="dxa"/>
          </w:tcPr>
          <w:p w:rsidR="004B4DA6" w:rsidRPr="004B4DA6" w:rsidRDefault="004B4DA6" w:rsidP="00253FAD">
            <w:pPr>
              <w:pStyle w:val="BodyText"/>
              <w:jc w:val="center"/>
              <w:rPr>
                <w:rFonts w:cs="Arial"/>
                <w:szCs w:val="24"/>
              </w:rPr>
            </w:pPr>
            <w:r w:rsidRPr="004B4DA6">
              <w:rPr>
                <w:rFonts w:cs="Arial"/>
                <w:szCs w:val="24"/>
              </w:rPr>
              <w:t>27.00</w:t>
            </w:r>
          </w:p>
        </w:tc>
      </w:tr>
      <w:tr w:rsidR="004B4DA6" w:rsidTr="004B4DA6">
        <w:trPr>
          <w:trHeight w:val="190"/>
        </w:trPr>
        <w:tc>
          <w:tcPr>
            <w:tcW w:w="2319" w:type="dxa"/>
          </w:tcPr>
          <w:p w:rsidR="004B4DA6" w:rsidRPr="004B4DA6" w:rsidRDefault="004B4DA6" w:rsidP="00253FAD">
            <w:pPr>
              <w:pStyle w:val="BodyText"/>
              <w:rPr>
                <w:rFonts w:cs="Arial"/>
                <w:szCs w:val="24"/>
              </w:rPr>
            </w:pPr>
            <w:r w:rsidRPr="004B4DA6">
              <w:rPr>
                <w:rFonts w:cs="Arial"/>
                <w:szCs w:val="24"/>
              </w:rPr>
              <w:t>Building Based Day Centre charge for Meals</w:t>
            </w:r>
          </w:p>
        </w:tc>
        <w:tc>
          <w:tcPr>
            <w:tcW w:w="1931" w:type="dxa"/>
          </w:tcPr>
          <w:p w:rsidR="004B4DA6" w:rsidRPr="004B4DA6" w:rsidRDefault="004B4DA6" w:rsidP="00253FAD">
            <w:pPr>
              <w:pStyle w:val="BodyText"/>
              <w:jc w:val="center"/>
              <w:rPr>
                <w:rFonts w:cs="Arial"/>
                <w:szCs w:val="24"/>
              </w:rPr>
            </w:pPr>
            <w:r w:rsidRPr="004B4DA6">
              <w:rPr>
                <w:rFonts w:cs="Arial"/>
                <w:szCs w:val="24"/>
              </w:rPr>
              <w:t>Per meal</w:t>
            </w:r>
          </w:p>
        </w:tc>
        <w:tc>
          <w:tcPr>
            <w:tcW w:w="1501" w:type="dxa"/>
          </w:tcPr>
          <w:p w:rsidR="004B4DA6" w:rsidRPr="004B4DA6" w:rsidRDefault="004B4DA6" w:rsidP="00253FAD">
            <w:pPr>
              <w:pStyle w:val="BodyText"/>
              <w:jc w:val="center"/>
              <w:rPr>
                <w:rFonts w:cs="Arial"/>
                <w:szCs w:val="24"/>
              </w:rPr>
            </w:pPr>
            <w:r w:rsidRPr="004B4DA6">
              <w:rPr>
                <w:rFonts w:cs="Arial"/>
                <w:szCs w:val="24"/>
              </w:rPr>
              <w:t>3.00</w:t>
            </w:r>
          </w:p>
        </w:tc>
        <w:tc>
          <w:tcPr>
            <w:tcW w:w="1716" w:type="dxa"/>
          </w:tcPr>
          <w:p w:rsidR="004B4DA6" w:rsidRPr="004B4DA6" w:rsidRDefault="004B4DA6" w:rsidP="00253FAD">
            <w:pPr>
              <w:pStyle w:val="BodyText"/>
              <w:jc w:val="center"/>
              <w:rPr>
                <w:rFonts w:cs="Arial"/>
                <w:szCs w:val="24"/>
              </w:rPr>
            </w:pPr>
            <w:r w:rsidRPr="004B4DA6">
              <w:rPr>
                <w:rFonts w:cs="Arial"/>
                <w:szCs w:val="24"/>
              </w:rPr>
              <w:t>3.10</w:t>
            </w:r>
          </w:p>
        </w:tc>
        <w:tc>
          <w:tcPr>
            <w:tcW w:w="1716" w:type="dxa"/>
          </w:tcPr>
          <w:p w:rsidR="004B4DA6" w:rsidRPr="004B4DA6" w:rsidRDefault="004B4DA6" w:rsidP="00253FAD">
            <w:pPr>
              <w:pStyle w:val="BodyText"/>
              <w:jc w:val="center"/>
              <w:rPr>
                <w:rFonts w:cs="Arial"/>
                <w:szCs w:val="24"/>
              </w:rPr>
            </w:pPr>
            <w:r w:rsidRPr="004B4DA6">
              <w:rPr>
                <w:rFonts w:cs="Arial"/>
                <w:szCs w:val="24"/>
              </w:rPr>
              <w:t>2.90</w:t>
            </w:r>
          </w:p>
        </w:tc>
        <w:tc>
          <w:tcPr>
            <w:tcW w:w="1716" w:type="dxa"/>
          </w:tcPr>
          <w:p w:rsidR="004B4DA6" w:rsidRPr="004B4DA6" w:rsidRDefault="004B4DA6" w:rsidP="00253FAD">
            <w:pPr>
              <w:pStyle w:val="BodyText"/>
              <w:jc w:val="center"/>
              <w:rPr>
                <w:rFonts w:cs="Arial"/>
                <w:szCs w:val="24"/>
              </w:rPr>
            </w:pPr>
            <w:r w:rsidRPr="004B4DA6">
              <w:rPr>
                <w:rFonts w:cs="Arial"/>
                <w:szCs w:val="24"/>
              </w:rPr>
              <w:t>3.20</w:t>
            </w:r>
          </w:p>
        </w:tc>
      </w:tr>
      <w:tr w:rsidR="004B4DA6" w:rsidTr="004B4DA6">
        <w:trPr>
          <w:trHeight w:val="190"/>
        </w:trPr>
        <w:tc>
          <w:tcPr>
            <w:tcW w:w="2319" w:type="dxa"/>
          </w:tcPr>
          <w:p w:rsidR="004B4DA6" w:rsidRPr="004B4DA6" w:rsidRDefault="004B4DA6" w:rsidP="00253FAD">
            <w:pPr>
              <w:pStyle w:val="BodyText"/>
              <w:rPr>
                <w:rFonts w:cs="Arial"/>
                <w:szCs w:val="24"/>
              </w:rPr>
            </w:pPr>
            <w:r w:rsidRPr="004B4DA6">
              <w:rPr>
                <w:rFonts w:cs="Arial"/>
                <w:szCs w:val="24"/>
              </w:rPr>
              <w:t>Care at Home Meal</w:t>
            </w:r>
          </w:p>
        </w:tc>
        <w:tc>
          <w:tcPr>
            <w:tcW w:w="1931" w:type="dxa"/>
          </w:tcPr>
          <w:p w:rsidR="004B4DA6" w:rsidRPr="004B4DA6" w:rsidRDefault="004B4DA6" w:rsidP="00253FAD">
            <w:pPr>
              <w:pStyle w:val="BodyText"/>
              <w:jc w:val="center"/>
              <w:rPr>
                <w:rFonts w:cs="Arial"/>
                <w:szCs w:val="24"/>
              </w:rPr>
            </w:pPr>
            <w:r w:rsidRPr="004B4DA6">
              <w:rPr>
                <w:rFonts w:cs="Arial"/>
                <w:szCs w:val="24"/>
              </w:rPr>
              <w:t>Per meal</w:t>
            </w:r>
          </w:p>
        </w:tc>
        <w:tc>
          <w:tcPr>
            <w:tcW w:w="1501" w:type="dxa"/>
          </w:tcPr>
          <w:p w:rsidR="004B4DA6" w:rsidRPr="004B4DA6" w:rsidRDefault="004B4DA6" w:rsidP="00253FAD">
            <w:pPr>
              <w:pStyle w:val="BodyText"/>
              <w:jc w:val="center"/>
              <w:rPr>
                <w:rFonts w:cs="Arial"/>
                <w:szCs w:val="24"/>
              </w:rPr>
            </w:pPr>
            <w:r w:rsidRPr="004B4DA6">
              <w:rPr>
                <w:rFonts w:cs="Arial"/>
                <w:szCs w:val="24"/>
              </w:rPr>
              <w:t>2.20</w:t>
            </w:r>
          </w:p>
        </w:tc>
        <w:tc>
          <w:tcPr>
            <w:tcW w:w="1716" w:type="dxa"/>
          </w:tcPr>
          <w:p w:rsidR="004B4DA6" w:rsidRPr="004B4DA6" w:rsidRDefault="004B4DA6" w:rsidP="00253FAD">
            <w:pPr>
              <w:pStyle w:val="BodyText"/>
              <w:jc w:val="center"/>
              <w:rPr>
                <w:rFonts w:cs="Arial"/>
                <w:szCs w:val="24"/>
              </w:rPr>
            </w:pPr>
            <w:r w:rsidRPr="004B4DA6">
              <w:rPr>
                <w:rFonts w:cs="Arial"/>
                <w:szCs w:val="24"/>
              </w:rPr>
              <w:t>2.30</w:t>
            </w:r>
          </w:p>
        </w:tc>
        <w:tc>
          <w:tcPr>
            <w:tcW w:w="1716" w:type="dxa"/>
          </w:tcPr>
          <w:p w:rsidR="004B4DA6" w:rsidRPr="004B4DA6" w:rsidRDefault="004B4DA6" w:rsidP="00253FAD">
            <w:pPr>
              <w:pStyle w:val="BodyText"/>
              <w:jc w:val="center"/>
              <w:rPr>
                <w:rFonts w:cs="Arial"/>
                <w:szCs w:val="24"/>
              </w:rPr>
            </w:pPr>
            <w:r w:rsidRPr="004B4DA6">
              <w:rPr>
                <w:rFonts w:cs="Arial"/>
                <w:szCs w:val="24"/>
              </w:rPr>
              <w:t>2.30</w:t>
            </w:r>
          </w:p>
        </w:tc>
        <w:tc>
          <w:tcPr>
            <w:tcW w:w="1716" w:type="dxa"/>
          </w:tcPr>
          <w:p w:rsidR="004B4DA6" w:rsidRPr="004B4DA6" w:rsidRDefault="004B4DA6" w:rsidP="00253FAD">
            <w:pPr>
              <w:pStyle w:val="BodyText"/>
              <w:jc w:val="center"/>
              <w:rPr>
                <w:rFonts w:cs="Arial"/>
                <w:szCs w:val="24"/>
              </w:rPr>
            </w:pPr>
            <w:r w:rsidRPr="004B4DA6">
              <w:rPr>
                <w:rFonts w:cs="Arial"/>
                <w:szCs w:val="24"/>
              </w:rPr>
              <w:t>2.50</w:t>
            </w:r>
          </w:p>
        </w:tc>
      </w:tr>
      <w:tr w:rsidR="004B4DA6" w:rsidTr="004B4DA6">
        <w:trPr>
          <w:trHeight w:val="190"/>
        </w:trPr>
        <w:tc>
          <w:tcPr>
            <w:tcW w:w="2319" w:type="dxa"/>
          </w:tcPr>
          <w:p w:rsidR="004B4DA6" w:rsidRPr="004B4DA6" w:rsidRDefault="004B4DA6" w:rsidP="00253FAD">
            <w:pPr>
              <w:pStyle w:val="BodyText"/>
              <w:rPr>
                <w:rFonts w:cs="Arial"/>
                <w:szCs w:val="24"/>
              </w:rPr>
            </w:pPr>
            <w:r w:rsidRPr="004B4DA6">
              <w:rPr>
                <w:rFonts w:cs="Arial"/>
                <w:szCs w:val="24"/>
              </w:rPr>
              <w:t>Benview Lunch Club</w:t>
            </w:r>
          </w:p>
        </w:tc>
        <w:tc>
          <w:tcPr>
            <w:tcW w:w="1931" w:type="dxa"/>
          </w:tcPr>
          <w:p w:rsidR="004B4DA6" w:rsidRPr="004B4DA6" w:rsidRDefault="004B4DA6" w:rsidP="00253FAD">
            <w:pPr>
              <w:pStyle w:val="BodyText"/>
              <w:jc w:val="center"/>
              <w:rPr>
                <w:rFonts w:cs="Arial"/>
                <w:szCs w:val="24"/>
              </w:rPr>
            </w:pPr>
            <w:r w:rsidRPr="004B4DA6">
              <w:rPr>
                <w:rFonts w:cs="Arial"/>
                <w:szCs w:val="24"/>
              </w:rPr>
              <w:t>Per meal</w:t>
            </w:r>
          </w:p>
        </w:tc>
        <w:tc>
          <w:tcPr>
            <w:tcW w:w="1501" w:type="dxa"/>
          </w:tcPr>
          <w:p w:rsidR="004B4DA6" w:rsidRPr="004B4DA6" w:rsidRDefault="004B4DA6" w:rsidP="00253FAD">
            <w:pPr>
              <w:pStyle w:val="BodyText"/>
              <w:jc w:val="center"/>
              <w:rPr>
                <w:rFonts w:cs="Arial"/>
                <w:szCs w:val="24"/>
              </w:rPr>
            </w:pPr>
            <w:r w:rsidRPr="004B4DA6">
              <w:rPr>
                <w:rFonts w:cs="Arial"/>
                <w:szCs w:val="24"/>
              </w:rPr>
              <w:t>2.80</w:t>
            </w:r>
          </w:p>
        </w:tc>
        <w:tc>
          <w:tcPr>
            <w:tcW w:w="1716" w:type="dxa"/>
          </w:tcPr>
          <w:p w:rsidR="004B4DA6" w:rsidRPr="004B4DA6" w:rsidRDefault="004B4DA6" w:rsidP="00253FAD">
            <w:pPr>
              <w:pStyle w:val="BodyText"/>
              <w:jc w:val="center"/>
              <w:rPr>
                <w:rFonts w:cs="Arial"/>
                <w:szCs w:val="24"/>
              </w:rPr>
            </w:pPr>
            <w:r w:rsidRPr="004B4DA6">
              <w:rPr>
                <w:rFonts w:cs="Arial"/>
                <w:szCs w:val="24"/>
              </w:rPr>
              <w:t>2.90</w:t>
            </w:r>
          </w:p>
        </w:tc>
        <w:tc>
          <w:tcPr>
            <w:tcW w:w="1716" w:type="dxa"/>
          </w:tcPr>
          <w:p w:rsidR="004B4DA6" w:rsidRPr="004B4DA6" w:rsidRDefault="004B4DA6" w:rsidP="00253FAD">
            <w:pPr>
              <w:pStyle w:val="BodyText"/>
              <w:jc w:val="center"/>
              <w:rPr>
                <w:rFonts w:cs="Arial"/>
                <w:szCs w:val="24"/>
              </w:rPr>
            </w:pPr>
            <w:r w:rsidRPr="004B4DA6">
              <w:rPr>
                <w:rFonts w:cs="Arial"/>
                <w:szCs w:val="24"/>
              </w:rPr>
              <w:t>2.90</w:t>
            </w:r>
          </w:p>
        </w:tc>
        <w:tc>
          <w:tcPr>
            <w:tcW w:w="1716" w:type="dxa"/>
          </w:tcPr>
          <w:p w:rsidR="004B4DA6" w:rsidRPr="004B4DA6" w:rsidRDefault="004B4DA6" w:rsidP="00253FAD">
            <w:pPr>
              <w:pStyle w:val="BodyText"/>
              <w:jc w:val="center"/>
              <w:rPr>
                <w:rFonts w:cs="Arial"/>
                <w:szCs w:val="24"/>
              </w:rPr>
            </w:pPr>
            <w:r w:rsidRPr="004B4DA6">
              <w:rPr>
                <w:rFonts w:cs="Arial"/>
                <w:szCs w:val="24"/>
              </w:rPr>
              <w:t>3.20</w:t>
            </w:r>
          </w:p>
        </w:tc>
      </w:tr>
      <w:tr w:rsidR="004B4DA6" w:rsidTr="004B4DA6">
        <w:trPr>
          <w:trHeight w:val="190"/>
        </w:trPr>
        <w:tc>
          <w:tcPr>
            <w:tcW w:w="2319" w:type="dxa"/>
          </w:tcPr>
          <w:p w:rsidR="004B4DA6" w:rsidRPr="004B4DA6" w:rsidRDefault="004B4DA6" w:rsidP="00253FAD">
            <w:pPr>
              <w:pStyle w:val="BodyText"/>
              <w:rPr>
                <w:rFonts w:cs="Arial"/>
                <w:szCs w:val="24"/>
              </w:rPr>
            </w:pPr>
            <w:r w:rsidRPr="004B4DA6">
              <w:rPr>
                <w:rFonts w:cs="Arial"/>
                <w:szCs w:val="24"/>
              </w:rPr>
              <w:t>Manse Gardens Lunch Club</w:t>
            </w:r>
          </w:p>
        </w:tc>
        <w:tc>
          <w:tcPr>
            <w:tcW w:w="1931" w:type="dxa"/>
          </w:tcPr>
          <w:p w:rsidR="004B4DA6" w:rsidRPr="004B4DA6" w:rsidRDefault="004B4DA6" w:rsidP="00253FAD">
            <w:pPr>
              <w:pStyle w:val="BodyText"/>
              <w:jc w:val="center"/>
              <w:rPr>
                <w:rFonts w:cs="Arial"/>
                <w:szCs w:val="24"/>
              </w:rPr>
            </w:pPr>
            <w:r w:rsidRPr="004B4DA6">
              <w:rPr>
                <w:rFonts w:cs="Arial"/>
                <w:szCs w:val="24"/>
              </w:rPr>
              <w:t>Per meal</w:t>
            </w:r>
          </w:p>
        </w:tc>
        <w:tc>
          <w:tcPr>
            <w:tcW w:w="1501" w:type="dxa"/>
          </w:tcPr>
          <w:p w:rsidR="004B4DA6" w:rsidRPr="004B4DA6" w:rsidRDefault="004B4DA6" w:rsidP="00253FAD">
            <w:pPr>
              <w:pStyle w:val="BodyText"/>
              <w:jc w:val="center"/>
              <w:rPr>
                <w:rFonts w:cs="Arial"/>
                <w:szCs w:val="24"/>
              </w:rPr>
            </w:pPr>
            <w:r w:rsidRPr="004B4DA6">
              <w:rPr>
                <w:rFonts w:cs="Arial"/>
                <w:szCs w:val="24"/>
              </w:rPr>
              <w:t>2.80</w:t>
            </w:r>
          </w:p>
        </w:tc>
        <w:tc>
          <w:tcPr>
            <w:tcW w:w="1716" w:type="dxa"/>
          </w:tcPr>
          <w:p w:rsidR="004B4DA6" w:rsidRPr="004B4DA6" w:rsidRDefault="004B4DA6" w:rsidP="00253FAD">
            <w:pPr>
              <w:pStyle w:val="BodyText"/>
              <w:jc w:val="center"/>
              <w:rPr>
                <w:rFonts w:cs="Arial"/>
                <w:szCs w:val="24"/>
              </w:rPr>
            </w:pPr>
            <w:r w:rsidRPr="004B4DA6">
              <w:rPr>
                <w:rFonts w:cs="Arial"/>
                <w:szCs w:val="24"/>
              </w:rPr>
              <w:t>2.90</w:t>
            </w:r>
          </w:p>
        </w:tc>
        <w:tc>
          <w:tcPr>
            <w:tcW w:w="1716" w:type="dxa"/>
          </w:tcPr>
          <w:p w:rsidR="004B4DA6" w:rsidRPr="004B4DA6" w:rsidRDefault="004B4DA6" w:rsidP="00253FAD">
            <w:pPr>
              <w:pStyle w:val="BodyText"/>
              <w:jc w:val="center"/>
              <w:rPr>
                <w:rFonts w:cs="Arial"/>
                <w:szCs w:val="24"/>
              </w:rPr>
            </w:pPr>
            <w:r w:rsidRPr="004B4DA6">
              <w:rPr>
                <w:rFonts w:cs="Arial"/>
                <w:szCs w:val="24"/>
              </w:rPr>
              <w:t>2.90</w:t>
            </w:r>
          </w:p>
        </w:tc>
        <w:tc>
          <w:tcPr>
            <w:tcW w:w="1716" w:type="dxa"/>
          </w:tcPr>
          <w:p w:rsidR="004B4DA6" w:rsidRPr="004B4DA6" w:rsidRDefault="004B4DA6" w:rsidP="00253FAD">
            <w:pPr>
              <w:pStyle w:val="BodyText"/>
              <w:jc w:val="center"/>
              <w:rPr>
                <w:rFonts w:cs="Arial"/>
                <w:szCs w:val="24"/>
              </w:rPr>
            </w:pPr>
            <w:r w:rsidRPr="004B4DA6">
              <w:rPr>
                <w:rFonts w:cs="Arial"/>
                <w:szCs w:val="24"/>
              </w:rPr>
              <w:t>3.20</w:t>
            </w:r>
          </w:p>
        </w:tc>
      </w:tr>
      <w:tr w:rsidR="004B4DA6" w:rsidTr="004B4DA6">
        <w:trPr>
          <w:trHeight w:val="190"/>
        </w:trPr>
        <w:tc>
          <w:tcPr>
            <w:tcW w:w="2319" w:type="dxa"/>
          </w:tcPr>
          <w:p w:rsidR="004B4DA6" w:rsidRPr="004B4DA6" w:rsidRDefault="004B4DA6" w:rsidP="00253FAD">
            <w:pPr>
              <w:pStyle w:val="BodyText"/>
              <w:rPr>
                <w:rFonts w:cs="Arial"/>
                <w:szCs w:val="24"/>
              </w:rPr>
            </w:pPr>
            <w:r w:rsidRPr="004B4DA6">
              <w:rPr>
                <w:rFonts w:cs="Arial"/>
                <w:szCs w:val="24"/>
              </w:rPr>
              <w:t>Charge for Transport - Round Trip</w:t>
            </w:r>
          </w:p>
        </w:tc>
        <w:tc>
          <w:tcPr>
            <w:tcW w:w="1931" w:type="dxa"/>
          </w:tcPr>
          <w:p w:rsidR="004B4DA6" w:rsidRPr="004B4DA6" w:rsidRDefault="004B4DA6" w:rsidP="00253FAD">
            <w:pPr>
              <w:pStyle w:val="BodyText"/>
              <w:jc w:val="center"/>
              <w:rPr>
                <w:rFonts w:cs="Arial"/>
                <w:szCs w:val="24"/>
              </w:rPr>
            </w:pPr>
            <w:r w:rsidRPr="004B4DA6">
              <w:rPr>
                <w:rFonts w:cs="Arial"/>
                <w:szCs w:val="24"/>
              </w:rPr>
              <w:t>Per trip</w:t>
            </w:r>
          </w:p>
        </w:tc>
        <w:tc>
          <w:tcPr>
            <w:tcW w:w="1501" w:type="dxa"/>
          </w:tcPr>
          <w:p w:rsidR="004B4DA6" w:rsidRPr="004B4DA6" w:rsidRDefault="004B4DA6" w:rsidP="00253FAD">
            <w:pPr>
              <w:pStyle w:val="BodyText"/>
              <w:jc w:val="center"/>
              <w:rPr>
                <w:rFonts w:cs="Arial"/>
                <w:szCs w:val="24"/>
              </w:rPr>
            </w:pPr>
            <w:r w:rsidRPr="004B4DA6">
              <w:rPr>
                <w:rFonts w:cs="Arial"/>
                <w:szCs w:val="24"/>
              </w:rPr>
              <w:t>3.50</w:t>
            </w:r>
          </w:p>
        </w:tc>
        <w:tc>
          <w:tcPr>
            <w:tcW w:w="1716" w:type="dxa"/>
          </w:tcPr>
          <w:p w:rsidR="004B4DA6" w:rsidRPr="004B4DA6" w:rsidRDefault="004B4DA6" w:rsidP="00253FAD">
            <w:pPr>
              <w:pStyle w:val="BodyText"/>
              <w:jc w:val="center"/>
              <w:rPr>
                <w:rFonts w:cs="Arial"/>
                <w:szCs w:val="24"/>
              </w:rPr>
            </w:pPr>
            <w:r w:rsidRPr="004B4DA6">
              <w:rPr>
                <w:rFonts w:cs="Arial"/>
                <w:szCs w:val="24"/>
              </w:rPr>
              <w:t>3.60</w:t>
            </w:r>
          </w:p>
        </w:tc>
        <w:tc>
          <w:tcPr>
            <w:tcW w:w="1716" w:type="dxa"/>
          </w:tcPr>
          <w:p w:rsidR="004B4DA6" w:rsidRPr="004B4DA6" w:rsidRDefault="004B4DA6" w:rsidP="00253FAD">
            <w:pPr>
              <w:pStyle w:val="BodyText"/>
              <w:jc w:val="center"/>
              <w:rPr>
                <w:rFonts w:cs="Arial"/>
                <w:szCs w:val="24"/>
              </w:rPr>
            </w:pPr>
            <w:r w:rsidRPr="004B4DA6">
              <w:rPr>
                <w:rFonts w:cs="Arial"/>
                <w:szCs w:val="24"/>
              </w:rPr>
              <w:t>3.60</w:t>
            </w:r>
          </w:p>
        </w:tc>
        <w:tc>
          <w:tcPr>
            <w:tcW w:w="1716" w:type="dxa"/>
          </w:tcPr>
          <w:p w:rsidR="004B4DA6" w:rsidRPr="004B4DA6" w:rsidRDefault="004B4DA6" w:rsidP="00253FAD">
            <w:pPr>
              <w:pStyle w:val="BodyText"/>
              <w:jc w:val="center"/>
              <w:rPr>
                <w:rFonts w:cs="Arial"/>
                <w:szCs w:val="24"/>
              </w:rPr>
            </w:pPr>
            <w:r w:rsidRPr="004B4DA6">
              <w:rPr>
                <w:rFonts w:cs="Arial"/>
                <w:szCs w:val="24"/>
              </w:rPr>
              <w:t>4.00</w:t>
            </w:r>
          </w:p>
        </w:tc>
      </w:tr>
      <w:tr w:rsidR="004B4DA6" w:rsidTr="004B4DA6">
        <w:trPr>
          <w:trHeight w:val="190"/>
        </w:trPr>
        <w:tc>
          <w:tcPr>
            <w:tcW w:w="2319" w:type="dxa"/>
          </w:tcPr>
          <w:p w:rsidR="004B4DA6" w:rsidRPr="004B4DA6" w:rsidRDefault="004B4DA6" w:rsidP="00253FAD">
            <w:pPr>
              <w:pStyle w:val="BodyText"/>
              <w:rPr>
                <w:rFonts w:cs="Arial"/>
                <w:szCs w:val="24"/>
              </w:rPr>
            </w:pPr>
            <w:r w:rsidRPr="004B4DA6">
              <w:rPr>
                <w:rFonts w:cs="Arial"/>
                <w:szCs w:val="24"/>
              </w:rPr>
              <w:t>Charge for Transport - Single Journey</w:t>
            </w:r>
          </w:p>
        </w:tc>
        <w:tc>
          <w:tcPr>
            <w:tcW w:w="1931" w:type="dxa"/>
          </w:tcPr>
          <w:p w:rsidR="004B4DA6" w:rsidRPr="004B4DA6" w:rsidRDefault="004B4DA6" w:rsidP="00253FAD">
            <w:pPr>
              <w:pStyle w:val="BodyText"/>
              <w:jc w:val="center"/>
              <w:rPr>
                <w:rFonts w:cs="Arial"/>
                <w:szCs w:val="24"/>
              </w:rPr>
            </w:pPr>
            <w:r w:rsidRPr="004B4DA6">
              <w:rPr>
                <w:rFonts w:cs="Arial"/>
                <w:szCs w:val="24"/>
              </w:rPr>
              <w:t>Per trip</w:t>
            </w:r>
          </w:p>
        </w:tc>
        <w:tc>
          <w:tcPr>
            <w:tcW w:w="1501" w:type="dxa"/>
          </w:tcPr>
          <w:p w:rsidR="004B4DA6" w:rsidRPr="004B4DA6" w:rsidRDefault="004B4DA6" w:rsidP="00253FAD">
            <w:pPr>
              <w:pStyle w:val="BodyText"/>
              <w:jc w:val="center"/>
              <w:rPr>
                <w:rFonts w:cs="Arial"/>
                <w:szCs w:val="24"/>
              </w:rPr>
            </w:pPr>
            <w:r w:rsidRPr="004B4DA6">
              <w:rPr>
                <w:rFonts w:cs="Arial"/>
                <w:szCs w:val="24"/>
              </w:rPr>
              <w:t>1.75</w:t>
            </w:r>
          </w:p>
        </w:tc>
        <w:tc>
          <w:tcPr>
            <w:tcW w:w="1716" w:type="dxa"/>
          </w:tcPr>
          <w:p w:rsidR="004B4DA6" w:rsidRPr="004B4DA6" w:rsidRDefault="004B4DA6" w:rsidP="00253FAD">
            <w:pPr>
              <w:pStyle w:val="BodyText"/>
              <w:jc w:val="center"/>
              <w:rPr>
                <w:rFonts w:cs="Arial"/>
                <w:szCs w:val="24"/>
              </w:rPr>
            </w:pPr>
            <w:r w:rsidRPr="004B4DA6">
              <w:rPr>
                <w:rFonts w:cs="Arial"/>
                <w:szCs w:val="24"/>
              </w:rPr>
              <w:t>1.80</w:t>
            </w:r>
          </w:p>
        </w:tc>
        <w:tc>
          <w:tcPr>
            <w:tcW w:w="1716" w:type="dxa"/>
          </w:tcPr>
          <w:p w:rsidR="004B4DA6" w:rsidRPr="004B4DA6" w:rsidRDefault="004B4DA6" w:rsidP="00253FAD">
            <w:pPr>
              <w:pStyle w:val="BodyText"/>
              <w:jc w:val="center"/>
              <w:rPr>
                <w:rFonts w:cs="Arial"/>
                <w:szCs w:val="24"/>
              </w:rPr>
            </w:pPr>
            <w:r w:rsidRPr="004B4DA6">
              <w:rPr>
                <w:rFonts w:cs="Arial"/>
                <w:szCs w:val="24"/>
              </w:rPr>
              <w:t>1.80</w:t>
            </w:r>
          </w:p>
        </w:tc>
        <w:tc>
          <w:tcPr>
            <w:tcW w:w="1716" w:type="dxa"/>
          </w:tcPr>
          <w:p w:rsidR="004B4DA6" w:rsidRPr="004B4DA6" w:rsidRDefault="004B4DA6" w:rsidP="00253FAD">
            <w:pPr>
              <w:pStyle w:val="BodyText"/>
              <w:jc w:val="center"/>
              <w:rPr>
                <w:rFonts w:cs="Arial"/>
                <w:szCs w:val="24"/>
              </w:rPr>
            </w:pPr>
            <w:r w:rsidRPr="004B4DA6">
              <w:rPr>
                <w:rFonts w:cs="Arial"/>
                <w:szCs w:val="24"/>
              </w:rPr>
              <w:t>2.00</w:t>
            </w:r>
          </w:p>
        </w:tc>
      </w:tr>
      <w:tr w:rsidR="004B4DA6" w:rsidTr="004B4DA6">
        <w:trPr>
          <w:trHeight w:val="190"/>
        </w:trPr>
        <w:tc>
          <w:tcPr>
            <w:tcW w:w="2319" w:type="dxa"/>
          </w:tcPr>
          <w:p w:rsidR="004B4DA6" w:rsidRPr="004B4DA6" w:rsidRDefault="004B4DA6" w:rsidP="00E47405">
            <w:pPr>
              <w:pStyle w:val="BodyText"/>
              <w:rPr>
                <w:rFonts w:cs="Arial"/>
                <w:szCs w:val="24"/>
              </w:rPr>
            </w:pPr>
            <w:r w:rsidRPr="004B4DA6">
              <w:rPr>
                <w:rFonts w:cs="Arial"/>
                <w:szCs w:val="24"/>
              </w:rPr>
              <w:t>Blue Badge</w:t>
            </w:r>
          </w:p>
        </w:tc>
        <w:tc>
          <w:tcPr>
            <w:tcW w:w="1931" w:type="dxa"/>
          </w:tcPr>
          <w:p w:rsidR="004B4DA6" w:rsidRPr="004B4DA6" w:rsidRDefault="004B4DA6" w:rsidP="00E47405">
            <w:pPr>
              <w:pStyle w:val="BodyText"/>
              <w:jc w:val="center"/>
              <w:rPr>
                <w:rFonts w:cs="Arial"/>
                <w:szCs w:val="24"/>
              </w:rPr>
            </w:pPr>
            <w:r w:rsidRPr="004B4DA6">
              <w:rPr>
                <w:rFonts w:cs="Arial"/>
                <w:szCs w:val="24"/>
              </w:rPr>
              <w:t>Dependent on a person circumstances</w:t>
            </w:r>
          </w:p>
        </w:tc>
        <w:tc>
          <w:tcPr>
            <w:tcW w:w="1501" w:type="dxa"/>
          </w:tcPr>
          <w:p w:rsidR="004B4DA6" w:rsidRPr="004B4DA6" w:rsidRDefault="004B4DA6" w:rsidP="005718B5">
            <w:pPr>
              <w:pStyle w:val="BodyText"/>
              <w:jc w:val="center"/>
              <w:rPr>
                <w:rFonts w:cs="Arial"/>
                <w:szCs w:val="24"/>
              </w:rPr>
            </w:pPr>
            <w:r w:rsidRPr="004B4DA6">
              <w:rPr>
                <w:rFonts w:cs="Arial"/>
                <w:szCs w:val="24"/>
              </w:rPr>
              <w:t>20.00</w:t>
            </w:r>
          </w:p>
        </w:tc>
        <w:tc>
          <w:tcPr>
            <w:tcW w:w="1716" w:type="dxa"/>
          </w:tcPr>
          <w:p w:rsidR="004B4DA6" w:rsidRPr="004B4DA6" w:rsidRDefault="004B4DA6" w:rsidP="005718B5">
            <w:pPr>
              <w:pStyle w:val="BodyText"/>
              <w:jc w:val="center"/>
              <w:rPr>
                <w:rFonts w:cs="Arial"/>
                <w:szCs w:val="24"/>
              </w:rPr>
            </w:pPr>
            <w:r w:rsidRPr="004B4DA6">
              <w:rPr>
                <w:rFonts w:cs="Arial"/>
                <w:szCs w:val="24"/>
              </w:rPr>
              <w:t>20.00</w:t>
            </w:r>
          </w:p>
        </w:tc>
        <w:tc>
          <w:tcPr>
            <w:tcW w:w="1716" w:type="dxa"/>
          </w:tcPr>
          <w:p w:rsidR="004B4DA6" w:rsidRPr="004B4DA6" w:rsidRDefault="004B4DA6" w:rsidP="00E47405">
            <w:pPr>
              <w:pStyle w:val="BodyText"/>
              <w:jc w:val="center"/>
              <w:rPr>
                <w:rFonts w:cs="Arial"/>
                <w:szCs w:val="24"/>
              </w:rPr>
            </w:pPr>
            <w:r w:rsidRPr="004B4DA6">
              <w:rPr>
                <w:rFonts w:cs="Arial"/>
                <w:szCs w:val="24"/>
              </w:rPr>
              <w:t>20.00</w:t>
            </w:r>
          </w:p>
        </w:tc>
        <w:tc>
          <w:tcPr>
            <w:tcW w:w="1716" w:type="dxa"/>
          </w:tcPr>
          <w:p w:rsidR="004B4DA6" w:rsidRPr="004B4DA6" w:rsidRDefault="004B4DA6" w:rsidP="00E47405">
            <w:pPr>
              <w:pStyle w:val="BodyText"/>
              <w:jc w:val="center"/>
              <w:rPr>
                <w:rFonts w:cs="Arial"/>
                <w:szCs w:val="24"/>
              </w:rPr>
            </w:pPr>
            <w:r w:rsidRPr="004B4DA6">
              <w:rPr>
                <w:rFonts w:cs="Arial"/>
                <w:szCs w:val="24"/>
              </w:rPr>
              <w:t>20.00</w:t>
            </w:r>
          </w:p>
        </w:tc>
      </w:tr>
      <w:tr w:rsidR="004B4DA6" w:rsidTr="004B4DA6">
        <w:trPr>
          <w:trHeight w:val="190"/>
        </w:trPr>
        <w:tc>
          <w:tcPr>
            <w:tcW w:w="2319" w:type="dxa"/>
          </w:tcPr>
          <w:p w:rsidR="004B4DA6" w:rsidRPr="004B4DA6" w:rsidRDefault="004B4DA6" w:rsidP="00E47405">
            <w:pPr>
              <w:pStyle w:val="BodyText"/>
              <w:rPr>
                <w:rFonts w:cs="Arial"/>
                <w:szCs w:val="24"/>
              </w:rPr>
            </w:pPr>
            <w:r w:rsidRPr="004B4DA6">
              <w:rPr>
                <w:rFonts w:cs="Arial"/>
                <w:szCs w:val="24"/>
              </w:rPr>
              <w:t xml:space="preserve">Building based Day Centre support </w:t>
            </w:r>
          </w:p>
        </w:tc>
        <w:tc>
          <w:tcPr>
            <w:tcW w:w="1931" w:type="dxa"/>
          </w:tcPr>
          <w:p w:rsidR="004B4DA6" w:rsidRPr="004B4DA6" w:rsidRDefault="004B4DA6" w:rsidP="00E47405">
            <w:pPr>
              <w:pStyle w:val="BodyText"/>
              <w:jc w:val="center"/>
              <w:rPr>
                <w:rFonts w:cs="Arial"/>
                <w:szCs w:val="24"/>
              </w:rPr>
            </w:pPr>
            <w:r w:rsidRPr="004B4DA6">
              <w:rPr>
                <w:rFonts w:cs="Arial"/>
                <w:szCs w:val="24"/>
              </w:rPr>
              <w:t>Per day/session</w:t>
            </w:r>
          </w:p>
        </w:tc>
        <w:tc>
          <w:tcPr>
            <w:tcW w:w="1501" w:type="dxa"/>
          </w:tcPr>
          <w:p w:rsidR="004B4DA6" w:rsidRPr="004B4DA6" w:rsidRDefault="004B4DA6" w:rsidP="005718B5">
            <w:pPr>
              <w:pStyle w:val="BodyText"/>
              <w:jc w:val="center"/>
              <w:rPr>
                <w:rFonts w:cs="Arial"/>
                <w:szCs w:val="24"/>
                <w:highlight w:val="yellow"/>
              </w:rPr>
            </w:pPr>
            <w:r w:rsidRPr="004B4DA6">
              <w:rPr>
                <w:rFonts w:cs="Arial"/>
                <w:szCs w:val="24"/>
              </w:rPr>
              <w:t>10.40</w:t>
            </w:r>
          </w:p>
        </w:tc>
        <w:tc>
          <w:tcPr>
            <w:tcW w:w="1716" w:type="dxa"/>
          </w:tcPr>
          <w:p w:rsidR="004B4DA6" w:rsidRPr="004B4DA6" w:rsidRDefault="004B4DA6" w:rsidP="00E47405">
            <w:pPr>
              <w:pStyle w:val="BodyText"/>
              <w:jc w:val="center"/>
              <w:rPr>
                <w:rFonts w:cs="Arial"/>
                <w:szCs w:val="24"/>
                <w:highlight w:val="yellow"/>
              </w:rPr>
            </w:pPr>
            <w:r w:rsidRPr="004B4DA6">
              <w:rPr>
                <w:rFonts w:cs="Arial"/>
                <w:szCs w:val="24"/>
              </w:rPr>
              <w:t>10.80</w:t>
            </w:r>
          </w:p>
        </w:tc>
        <w:tc>
          <w:tcPr>
            <w:tcW w:w="1716" w:type="dxa"/>
          </w:tcPr>
          <w:p w:rsidR="004B4DA6" w:rsidRPr="004B4DA6" w:rsidRDefault="004B4DA6" w:rsidP="00E47405">
            <w:pPr>
              <w:pStyle w:val="BodyText"/>
              <w:jc w:val="center"/>
              <w:rPr>
                <w:rFonts w:cs="Arial"/>
                <w:szCs w:val="24"/>
                <w:highlight w:val="yellow"/>
              </w:rPr>
            </w:pPr>
            <w:r w:rsidRPr="004B4DA6">
              <w:rPr>
                <w:rFonts w:cs="Arial"/>
                <w:szCs w:val="24"/>
              </w:rPr>
              <w:t>4.30</w:t>
            </w:r>
          </w:p>
        </w:tc>
        <w:tc>
          <w:tcPr>
            <w:tcW w:w="1716" w:type="dxa"/>
          </w:tcPr>
          <w:p w:rsidR="004B4DA6" w:rsidRPr="004B4DA6" w:rsidRDefault="004B4DA6" w:rsidP="00E47405">
            <w:pPr>
              <w:pStyle w:val="BodyText"/>
              <w:jc w:val="center"/>
              <w:rPr>
                <w:rFonts w:cs="Arial"/>
                <w:szCs w:val="24"/>
              </w:rPr>
            </w:pPr>
            <w:r w:rsidRPr="004B4DA6">
              <w:rPr>
                <w:rFonts w:cs="Arial"/>
                <w:szCs w:val="24"/>
              </w:rPr>
              <w:t>4.70</w:t>
            </w:r>
          </w:p>
        </w:tc>
      </w:tr>
    </w:tbl>
    <w:p w:rsidR="00891782" w:rsidRDefault="00891782" w:rsidP="00447237">
      <w:pPr>
        <w:pStyle w:val="Heading1"/>
        <w:ind w:left="432" w:hanging="432"/>
        <w:jc w:val="right"/>
      </w:pPr>
    </w:p>
    <w:p w:rsidR="004A462B" w:rsidRDefault="004A462B" w:rsidP="004A462B">
      <w:pPr>
        <w:rPr>
          <w:lang w:eastAsia="en-GB"/>
        </w:rPr>
      </w:pPr>
    </w:p>
    <w:p w:rsidR="004A462B" w:rsidRDefault="004A462B" w:rsidP="004A462B">
      <w:pPr>
        <w:rPr>
          <w:lang w:eastAsia="en-GB"/>
        </w:rPr>
      </w:pPr>
    </w:p>
    <w:p w:rsidR="004A462B" w:rsidRDefault="004A462B" w:rsidP="004A462B">
      <w:pPr>
        <w:rPr>
          <w:lang w:eastAsia="en-GB"/>
        </w:rPr>
      </w:pPr>
    </w:p>
    <w:p w:rsidR="004A462B" w:rsidRPr="004A462B" w:rsidRDefault="004A462B" w:rsidP="004A462B">
      <w:pPr>
        <w:rPr>
          <w:lang w:eastAsia="en-GB"/>
        </w:rPr>
      </w:pPr>
    </w:p>
    <w:p w:rsidR="00891782" w:rsidRDefault="00891782" w:rsidP="00447237">
      <w:pPr>
        <w:pStyle w:val="Heading1"/>
        <w:ind w:left="432" w:hanging="432"/>
        <w:jc w:val="right"/>
      </w:pPr>
    </w:p>
    <w:p w:rsidR="00447237" w:rsidRDefault="00E47405" w:rsidP="00447237">
      <w:pPr>
        <w:pStyle w:val="Heading1"/>
        <w:ind w:left="432" w:hanging="432"/>
        <w:jc w:val="right"/>
      </w:pPr>
      <w:bookmarkStart w:id="51" w:name="_Toc131412128"/>
      <w:r>
        <w:t>Appendix 4</w:t>
      </w:r>
      <w:bookmarkEnd w:id="51"/>
      <w:r>
        <w:t xml:space="preserve"> </w:t>
      </w:r>
    </w:p>
    <w:p w:rsidR="00F55704" w:rsidRDefault="00F55704" w:rsidP="00E47405">
      <w:pPr>
        <w:pStyle w:val="Heading1"/>
        <w:ind w:left="432" w:hanging="432"/>
      </w:pPr>
    </w:p>
    <w:p w:rsidR="00E47405" w:rsidRPr="00CB6C16" w:rsidRDefault="00E47405" w:rsidP="00E47405">
      <w:pPr>
        <w:pStyle w:val="Heading1"/>
        <w:ind w:left="432" w:hanging="432"/>
        <w:rPr>
          <w:u w:val="single"/>
        </w:rPr>
      </w:pPr>
      <w:bookmarkStart w:id="52" w:name="_Toc131412129"/>
      <w:r w:rsidRPr="00CB6C16">
        <w:rPr>
          <w:u w:val="single"/>
        </w:rPr>
        <w:t>Charge Tapers</w:t>
      </w:r>
      <w:bookmarkEnd w:id="52"/>
    </w:p>
    <w:p w:rsidR="00E47405" w:rsidRDefault="00E47405" w:rsidP="00E47405">
      <w:pPr>
        <w:autoSpaceDE w:val="0"/>
        <w:autoSpaceDN w:val="0"/>
        <w:adjustRightInd w:val="0"/>
        <w:rPr>
          <w:rFonts w:cs="Arial"/>
        </w:rPr>
      </w:pPr>
    </w:p>
    <w:p w:rsidR="00424832" w:rsidRDefault="00E47405" w:rsidP="00E47405">
      <w:pPr>
        <w:pStyle w:val="BodyText"/>
      </w:pPr>
      <w:r>
        <w:t xml:space="preserve">The charge tapers will be </w:t>
      </w:r>
      <w:r w:rsidRPr="00D017FE">
        <w:t>50% (excluding personal care)</w:t>
      </w:r>
      <w:r>
        <w:t xml:space="preserve"> for all service users.</w:t>
      </w:r>
      <w:bookmarkStart w:id="53" w:name="_Appendix_3_Worked"/>
      <w:bookmarkEnd w:id="53"/>
    </w:p>
    <w:p w:rsidR="00424832" w:rsidRPr="00574336" w:rsidRDefault="00424832" w:rsidP="00E47405">
      <w:pPr>
        <w:pStyle w:val="BodyText"/>
      </w:pPr>
    </w:p>
    <w:p w:rsidR="00447237" w:rsidRDefault="00E47405" w:rsidP="00447237">
      <w:pPr>
        <w:pStyle w:val="Heading1"/>
        <w:ind w:left="432" w:hanging="432"/>
        <w:jc w:val="right"/>
      </w:pPr>
      <w:bookmarkStart w:id="54" w:name="_Toc131412130"/>
      <w:r>
        <w:t>Appendix 5</w:t>
      </w:r>
      <w:bookmarkEnd w:id="54"/>
      <w:r>
        <w:t xml:space="preserve"> </w:t>
      </w:r>
    </w:p>
    <w:p w:rsidR="00E47405" w:rsidRPr="00CB6C16" w:rsidRDefault="00447237" w:rsidP="00E47405">
      <w:pPr>
        <w:pStyle w:val="Heading1"/>
        <w:ind w:left="432" w:hanging="432"/>
        <w:rPr>
          <w:u w:val="single"/>
        </w:rPr>
      </w:pPr>
      <w:bookmarkStart w:id="55" w:name="_Toc131412131"/>
      <w:r w:rsidRPr="00CB6C16">
        <w:rPr>
          <w:u w:val="single"/>
        </w:rPr>
        <w:t>T</w:t>
      </w:r>
      <w:r w:rsidR="00E47405" w:rsidRPr="00CB6C16">
        <w:rPr>
          <w:u w:val="single"/>
        </w:rPr>
        <w:t>he maximum weekly means tested charge levied by the Council</w:t>
      </w:r>
      <w:bookmarkEnd w:id="55"/>
      <w:r w:rsidR="00E47405" w:rsidRPr="00CB6C16">
        <w:rPr>
          <w:u w:val="single"/>
        </w:rPr>
        <w:t xml:space="preserve"> </w:t>
      </w:r>
    </w:p>
    <w:p w:rsidR="00E47405" w:rsidRDefault="00E47405" w:rsidP="00E47405"/>
    <w:p w:rsidR="00344AAA" w:rsidRDefault="00E47405" w:rsidP="00825297">
      <w:r w:rsidRPr="00683AE5">
        <w:t>WDHSCP have taken the decision to apply a maximum weekly charge for means tested se</w:t>
      </w:r>
      <w:r w:rsidR="00825297">
        <w:t>rvices. This is currently £</w:t>
      </w:r>
      <w:r w:rsidR="004B4DA6">
        <w:t>78.40</w:t>
      </w:r>
      <w:r w:rsidRPr="00683AE5">
        <w:t xml:space="preserve"> per week. Fixed flat rate charges will be over and above this charge, however, the Financial Assessment will take account of any fixed charges as an outgoing expenditure.</w:t>
      </w:r>
    </w:p>
    <w:p w:rsidR="00E47405" w:rsidRDefault="00E47405" w:rsidP="00E47405">
      <w:pPr>
        <w:pStyle w:val="BodyText"/>
        <w:ind w:left="432"/>
      </w:pPr>
    </w:p>
    <w:p w:rsidR="00447237" w:rsidRDefault="00447237" w:rsidP="00E47405">
      <w:pPr>
        <w:pStyle w:val="BodyText"/>
        <w:ind w:left="432"/>
      </w:pPr>
    </w:p>
    <w:p w:rsidR="00447237" w:rsidRDefault="00447237" w:rsidP="00E47405">
      <w:pPr>
        <w:pStyle w:val="BodyText"/>
        <w:ind w:left="432"/>
      </w:pPr>
    </w:p>
    <w:p w:rsidR="00447237" w:rsidRDefault="00447237" w:rsidP="00E47405">
      <w:pPr>
        <w:pStyle w:val="BodyText"/>
        <w:ind w:left="432"/>
      </w:pPr>
    </w:p>
    <w:p w:rsidR="00447237" w:rsidRDefault="00447237" w:rsidP="00E47405">
      <w:pPr>
        <w:pStyle w:val="BodyText"/>
        <w:ind w:left="432"/>
      </w:pPr>
    </w:p>
    <w:p w:rsidR="00447237" w:rsidRDefault="00447237" w:rsidP="00E47405">
      <w:pPr>
        <w:pStyle w:val="BodyText"/>
        <w:ind w:left="432"/>
      </w:pPr>
    </w:p>
    <w:p w:rsidR="00447237" w:rsidRDefault="00447237" w:rsidP="00E47405">
      <w:pPr>
        <w:pStyle w:val="BodyText"/>
        <w:ind w:left="432"/>
      </w:pPr>
    </w:p>
    <w:p w:rsidR="00447237" w:rsidRDefault="00447237" w:rsidP="00E47405">
      <w:pPr>
        <w:pStyle w:val="BodyText"/>
        <w:ind w:left="432"/>
      </w:pPr>
    </w:p>
    <w:p w:rsidR="00447237" w:rsidRDefault="00447237" w:rsidP="00E47405">
      <w:pPr>
        <w:pStyle w:val="BodyText"/>
        <w:ind w:left="432"/>
      </w:pPr>
    </w:p>
    <w:p w:rsidR="00447237" w:rsidRDefault="00447237" w:rsidP="00E47405">
      <w:pPr>
        <w:pStyle w:val="BodyText"/>
        <w:ind w:left="432"/>
      </w:pPr>
    </w:p>
    <w:p w:rsidR="00447237" w:rsidRDefault="00447237" w:rsidP="00E47405">
      <w:pPr>
        <w:pStyle w:val="BodyText"/>
        <w:ind w:left="432"/>
      </w:pPr>
    </w:p>
    <w:p w:rsidR="00447237" w:rsidRDefault="00447237" w:rsidP="00E47405">
      <w:pPr>
        <w:pStyle w:val="BodyText"/>
        <w:ind w:left="432"/>
      </w:pPr>
    </w:p>
    <w:p w:rsidR="00447237" w:rsidRDefault="00447237" w:rsidP="00E47405">
      <w:pPr>
        <w:pStyle w:val="BodyText"/>
        <w:ind w:left="432"/>
      </w:pPr>
    </w:p>
    <w:p w:rsidR="00447237" w:rsidRDefault="00447237" w:rsidP="00E47405">
      <w:pPr>
        <w:pStyle w:val="BodyText"/>
        <w:ind w:left="432"/>
      </w:pPr>
    </w:p>
    <w:p w:rsidR="00447237" w:rsidRDefault="00447237" w:rsidP="00E47405">
      <w:pPr>
        <w:pStyle w:val="BodyText"/>
        <w:ind w:left="432"/>
      </w:pPr>
    </w:p>
    <w:p w:rsidR="000B5C95" w:rsidRDefault="000B5C95" w:rsidP="00E47405">
      <w:pPr>
        <w:pStyle w:val="BodyText"/>
        <w:ind w:left="432"/>
      </w:pPr>
    </w:p>
    <w:p w:rsidR="000B5C95" w:rsidRDefault="000B5C95" w:rsidP="00E47405">
      <w:pPr>
        <w:pStyle w:val="BodyText"/>
        <w:ind w:left="432"/>
      </w:pPr>
    </w:p>
    <w:p w:rsidR="000B5C95" w:rsidRDefault="000B5C95" w:rsidP="00E47405">
      <w:pPr>
        <w:pStyle w:val="BodyText"/>
        <w:ind w:left="432"/>
      </w:pPr>
    </w:p>
    <w:p w:rsidR="000B5C95" w:rsidRDefault="000B5C95" w:rsidP="00E47405">
      <w:pPr>
        <w:pStyle w:val="BodyText"/>
        <w:ind w:left="432"/>
      </w:pPr>
    </w:p>
    <w:p w:rsidR="002B49F7" w:rsidRDefault="002B49F7" w:rsidP="00E47405">
      <w:pPr>
        <w:pStyle w:val="BodyText"/>
        <w:ind w:left="432"/>
      </w:pPr>
    </w:p>
    <w:p w:rsidR="000B5C95" w:rsidRDefault="000B5C95" w:rsidP="00E47405">
      <w:pPr>
        <w:pStyle w:val="BodyText"/>
        <w:ind w:left="432"/>
      </w:pPr>
    </w:p>
    <w:p w:rsidR="00447237" w:rsidRDefault="00447237" w:rsidP="00424832">
      <w:pPr>
        <w:pStyle w:val="BodyText"/>
      </w:pPr>
    </w:p>
    <w:p w:rsidR="004B4DA6" w:rsidRPr="00281B50" w:rsidRDefault="004B4DA6" w:rsidP="00424832">
      <w:pPr>
        <w:pStyle w:val="BodyText"/>
      </w:pPr>
    </w:p>
    <w:p w:rsidR="00447237" w:rsidRDefault="00E47405" w:rsidP="00447237">
      <w:pPr>
        <w:pStyle w:val="Heading1"/>
        <w:ind w:left="432" w:hanging="432"/>
        <w:jc w:val="right"/>
      </w:pPr>
      <w:bookmarkStart w:id="56" w:name="_Appendix_7_Worked"/>
      <w:bookmarkStart w:id="57" w:name="_Appendix_6"/>
      <w:bookmarkStart w:id="58" w:name="_Toc131412132"/>
      <w:bookmarkEnd w:id="56"/>
      <w:bookmarkEnd w:id="57"/>
      <w:r w:rsidRPr="00574336">
        <w:lastRenderedPageBreak/>
        <w:t>Append</w:t>
      </w:r>
      <w:r w:rsidR="00825297">
        <w:t>ix 6</w:t>
      </w:r>
      <w:bookmarkEnd w:id="58"/>
      <w:r w:rsidRPr="00574336">
        <w:t xml:space="preserve"> </w:t>
      </w:r>
    </w:p>
    <w:p w:rsidR="00E47405" w:rsidRPr="00CB6C16" w:rsidRDefault="00E47405" w:rsidP="00E47405">
      <w:pPr>
        <w:pStyle w:val="Heading1"/>
        <w:ind w:left="432" w:hanging="432"/>
        <w:rPr>
          <w:i/>
          <w:u w:val="single"/>
        </w:rPr>
      </w:pPr>
      <w:bookmarkStart w:id="59" w:name="_Toc131412133"/>
      <w:r w:rsidRPr="00CB6C16">
        <w:rPr>
          <w:u w:val="single"/>
        </w:rPr>
        <w:t>Worked Examples to explain how charges are calculated</w:t>
      </w:r>
      <w:bookmarkEnd w:id="59"/>
      <w:r w:rsidRPr="00CB6C16">
        <w:rPr>
          <w:u w:val="single"/>
        </w:rPr>
        <w:t xml:space="preserve"> </w:t>
      </w:r>
    </w:p>
    <w:p w:rsidR="005718B5" w:rsidRPr="005718B5" w:rsidRDefault="005718B5" w:rsidP="005718B5">
      <w:pPr>
        <w:rPr>
          <w:lang w:eastAsia="en-GB"/>
        </w:rPr>
      </w:pPr>
    </w:p>
    <w:p w:rsidR="00E47405" w:rsidRPr="00CC57F7" w:rsidRDefault="00E47405" w:rsidP="00E47405">
      <w:pPr>
        <w:pStyle w:val="Heading1"/>
        <w:ind w:left="432" w:hanging="432"/>
      </w:pPr>
      <w:bookmarkStart w:id="60" w:name="_Toc131412134"/>
      <w:r w:rsidRPr="00CC57F7">
        <w:t>Example 1</w:t>
      </w:r>
      <w:bookmarkEnd w:id="60"/>
    </w:p>
    <w:p w:rsidR="00E47405" w:rsidRDefault="00E47405" w:rsidP="00E47405">
      <w:pPr>
        <w:pStyle w:val="BodyText"/>
      </w:pPr>
    </w:p>
    <w:p w:rsidR="00E47405" w:rsidRPr="00165B21" w:rsidRDefault="00E47405" w:rsidP="00E47405">
      <w:pPr>
        <w:pStyle w:val="BodyText"/>
        <w:jc w:val="both"/>
      </w:pPr>
      <w:r w:rsidRPr="00165B21">
        <w:t>A 90-year-old woman lives in a l</w:t>
      </w:r>
      <w:r>
        <w:t>ocal authority house with full Council T</w:t>
      </w:r>
      <w:r w:rsidRPr="00165B21">
        <w:t>ax and Housing Benefit, receiving 9.25 hours of personal care and 1.</w:t>
      </w:r>
      <w:r>
        <w:t xml:space="preserve">5 hours domestic care per week.  </w:t>
      </w:r>
      <w:r w:rsidRPr="00165B21">
        <w:t xml:space="preserve">None of these services </w:t>
      </w:r>
      <w:r>
        <w:t xml:space="preserve">is provided overnight.  </w:t>
      </w:r>
    </w:p>
    <w:p w:rsidR="00E47405" w:rsidRPr="00165B21" w:rsidRDefault="00E47405" w:rsidP="00E47405">
      <w:pPr>
        <w:pStyle w:val="BodyText"/>
        <w:jc w:val="both"/>
      </w:pPr>
    </w:p>
    <w:p w:rsidR="00E47405" w:rsidRPr="00165B21" w:rsidRDefault="00E47405" w:rsidP="00E47405">
      <w:pPr>
        <w:pStyle w:val="BodyText"/>
        <w:jc w:val="both"/>
      </w:pPr>
      <w:r w:rsidRPr="00165B21">
        <w:t>Her weekly income is £</w:t>
      </w:r>
      <w:r w:rsidR="004B4DA6">
        <w:rPr>
          <w:bCs/>
          <w:lang w:eastAsia="en-GB"/>
        </w:rPr>
        <w:t>317.1</w:t>
      </w:r>
      <w:r>
        <w:rPr>
          <w:bCs/>
          <w:lang w:eastAsia="en-GB"/>
        </w:rPr>
        <w:t>0</w:t>
      </w:r>
      <w:r w:rsidRPr="00165B21">
        <w:rPr>
          <w:bCs/>
          <w:lang w:eastAsia="en-GB"/>
        </w:rPr>
        <w:t xml:space="preserve">. </w:t>
      </w:r>
      <w:r w:rsidRPr="00165B21">
        <w:t>The total cost of her chargeable services is £2</w:t>
      </w:r>
      <w:r w:rsidR="00D82AFC">
        <w:t>5</w:t>
      </w:r>
      <w:r w:rsidRPr="00165B21">
        <w:t>.7</w:t>
      </w:r>
      <w:r w:rsidR="00D82AFC">
        <w:t>3</w:t>
      </w:r>
      <w:r w:rsidRPr="00165B21">
        <w:t>.</w:t>
      </w:r>
      <w:r>
        <w:t xml:space="preserve">  This charge does not include personal care, as personal care is a free service.</w:t>
      </w:r>
    </w:p>
    <w:p w:rsidR="00E47405" w:rsidRPr="00E91AB5" w:rsidRDefault="00E47405" w:rsidP="00E47405">
      <w:pPr>
        <w:pStyle w:val="BodyText"/>
        <w:jc w:val="both"/>
        <w:rPr>
          <w:u w:val="single"/>
        </w:rPr>
      </w:pPr>
      <w:r w:rsidRPr="00165B21">
        <w:t>The charge applied to this service user will be £</w:t>
      </w:r>
      <w:r>
        <w:t>25.73</w:t>
      </w:r>
      <w:r w:rsidRPr="00165B21">
        <w:t xml:space="preserve"> per week, being the lower of the actual cost of provision and the tapered available income</w:t>
      </w:r>
      <w:r>
        <w:rPr>
          <w:u w:val="single"/>
        </w:rPr>
        <w:t>.</w:t>
      </w:r>
    </w:p>
    <w:p w:rsidR="00E47405" w:rsidRDefault="00E47405" w:rsidP="00E47405">
      <w:pPr>
        <w:pStyle w:val="Heading1"/>
        <w:ind w:left="432" w:hanging="432"/>
      </w:pPr>
      <w:bookmarkStart w:id="61" w:name="_Toc131412135"/>
      <w:r>
        <w:t>E</w:t>
      </w:r>
      <w:r w:rsidRPr="00574336">
        <w:t>xample 2</w:t>
      </w:r>
      <w:bookmarkEnd w:id="61"/>
    </w:p>
    <w:p w:rsidR="00E47405" w:rsidRPr="00CC57F7" w:rsidRDefault="00E47405" w:rsidP="00E47405"/>
    <w:p w:rsidR="00E47405" w:rsidRPr="00165B21" w:rsidRDefault="00E47405" w:rsidP="00E47405">
      <w:pPr>
        <w:pStyle w:val="BodyText"/>
        <w:jc w:val="both"/>
      </w:pPr>
      <w:r w:rsidRPr="00165B21">
        <w:t>Mr and Mrs A (aged 55 and 57) live in rented accommodation. They rece</w:t>
      </w:r>
      <w:r>
        <w:t xml:space="preserve">ive 14 </w:t>
      </w:r>
      <w:r w:rsidRPr="00165B21">
        <w:t xml:space="preserve">hours of </w:t>
      </w:r>
      <w:r w:rsidR="0009690F">
        <w:t>housing support</w:t>
      </w:r>
      <w:r w:rsidRPr="00165B21">
        <w:t xml:space="preserve">, </w:t>
      </w:r>
      <w:r w:rsidR="00B46097">
        <w:t xml:space="preserve">3 hours of </w:t>
      </w:r>
      <w:r w:rsidR="0009690F">
        <w:t>personal care</w:t>
      </w:r>
      <w:r w:rsidR="00B46097">
        <w:t xml:space="preserve"> and</w:t>
      </w:r>
      <w:r>
        <w:t xml:space="preserve"> 2 hours of </w:t>
      </w:r>
      <w:r w:rsidR="0081511F">
        <w:t>social support in the community</w:t>
      </w:r>
      <w:r>
        <w:t xml:space="preserve">.  </w:t>
      </w:r>
      <w:r w:rsidRPr="00165B21">
        <w:t>Their income is £</w:t>
      </w:r>
      <w:r w:rsidR="004A462B">
        <w:rPr>
          <w:bCs/>
          <w:lang w:eastAsia="en-GB"/>
        </w:rPr>
        <w:t>498.30</w:t>
      </w:r>
      <w:r w:rsidRPr="00165B21">
        <w:t>. They also receive full housing and council tax benefit.</w:t>
      </w:r>
    </w:p>
    <w:p w:rsidR="00E47405" w:rsidRPr="00165B21" w:rsidRDefault="00E47405" w:rsidP="00E47405">
      <w:pPr>
        <w:pStyle w:val="BodyText"/>
        <w:jc w:val="both"/>
      </w:pPr>
    </w:p>
    <w:p w:rsidR="00E47405" w:rsidRPr="0084544D" w:rsidRDefault="00E47405" w:rsidP="00E47405">
      <w:pPr>
        <w:pStyle w:val="BodyText"/>
        <w:jc w:val="both"/>
      </w:pPr>
      <w:r w:rsidRPr="00165B21">
        <w:t>The total cost of their chargeable services is £</w:t>
      </w:r>
      <w:r>
        <w:t xml:space="preserve">274.40.  This charge does not include personal care, as personal care is a free service.  Their financial assessments </w:t>
      </w:r>
      <w:r w:rsidRPr="00165B21">
        <w:t>indicated that they could afford to pay £</w:t>
      </w:r>
      <w:r w:rsidR="00435E19">
        <w:t>104.30</w:t>
      </w:r>
      <w:r w:rsidRPr="00165B21">
        <w:t xml:space="preserve"> per</w:t>
      </w:r>
      <w:r>
        <w:t xml:space="preserve"> week towards the cost of their </w:t>
      </w:r>
      <w:r w:rsidRPr="00165B21">
        <w:t xml:space="preserve">care. In this example, the service users will pay </w:t>
      </w:r>
      <w:r w:rsidR="00435E19">
        <w:t>£52.15</w:t>
      </w:r>
      <w:r w:rsidR="006E6B60">
        <w:t xml:space="preserve"> </w:t>
      </w:r>
      <w:r w:rsidRPr="00165B21">
        <w:t>per week.</w:t>
      </w:r>
    </w:p>
    <w:p w:rsidR="00E47405" w:rsidRDefault="00E47405" w:rsidP="00E47405">
      <w:pPr>
        <w:pStyle w:val="Heading1"/>
        <w:ind w:left="432" w:hanging="432"/>
      </w:pPr>
      <w:bookmarkStart w:id="62" w:name="_Toc131412136"/>
      <w:r w:rsidRPr="00574336">
        <w:t>Example 3</w:t>
      </w:r>
      <w:bookmarkEnd w:id="62"/>
    </w:p>
    <w:p w:rsidR="00E47405" w:rsidRPr="00CC57F7" w:rsidRDefault="00E47405" w:rsidP="00E47405"/>
    <w:p w:rsidR="00E47405" w:rsidRPr="00683AE5" w:rsidRDefault="00E47405" w:rsidP="00E47405">
      <w:pPr>
        <w:autoSpaceDE w:val="0"/>
        <w:autoSpaceDN w:val="0"/>
        <w:adjustRightInd w:val="0"/>
        <w:jc w:val="both"/>
      </w:pPr>
      <w:r w:rsidRPr="00683AE5">
        <w:t xml:space="preserve">A 30-year-old man with learning disabilities lives in a local authority house. He receives 5 hours personal care, 6 hours of domestic care, </w:t>
      </w:r>
      <w:r w:rsidR="003C11E5">
        <w:t xml:space="preserve">6 hours social support </w:t>
      </w:r>
      <w:r w:rsidRPr="00683AE5">
        <w:t>and 2</w:t>
      </w:r>
      <w:r w:rsidR="003C11E5">
        <w:t>0</w:t>
      </w:r>
      <w:r w:rsidRPr="00683AE5">
        <w:t xml:space="preserve"> hours housing support per week, which costs £634.55.</w:t>
      </w:r>
    </w:p>
    <w:p w:rsidR="00E47405" w:rsidRPr="00683AE5" w:rsidRDefault="00E47405" w:rsidP="00E47405">
      <w:pPr>
        <w:autoSpaceDE w:val="0"/>
        <w:autoSpaceDN w:val="0"/>
        <w:adjustRightInd w:val="0"/>
        <w:jc w:val="both"/>
      </w:pPr>
    </w:p>
    <w:p w:rsidR="00E47405" w:rsidRPr="00683AE5" w:rsidRDefault="00E47405" w:rsidP="00E47405">
      <w:pPr>
        <w:autoSpaceDE w:val="0"/>
        <w:autoSpaceDN w:val="0"/>
        <w:adjustRightInd w:val="0"/>
        <w:jc w:val="both"/>
      </w:pPr>
      <w:r w:rsidRPr="00683AE5">
        <w:t>He receives Personal Independence Payment of £</w:t>
      </w:r>
      <w:r w:rsidR="006E6B60">
        <w:t>159.17</w:t>
      </w:r>
      <w:r w:rsidRPr="00683AE5">
        <w:t xml:space="preserve">.  He also earns £65 a week from a part time job however qualifies for the higher earnings disregard of £20 because he </w:t>
      </w:r>
      <w:r w:rsidR="00435E19">
        <w:t>is in receipt of DLA component.</w:t>
      </w:r>
    </w:p>
    <w:p w:rsidR="00E47405" w:rsidRPr="00683AE5" w:rsidRDefault="00E47405" w:rsidP="00E47405">
      <w:pPr>
        <w:autoSpaceDE w:val="0"/>
        <w:autoSpaceDN w:val="0"/>
        <w:adjustRightInd w:val="0"/>
        <w:jc w:val="both"/>
      </w:pPr>
    </w:p>
    <w:p w:rsidR="00683AE5" w:rsidRDefault="00E47405" w:rsidP="00406461">
      <w:pPr>
        <w:pStyle w:val="BodyText"/>
        <w:jc w:val="both"/>
      </w:pPr>
      <w:r w:rsidRPr="00683AE5">
        <w:t>His financi</w:t>
      </w:r>
      <w:r w:rsidR="003C11E5">
        <w:t>al assessment indicated that his income was below the charging threshold and no charge would be levied.</w:t>
      </w:r>
    </w:p>
    <w:p w:rsidR="003C11E5" w:rsidRDefault="003C11E5" w:rsidP="00406461">
      <w:pPr>
        <w:pStyle w:val="BodyText"/>
        <w:jc w:val="both"/>
      </w:pPr>
    </w:p>
    <w:p w:rsidR="00447237" w:rsidRDefault="00447237" w:rsidP="00447237"/>
    <w:p w:rsidR="00CA0D49" w:rsidRDefault="00CA0D49" w:rsidP="00447237">
      <w:pPr>
        <w:rPr>
          <w:lang w:eastAsia="en-GB"/>
        </w:rPr>
      </w:pPr>
    </w:p>
    <w:p w:rsidR="004A462B" w:rsidRDefault="004A462B" w:rsidP="00447237">
      <w:pPr>
        <w:rPr>
          <w:lang w:eastAsia="en-GB"/>
        </w:rPr>
      </w:pPr>
    </w:p>
    <w:p w:rsidR="00435E19" w:rsidRDefault="00435E19" w:rsidP="00447237">
      <w:pPr>
        <w:rPr>
          <w:lang w:eastAsia="en-GB"/>
        </w:rPr>
      </w:pPr>
    </w:p>
    <w:p w:rsidR="00447237" w:rsidRDefault="00447237" w:rsidP="00447237">
      <w:pPr>
        <w:rPr>
          <w:lang w:eastAsia="en-GB"/>
        </w:rPr>
      </w:pPr>
    </w:p>
    <w:p w:rsidR="00447237" w:rsidRDefault="00447237" w:rsidP="00447237">
      <w:pPr>
        <w:rPr>
          <w:lang w:eastAsia="en-GB"/>
        </w:rPr>
      </w:pPr>
    </w:p>
    <w:p w:rsidR="00447237" w:rsidRPr="00447237" w:rsidRDefault="00447237" w:rsidP="00447237">
      <w:pPr>
        <w:rPr>
          <w:lang w:eastAsia="en-GB"/>
        </w:rPr>
      </w:pPr>
    </w:p>
    <w:p w:rsidR="00447237" w:rsidRDefault="00394461" w:rsidP="00447237">
      <w:pPr>
        <w:pStyle w:val="Heading1"/>
        <w:ind w:left="432" w:hanging="432"/>
        <w:jc w:val="right"/>
        <w:rPr>
          <w:rFonts w:cs="Arial"/>
          <w:szCs w:val="24"/>
        </w:rPr>
      </w:pPr>
      <w:bookmarkStart w:id="63" w:name="_Toc131412137"/>
      <w:r w:rsidRPr="00406461">
        <w:rPr>
          <w:rFonts w:cs="Arial"/>
          <w:szCs w:val="24"/>
        </w:rPr>
        <w:lastRenderedPageBreak/>
        <w:t>Appendix 7</w:t>
      </w:r>
      <w:bookmarkEnd w:id="63"/>
      <w:r w:rsidR="00E47405" w:rsidRPr="00406461">
        <w:rPr>
          <w:rFonts w:cs="Arial"/>
          <w:szCs w:val="24"/>
        </w:rPr>
        <w:t xml:space="preserve"> </w:t>
      </w:r>
    </w:p>
    <w:p w:rsidR="00665FA2" w:rsidRPr="00665FA2" w:rsidRDefault="00665FA2" w:rsidP="00665FA2">
      <w:pPr>
        <w:rPr>
          <w:lang w:eastAsia="en-GB"/>
        </w:rPr>
      </w:pPr>
    </w:p>
    <w:p w:rsidR="00E47405" w:rsidRPr="00CB6C16" w:rsidRDefault="00665FA2" w:rsidP="00516896">
      <w:pPr>
        <w:pStyle w:val="Heading1"/>
        <w:ind w:left="432" w:hanging="432"/>
        <w:rPr>
          <w:rFonts w:cs="Arial"/>
          <w:szCs w:val="24"/>
          <w:u w:val="single"/>
        </w:rPr>
      </w:pPr>
      <w:bookmarkStart w:id="64" w:name="_Toc131412138"/>
      <w:r w:rsidRPr="00CB6C16">
        <w:rPr>
          <w:rFonts w:cs="Arial"/>
          <w:szCs w:val="24"/>
          <w:u w:val="single"/>
        </w:rPr>
        <w:t>Worked Examples of Non-Residential Social Care Service</w:t>
      </w:r>
      <w:r w:rsidR="00E47405" w:rsidRPr="00CB6C16">
        <w:rPr>
          <w:rFonts w:cs="Arial"/>
          <w:szCs w:val="24"/>
          <w:u w:val="single"/>
        </w:rPr>
        <w:t xml:space="preserve"> Charges </w:t>
      </w:r>
      <w:r w:rsidR="004A462B">
        <w:rPr>
          <w:rFonts w:cs="Arial"/>
          <w:szCs w:val="24"/>
          <w:u w:val="single"/>
        </w:rPr>
        <w:t>2022/2023</w:t>
      </w:r>
      <w:bookmarkEnd w:id="64"/>
    </w:p>
    <w:p w:rsidR="00E47405" w:rsidRPr="00406461" w:rsidRDefault="00E47405" w:rsidP="00E47405">
      <w:pPr>
        <w:autoSpaceDE w:val="0"/>
        <w:autoSpaceDN w:val="0"/>
        <w:adjustRightInd w:val="0"/>
        <w:rPr>
          <w:rFonts w:eastAsia="Calibri" w:cs="Arial"/>
          <w:sz w:val="22"/>
          <w:szCs w:val="22"/>
        </w:rPr>
      </w:pPr>
    </w:p>
    <w:tbl>
      <w:tblPr>
        <w:tblW w:w="8946" w:type="dxa"/>
        <w:tblInd w:w="93" w:type="dxa"/>
        <w:tblLook w:val="00A0" w:firstRow="1" w:lastRow="0" w:firstColumn="1" w:lastColumn="0" w:noHBand="0" w:noVBand="0"/>
      </w:tblPr>
      <w:tblGrid>
        <w:gridCol w:w="2940"/>
        <w:gridCol w:w="2178"/>
        <w:gridCol w:w="1985"/>
        <w:gridCol w:w="1843"/>
      </w:tblGrid>
      <w:tr w:rsidR="00E47405" w:rsidRPr="00406461" w:rsidTr="00E47405">
        <w:trPr>
          <w:trHeight w:val="315"/>
        </w:trPr>
        <w:tc>
          <w:tcPr>
            <w:tcW w:w="2940" w:type="dxa"/>
            <w:tcBorders>
              <w:top w:val="single" w:sz="4" w:space="0" w:color="auto"/>
              <w:left w:val="single" w:sz="4" w:space="0" w:color="auto"/>
              <w:bottom w:val="single" w:sz="4" w:space="0" w:color="auto"/>
              <w:right w:val="single" w:sz="4" w:space="0" w:color="auto"/>
            </w:tcBorders>
            <w:shd w:val="clear" w:color="auto" w:fill="000000" w:themeFill="text1"/>
          </w:tcPr>
          <w:p w:rsidR="00E47405" w:rsidRPr="00406461" w:rsidRDefault="00E47405" w:rsidP="00E47405">
            <w:pPr>
              <w:jc w:val="center"/>
              <w:rPr>
                <w:rFonts w:eastAsia="Calibri" w:cs="Arial"/>
                <w:b/>
                <w:bCs/>
                <w:color w:val="FFFFFF" w:themeColor="background1"/>
                <w:sz w:val="22"/>
                <w:szCs w:val="22"/>
                <w:lang w:eastAsia="en-GB"/>
              </w:rPr>
            </w:pPr>
            <w:r w:rsidRPr="00406461">
              <w:rPr>
                <w:rFonts w:eastAsia="Calibri" w:cs="Arial"/>
                <w:b/>
                <w:bCs/>
                <w:color w:val="FFFFFF" w:themeColor="background1"/>
                <w:sz w:val="22"/>
                <w:szCs w:val="22"/>
                <w:lang w:eastAsia="en-GB"/>
              </w:rPr>
              <w:t>Description</w:t>
            </w:r>
          </w:p>
        </w:tc>
        <w:tc>
          <w:tcPr>
            <w:tcW w:w="2178" w:type="dxa"/>
            <w:tcBorders>
              <w:top w:val="single" w:sz="4" w:space="0" w:color="auto"/>
              <w:left w:val="nil"/>
              <w:bottom w:val="single" w:sz="4" w:space="0" w:color="auto"/>
              <w:right w:val="single" w:sz="4" w:space="0" w:color="auto"/>
            </w:tcBorders>
            <w:shd w:val="clear" w:color="auto" w:fill="000000" w:themeFill="text1"/>
          </w:tcPr>
          <w:p w:rsidR="00E47405" w:rsidRPr="00406461" w:rsidRDefault="00E47405" w:rsidP="00E47405">
            <w:pPr>
              <w:jc w:val="center"/>
              <w:rPr>
                <w:rFonts w:eastAsia="Calibri" w:cs="Arial"/>
                <w:b/>
                <w:bCs/>
                <w:color w:val="FFFFFF" w:themeColor="background1"/>
                <w:sz w:val="22"/>
                <w:szCs w:val="22"/>
                <w:lang w:eastAsia="en-GB"/>
              </w:rPr>
            </w:pPr>
            <w:r w:rsidRPr="00406461">
              <w:rPr>
                <w:rFonts w:eastAsia="Calibri" w:cs="Arial"/>
                <w:b/>
                <w:bCs/>
                <w:color w:val="FFFFFF" w:themeColor="background1"/>
                <w:sz w:val="22"/>
                <w:szCs w:val="22"/>
                <w:lang w:eastAsia="en-GB"/>
              </w:rPr>
              <w:t>Example 1</w:t>
            </w:r>
          </w:p>
        </w:tc>
        <w:tc>
          <w:tcPr>
            <w:tcW w:w="1985" w:type="dxa"/>
            <w:tcBorders>
              <w:top w:val="single" w:sz="4" w:space="0" w:color="auto"/>
              <w:left w:val="nil"/>
              <w:bottom w:val="single" w:sz="4" w:space="0" w:color="auto"/>
              <w:right w:val="single" w:sz="4" w:space="0" w:color="auto"/>
            </w:tcBorders>
            <w:shd w:val="clear" w:color="auto" w:fill="000000" w:themeFill="text1"/>
          </w:tcPr>
          <w:p w:rsidR="00E47405" w:rsidRPr="00406461" w:rsidRDefault="00E47405" w:rsidP="00E47405">
            <w:pPr>
              <w:jc w:val="center"/>
              <w:rPr>
                <w:rFonts w:eastAsia="Calibri" w:cs="Arial"/>
                <w:b/>
                <w:bCs/>
                <w:color w:val="FFFFFF" w:themeColor="background1"/>
                <w:sz w:val="22"/>
                <w:szCs w:val="22"/>
                <w:lang w:eastAsia="en-GB"/>
              </w:rPr>
            </w:pPr>
            <w:r w:rsidRPr="00406461">
              <w:rPr>
                <w:rFonts w:eastAsia="Calibri" w:cs="Arial"/>
                <w:b/>
                <w:bCs/>
                <w:color w:val="FFFFFF" w:themeColor="background1"/>
                <w:sz w:val="22"/>
                <w:szCs w:val="22"/>
                <w:lang w:eastAsia="en-GB"/>
              </w:rPr>
              <w:t>Example 2</w:t>
            </w:r>
          </w:p>
        </w:tc>
        <w:tc>
          <w:tcPr>
            <w:tcW w:w="1843" w:type="dxa"/>
            <w:tcBorders>
              <w:top w:val="single" w:sz="4" w:space="0" w:color="auto"/>
              <w:left w:val="nil"/>
              <w:bottom w:val="single" w:sz="4" w:space="0" w:color="auto"/>
              <w:right w:val="single" w:sz="4" w:space="0" w:color="auto"/>
            </w:tcBorders>
            <w:shd w:val="clear" w:color="auto" w:fill="000000" w:themeFill="text1"/>
          </w:tcPr>
          <w:p w:rsidR="00E47405" w:rsidRPr="00406461" w:rsidRDefault="00E47405" w:rsidP="00E47405">
            <w:pPr>
              <w:jc w:val="center"/>
              <w:rPr>
                <w:rFonts w:eastAsia="Calibri" w:cs="Arial"/>
                <w:b/>
                <w:bCs/>
                <w:color w:val="FFFFFF" w:themeColor="background1"/>
                <w:sz w:val="22"/>
                <w:szCs w:val="22"/>
                <w:lang w:eastAsia="en-GB"/>
              </w:rPr>
            </w:pPr>
            <w:r w:rsidRPr="00406461">
              <w:rPr>
                <w:rFonts w:eastAsia="Calibri" w:cs="Arial"/>
                <w:b/>
                <w:bCs/>
                <w:color w:val="FFFFFF" w:themeColor="background1"/>
                <w:sz w:val="22"/>
                <w:szCs w:val="22"/>
                <w:lang w:eastAsia="en-GB"/>
              </w:rPr>
              <w:t>Example 3</w:t>
            </w:r>
          </w:p>
        </w:tc>
      </w:tr>
      <w:tr w:rsidR="00E47405" w:rsidRPr="00406461" w:rsidTr="00E47405">
        <w:trPr>
          <w:trHeight w:val="300"/>
        </w:trPr>
        <w:tc>
          <w:tcPr>
            <w:tcW w:w="2940" w:type="dxa"/>
            <w:tcBorders>
              <w:top w:val="nil"/>
              <w:left w:val="single" w:sz="4" w:space="0" w:color="auto"/>
              <w:bottom w:val="single" w:sz="4" w:space="0" w:color="auto"/>
              <w:right w:val="single" w:sz="4" w:space="0" w:color="auto"/>
            </w:tcBorders>
          </w:tcPr>
          <w:p w:rsidR="00E47405" w:rsidRPr="00406461" w:rsidRDefault="00E47405" w:rsidP="00E47405">
            <w:pPr>
              <w:pStyle w:val="BodyText"/>
              <w:jc w:val="center"/>
              <w:rPr>
                <w:rFonts w:cs="Arial"/>
                <w:sz w:val="22"/>
                <w:szCs w:val="22"/>
                <w:lang w:eastAsia="en-GB"/>
              </w:rPr>
            </w:pPr>
            <w:r w:rsidRPr="00406461">
              <w:rPr>
                <w:rFonts w:cs="Arial"/>
                <w:sz w:val="22"/>
                <w:szCs w:val="22"/>
                <w:lang w:eastAsia="en-GB"/>
              </w:rPr>
              <w:t>Service Cost:</w:t>
            </w:r>
          </w:p>
        </w:tc>
        <w:tc>
          <w:tcPr>
            <w:tcW w:w="2178" w:type="dxa"/>
            <w:tcBorders>
              <w:top w:val="nil"/>
              <w:left w:val="nil"/>
              <w:bottom w:val="single" w:sz="4" w:space="0" w:color="auto"/>
              <w:right w:val="single" w:sz="4" w:space="0" w:color="auto"/>
            </w:tcBorders>
          </w:tcPr>
          <w:p w:rsidR="00E47405" w:rsidRPr="00406461" w:rsidRDefault="00E47405" w:rsidP="00E47405">
            <w:pPr>
              <w:pStyle w:val="BodyText"/>
              <w:jc w:val="center"/>
              <w:rPr>
                <w:rFonts w:cs="Arial"/>
                <w:sz w:val="22"/>
                <w:szCs w:val="22"/>
                <w:lang w:eastAsia="en-GB"/>
              </w:rPr>
            </w:pPr>
            <w:r w:rsidRPr="00406461">
              <w:rPr>
                <w:rFonts w:cs="Arial"/>
                <w:sz w:val="22"/>
                <w:szCs w:val="22"/>
                <w:lang w:eastAsia="en-GB"/>
              </w:rPr>
              <w:t>£184.36</w:t>
            </w:r>
          </w:p>
        </w:tc>
        <w:tc>
          <w:tcPr>
            <w:tcW w:w="1985" w:type="dxa"/>
            <w:tcBorders>
              <w:top w:val="nil"/>
              <w:left w:val="nil"/>
              <w:bottom w:val="single" w:sz="4" w:space="0" w:color="auto"/>
              <w:right w:val="single" w:sz="4" w:space="0" w:color="auto"/>
            </w:tcBorders>
          </w:tcPr>
          <w:p w:rsidR="00E47405" w:rsidRPr="00406461" w:rsidRDefault="00E47405" w:rsidP="002E121A">
            <w:pPr>
              <w:pStyle w:val="BodyText"/>
              <w:jc w:val="center"/>
              <w:rPr>
                <w:rFonts w:cs="Arial"/>
                <w:sz w:val="22"/>
                <w:szCs w:val="22"/>
                <w:lang w:eastAsia="en-GB"/>
              </w:rPr>
            </w:pPr>
            <w:r w:rsidRPr="00406461">
              <w:rPr>
                <w:rFonts w:cs="Arial"/>
                <w:sz w:val="22"/>
                <w:szCs w:val="22"/>
                <w:lang w:eastAsia="en-GB"/>
              </w:rPr>
              <w:t>£</w:t>
            </w:r>
            <w:r w:rsidR="002E121A">
              <w:rPr>
                <w:rFonts w:cs="Arial"/>
                <w:sz w:val="22"/>
                <w:szCs w:val="22"/>
                <w:lang w:eastAsia="en-GB"/>
              </w:rPr>
              <w:t>325</w:t>
            </w:r>
            <w:r w:rsidRPr="00406461">
              <w:rPr>
                <w:rFonts w:cs="Arial"/>
                <w:sz w:val="22"/>
                <w:szCs w:val="22"/>
                <w:lang w:eastAsia="en-GB"/>
              </w:rPr>
              <w:t>.</w:t>
            </w:r>
            <w:r w:rsidR="002E121A">
              <w:rPr>
                <w:rFonts w:cs="Arial"/>
                <w:sz w:val="22"/>
                <w:szCs w:val="22"/>
                <w:lang w:eastAsia="en-GB"/>
              </w:rPr>
              <w:t>8</w:t>
            </w:r>
            <w:r w:rsidR="0009690F">
              <w:rPr>
                <w:rFonts w:cs="Arial"/>
                <w:sz w:val="22"/>
                <w:szCs w:val="22"/>
                <w:lang w:eastAsia="en-GB"/>
              </w:rPr>
              <w:t>5</w:t>
            </w:r>
          </w:p>
        </w:tc>
        <w:tc>
          <w:tcPr>
            <w:tcW w:w="1843" w:type="dxa"/>
            <w:tcBorders>
              <w:top w:val="nil"/>
              <w:left w:val="nil"/>
              <w:bottom w:val="single" w:sz="4" w:space="0" w:color="auto"/>
              <w:right w:val="single" w:sz="4" w:space="0" w:color="auto"/>
            </w:tcBorders>
          </w:tcPr>
          <w:p w:rsidR="00E47405" w:rsidRPr="00406461" w:rsidRDefault="00E47405" w:rsidP="00E47405">
            <w:pPr>
              <w:pStyle w:val="BodyText"/>
              <w:jc w:val="center"/>
              <w:rPr>
                <w:rFonts w:cs="Arial"/>
                <w:sz w:val="22"/>
                <w:szCs w:val="22"/>
                <w:lang w:eastAsia="en-GB"/>
              </w:rPr>
            </w:pPr>
            <w:r w:rsidRPr="00406461">
              <w:rPr>
                <w:rFonts w:cs="Arial"/>
                <w:sz w:val="22"/>
                <w:szCs w:val="22"/>
                <w:lang w:eastAsia="en-GB"/>
              </w:rPr>
              <w:t>£634.55</w:t>
            </w:r>
          </w:p>
        </w:tc>
      </w:tr>
      <w:tr w:rsidR="00E47405" w:rsidRPr="00406461" w:rsidTr="00E47405">
        <w:trPr>
          <w:trHeight w:val="315"/>
        </w:trPr>
        <w:tc>
          <w:tcPr>
            <w:tcW w:w="8946" w:type="dxa"/>
            <w:gridSpan w:val="4"/>
            <w:tcBorders>
              <w:top w:val="nil"/>
              <w:left w:val="single" w:sz="4" w:space="0" w:color="auto"/>
              <w:bottom w:val="single" w:sz="4" w:space="0" w:color="auto"/>
              <w:right w:val="single" w:sz="4" w:space="0" w:color="auto"/>
            </w:tcBorders>
          </w:tcPr>
          <w:p w:rsidR="00E47405" w:rsidRPr="00406461" w:rsidRDefault="00E47405" w:rsidP="00E47405">
            <w:pPr>
              <w:pStyle w:val="BodyText"/>
              <w:jc w:val="center"/>
              <w:rPr>
                <w:rFonts w:cs="Arial"/>
                <w:sz w:val="22"/>
                <w:szCs w:val="22"/>
                <w:lang w:eastAsia="en-GB"/>
              </w:rPr>
            </w:pPr>
            <w:r w:rsidRPr="00406461">
              <w:rPr>
                <w:rFonts w:cs="Arial"/>
                <w:b/>
                <w:bCs/>
                <w:sz w:val="22"/>
                <w:szCs w:val="22"/>
                <w:lang w:eastAsia="en-GB"/>
              </w:rPr>
              <w:t>Support Hours</w:t>
            </w:r>
          </w:p>
        </w:tc>
      </w:tr>
      <w:tr w:rsidR="00E47405" w:rsidRPr="00406461" w:rsidTr="00E47405">
        <w:trPr>
          <w:trHeight w:val="300"/>
        </w:trPr>
        <w:tc>
          <w:tcPr>
            <w:tcW w:w="2940" w:type="dxa"/>
            <w:tcBorders>
              <w:top w:val="nil"/>
              <w:left w:val="single" w:sz="4" w:space="0" w:color="auto"/>
              <w:bottom w:val="single" w:sz="4" w:space="0" w:color="auto"/>
              <w:right w:val="single" w:sz="4" w:space="0" w:color="auto"/>
            </w:tcBorders>
          </w:tcPr>
          <w:p w:rsidR="00E47405" w:rsidRPr="00406461" w:rsidRDefault="00E47405" w:rsidP="00E47405">
            <w:pPr>
              <w:pStyle w:val="BodyText"/>
              <w:jc w:val="center"/>
              <w:rPr>
                <w:rFonts w:cs="Arial"/>
                <w:sz w:val="22"/>
                <w:szCs w:val="22"/>
                <w:lang w:eastAsia="en-GB"/>
              </w:rPr>
            </w:pPr>
            <w:r w:rsidRPr="00406461">
              <w:rPr>
                <w:rFonts w:cs="Arial"/>
                <w:sz w:val="22"/>
                <w:szCs w:val="22"/>
                <w:lang w:eastAsia="en-GB"/>
              </w:rPr>
              <w:t>Personal Care</w:t>
            </w:r>
          </w:p>
        </w:tc>
        <w:tc>
          <w:tcPr>
            <w:tcW w:w="2178" w:type="dxa"/>
            <w:tcBorders>
              <w:top w:val="nil"/>
              <w:left w:val="nil"/>
              <w:bottom w:val="single" w:sz="4" w:space="0" w:color="auto"/>
              <w:right w:val="single" w:sz="4" w:space="0" w:color="auto"/>
            </w:tcBorders>
          </w:tcPr>
          <w:p w:rsidR="00E47405" w:rsidRPr="00406461" w:rsidRDefault="00E47405" w:rsidP="00E47405">
            <w:pPr>
              <w:pStyle w:val="BodyText"/>
              <w:jc w:val="center"/>
              <w:rPr>
                <w:rFonts w:cs="Arial"/>
                <w:sz w:val="22"/>
                <w:szCs w:val="22"/>
                <w:lang w:eastAsia="en-GB"/>
              </w:rPr>
            </w:pPr>
            <w:r w:rsidRPr="00406461">
              <w:rPr>
                <w:rFonts w:cs="Arial"/>
                <w:sz w:val="22"/>
                <w:szCs w:val="22"/>
                <w:lang w:eastAsia="en-GB"/>
              </w:rPr>
              <w:t>9.25</w:t>
            </w:r>
          </w:p>
        </w:tc>
        <w:tc>
          <w:tcPr>
            <w:tcW w:w="1985" w:type="dxa"/>
            <w:tcBorders>
              <w:top w:val="nil"/>
              <w:left w:val="nil"/>
              <w:bottom w:val="single" w:sz="4" w:space="0" w:color="auto"/>
              <w:right w:val="single" w:sz="4" w:space="0" w:color="auto"/>
            </w:tcBorders>
          </w:tcPr>
          <w:p w:rsidR="00E47405" w:rsidRPr="00406461" w:rsidRDefault="0009690F" w:rsidP="00E47405">
            <w:pPr>
              <w:pStyle w:val="BodyText"/>
              <w:jc w:val="center"/>
              <w:rPr>
                <w:rFonts w:cs="Arial"/>
                <w:sz w:val="22"/>
                <w:szCs w:val="22"/>
                <w:lang w:eastAsia="en-GB"/>
              </w:rPr>
            </w:pPr>
            <w:r>
              <w:rPr>
                <w:rFonts w:cs="Arial"/>
                <w:sz w:val="22"/>
                <w:szCs w:val="22"/>
                <w:lang w:eastAsia="en-GB"/>
              </w:rPr>
              <w:t>3</w:t>
            </w:r>
            <w:r w:rsidR="00E47405" w:rsidRPr="00406461">
              <w:rPr>
                <w:rFonts w:cs="Arial"/>
                <w:sz w:val="22"/>
                <w:szCs w:val="22"/>
                <w:lang w:eastAsia="en-GB"/>
              </w:rPr>
              <w:t>.00</w:t>
            </w:r>
          </w:p>
        </w:tc>
        <w:tc>
          <w:tcPr>
            <w:tcW w:w="1843" w:type="dxa"/>
            <w:tcBorders>
              <w:top w:val="nil"/>
              <w:left w:val="nil"/>
              <w:bottom w:val="single" w:sz="4" w:space="0" w:color="auto"/>
              <w:right w:val="single" w:sz="4" w:space="0" w:color="auto"/>
            </w:tcBorders>
          </w:tcPr>
          <w:p w:rsidR="00E47405" w:rsidRPr="00406461" w:rsidRDefault="00E47405" w:rsidP="00E47405">
            <w:pPr>
              <w:pStyle w:val="BodyText"/>
              <w:jc w:val="center"/>
              <w:rPr>
                <w:rFonts w:cs="Arial"/>
                <w:sz w:val="22"/>
                <w:szCs w:val="22"/>
                <w:lang w:eastAsia="en-GB"/>
              </w:rPr>
            </w:pPr>
            <w:r w:rsidRPr="00406461">
              <w:rPr>
                <w:rFonts w:cs="Arial"/>
                <w:sz w:val="22"/>
                <w:szCs w:val="22"/>
                <w:lang w:eastAsia="en-GB"/>
              </w:rPr>
              <w:t>5.00</w:t>
            </w:r>
          </w:p>
        </w:tc>
      </w:tr>
      <w:tr w:rsidR="00E47405" w:rsidRPr="00406461" w:rsidTr="00E47405">
        <w:trPr>
          <w:trHeight w:val="300"/>
        </w:trPr>
        <w:tc>
          <w:tcPr>
            <w:tcW w:w="2940" w:type="dxa"/>
            <w:tcBorders>
              <w:top w:val="nil"/>
              <w:left w:val="single" w:sz="4" w:space="0" w:color="auto"/>
              <w:bottom w:val="single" w:sz="4" w:space="0" w:color="auto"/>
              <w:right w:val="single" w:sz="4" w:space="0" w:color="auto"/>
            </w:tcBorders>
          </w:tcPr>
          <w:p w:rsidR="00E47405" w:rsidRPr="00406461" w:rsidRDefault="00E47405" w:rsidP="00E47405">
            <w:pPr>
              <w:pStyle w:val="BodyText"/>
              <w:jc w:val="center"/>
              <w:rPr>
                <w:rFonts w:cs="Arial"/>
                <w:sz w:val="22"/>
                <w:szCs w:val="22"/>
                <w:lang w:eastAsia="en-GB"/>
              </w:rPr>
            </w:pPr>
            <w:r w:rsidRPr="00406461">
              <w:rPr>
                <w:rFonts w:cs="Arial"/>
                <w:sz w:val="22"/>
                <w:szCs w:val="22"/>
                <w:lang w:eastAsia="en-GB"/>
              </w:rPr>
              <w:t>Domestic Care</w:t>
            </w:r>
          </w:p>
        </w:tc>
        <w:tc>
          <w:tcPr>
            <w:tcW w:w="2178" w:type="dxa"/>
            <w:tcBorders>
              <w:top w:val="nil"/>
              <w:left w:val="nil"/>
              <w:bottom w:val="single" w:sz="4" w:space="0" w:color="auto"/>
              <w:right w:val="single" w:sz="4" w:space="0" w:color="auto"/>
            </w:tcBorders>
          </w:tcPr>
          <w:p w:rsidR="00E47405" w:rsidRPr="00406461" w:rsidRDefault="00E47405" w:rsidP="00E47405">
            <w:pPr>
              <w:pStyle w:val="BodyText"/>
              <w:jc w:val="center"/>
              <w:rPr>
                <w:rFonts w:cs="Arial"/>
                <w:sz w:val="22"/>
                <w:szCs w:val="22"/>
                <w:lang w:eastAsia="en-GB"/>
              </w:rPr>
            </w:pPr>
            <w:r w:rsidRPr="00406461">
              <w:rPr>
                <w:rFonts w:cs="Arial"/>
                <w:sz w:val="22"/>
                <w:szCs w:val="22"/>
                <w:lang w:eastAsia="en-GB"/>
              </w:rPr>
              <w:t>1.50</w:t>
            </w:r>
          </w:p>
        </w:tc>
        <w:tc>
          <w:tcPr>
            <w:tcW w:w="1985" w:type="dxa"/>
            <w:tcBorders>
              <w:top w:val="nil"/>
              <w:left w:val="nil"/>
              <w:bottom w:val="single" w:sz="4" w:space="0" w:color="auto"/>
              <w:right w:val="single" w:sz="4" w:space="0" w:color="auto"/>
            </w:tcBorders>
          </w:tcPr>
          <w:p w:rsidR="00E47405" w:rsidRPr="00406461" w:rsidRDefault="00E47405" w:rsidP="00E47405">
            <w:pPr>
              <w:pStyle w:val="BodyText"/>
              <w:jc w:val="center"/>
              <w:rPr>
                <w:rFonts w:cs="Arial"/>
                <w:sz w:val="22"/>
                <w:szCs w:val="22"/>
                <w:lang w:eastAsia="en-GB"/>
              </w:rPr>
            </w:pPr>
            <w:r w:rsidRPr="00406461">
              <w:rPr>
                <w:rFonts w:cs="Arial"/>
                <w:sz w:val="22"/>
                <w:szCs w:val="22"/>
                <w:lang w:eastAsia="en-GB"/>
              </w:rPr>
              <w:t>0.00</w:t>
            </w:r>
          </w:p>
        </w:tc>
        <w:tc>
          <w:tcPr>
            <w:tcW w:w="1843" w:type="dxa"/>
            <w:tcBorders>
              <w:top w:val="nil"/>
              <w:left w:val="nil"/>
              <w:bottom w:val="single" w:sz="4" w:space="0" w:color="auto"/>
              <w:right w:val="single" w:sz="4" w:space="0" w:color="auto"/>
            </w:tcBorders>
          </w:tcPr>
          <w:p w:rsidR="00E47405" w:rsidRPr="00406461" w:rsidRDefault="00E47405" w:rsidP="00E47405">
            <w:pPr>
              <w:pStyle w:val="BodyText"/>
              <w:jc w:val="center"/>
              <w:rPr>
                <w:rFonts w:cs="Arial"/>
                <w:sz w:val="22"/>
                <w:szCs w:val="22"/>
                <w:lang w:eastAsia="en-GB"/>
              </w:rPr>
            </w:pPr>
            <w:r w:rsidRPr="00406461">
              <w:rPr>
                <w:rFonts w:cs="Arial"/>
                <w:sz w:val="22"/>
                <w:szCs w:val="22"/>
                <w:lang w:eastAsia="en-GB"/>
              </w:rPr>
              <w:t>6.00</w:t>
            </w:r>
          </w:p>
        </w:tc>
      </w:tr>
      <w:tr w:rsidR="0009690F" w:rsidRPr="00406461" w:rsidTr="00E47405">
        <w:trPr>
          <w:trHeight w:val="300"/>
        </w:trPr>
        <w:tc>
          <w:tcPr>
            <w:tcW w:w="2940" w:type="dxa"/>
            <w:tcBorders>
              <w:top w:val="nil"/>
              <w:left w:val="single" w:sz="4" w:space="0" w:color="auto"/>
              <w:bottom w:val="single" w:sz="4" w:space="0" w:color="auto"/>
              <w:right w:val="single" w:sz="4" w:space="0" w:color="auto"/>
            </w:tcBorders>
          </w:tcPr>
          <w:p w:rsidR="0009690F" w:rsidRPr="00406461" w:rsidRDefault="0009690F" w:rsidP="00E47405">
            <w:pPr>
              <w:pStyle w:val="BodyText"/>
              <w:jc w:val="center"/>
              <w:rPr>
                <w:rFonts w:cs="Arial"/>
                <w:sz w:val="22"/>
                <w:szCs w:val="22"/>
                <w:lang w:eastAsia="en-GB"/>
              </w:rPr>
            </w:pPr>
            <w:r>
              <w:rPr>
                <w:rFonts w:cs="Arial"/>
                <w:sz w:val="22"/>
                <w:szCs w:val="22"/>
                <w:lang w:eastAsia="en-GB"/>
              </w:rPr>
              <w:t>Social Support in the Community</w:t>
            </w:r>
          </w:p>
        </w:tc>
        <w:tc>
          <w:tcPr>
            <w:tcW w:w="2178" w:type="dxa"/>
            <w:tcBorders>
              <w:top w:val="nil"/>
              <w:left w:val="nil"/>
              <w:bottom w:val="single" w:sz="4" w:space="0" w:color="auto"/>
              <w:right w:val="single" w:sz="4" w:space="0" w:color="auto"/>
            </w:tcBorders>
          </w:tcPr>
          <w:p w:rsidR="0009690F" w:rsidRPr="00406461" w:rsidRDefault="0009690F" w:rsidP="00E47405">
            <w:pPr>
              <w:pStyle w:val="BodyText"/>
              <w:jc w:val="center"/>
              <w:rPr>
                <w:rFonts w:cs="Arial"/>
                <w:sz w:val="22"/>
                <w:szCs w:val="22"/>
                <w:lang w:eastAsia="en-GB"/>
              </w:rPr>
            </w:pPr>
            <w:r>
              <w:rPr>
                <w:rFonts w:cs="Arial"/>
                <w:sz w:val="22"/>
                <w:szCs w:val="22"/>
                <w:lang w:eastAsia="en-GB"/>
              </w:rPr>
              <w:t>Nil</w:t>
            </w:r>
          </w:p>
        </w:tc>
        <w:tc>
          <w:tcPr>
            <w:tcW w:w="1985" w:type="dxa"/>
            <w:tcBorders>
              <w:top w:val="nil"/>
              <w:left w:val="nil"/>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Pr>
                <w:rFonts w:cs="Arial"/>
                <w:sz w:val="22"/>
                <w:szCs w:val="22"/>
                <w:lang w:eastAsia="en-GB"/>
              </w:rPr>
              <w:t>2.00</w:t>
            </w:r>
          </w:p>
        </w:tc>
        <w:tc>
          <w:tcPr>
            <w:tcW w:w="1843" w:type="dxa"/>
            <w:tcBorders>
              <w:top w:val="nil"/>
              <w:left w:val="nil"/>
              <w:bottom w:val="single" w:sz="4" w:space="0" w:color="auto"/>
              <w:right w:val="single" w:sz="4" w:space="0" w:color="auto"/>
            </w:tcBorders>
          </w:tcPr>
          <w:p w:rsidR="0009690F" w:rsidRPr="00406461" w:rsidRDefault="003C11E5" w:rsidP="00E47405">
            <w:pPr>
              <w:pStyle w:val="BodyText"/>
              <w:jc w:val="center"/>
              <w:rPr>
                <w:rFonts w:cs="Arial"/>
                <w:sz w:val="22"/>
                <w:szCs w:val="22"/>
                <w:lang w:eastAsia="en-GB"/>
              </w:rPr>
            </w:pPr>
            <w:r>
              <w:rPr>
                <w:rFonts w:cs="Arial"/>
                <w:sz w:val="22"/>
                <w:szCs w:val="22"/>
                <w:lang w:eastAsia="en-GB"/>
              </w:rPr>
              <w:t>6.00</w:t>
            </w:r>
          </w:p>
        </w:tc>
      </w:tr>
      <w:tr w:rsidR="00E47405" w:rsidRPr="00406461" w:rsidTr="00E47405">
        <w:trPr>
          <w:trHeight w:val="300"/>
        </w:trPr>
        <w:tc>
          <w:tcPr>
            <w:tcW w:w="2940" w:type="dxa"/>
            <w:tcBorders>
              <w:top w:val="nil"/>
              <w:left w:val="single" w:sz="4" w:space="0" w:color="auto"/>
              <w:bottom w:val="single" w:sz="4" w:space="0" w:color="auto"/>
              <w:right w:val="single" w:sz="4" w:space="0" w:color="auto"/>
            </w:tcBorders>
          </w:tcPr>
          <w:p w:rsidR="00E47405" w:rsidRPr="00406461" w:rsidRDefault="00E47405" w:rsidP="00E47405">
            <w:pPr>
              <w:pStyle w:val="BodyText"/>
              <w:jc w:val="center"/>
              <w:rPr>
                <w:rFonts w:cs="Arial"/>
                <w:sz w:val="22"/>
                <w:szCs w:val="22"/>
                <w:lang w:eastAsia="en-GB"/>
              </w:rPr>
            </w:pPr>
            <w:r w:rsidRPr="00406461">
              <w:rPr>
                <w:rFonts w:cs="Arial"/>
                <w:sz w:val="22"/>
                <w:szCs w:val="22"/>
                <w:lang w:eastAsia="en-GB"/>
              </w:rPr>
              <w:t>Housing Support</w:t>
            </w:r>
          </w:p>
        </w:tc>
        <w:tc>
          <w:tcPr>
            <w:tcW w:w="2178" w:type="dxa"/>
            <w:tcBorders>
              <w:top w:val="nil"/>
              <w:left w:val="nil"/>
              <w:bottom w:val="single" w:sz="4" w:space="0" w:color="auto"/>
              <w:right w:val="single" w:sz="4" w:space="0" w:color="auto"/>
            </w:tcBorders>
          </w:tcPr>
          <w:p w:rsidR="00E47405" w:rsidRPr="00406461" w:rsidRDefault="00E47405" w:rsidP="00E47405">
            <w:pPr>
              <w:pStyle w:val="BodyText"/>
              <w:jc w:val="center"/>
              <w:rPr>
                <w:rFonts w:cs="Arial"/>
                <w:sz w:val="22"/>
                <w:szCs w:val="22"/>
                <w:lang w:eastAsia="en-GB"/>
              </w:rPr>
            </w:pPr>
            <w:r w:rsidRPr="00406461">
              <w:rPr>
                <w:rFonts w:cs="Arial"/>
                <w:sz w:val="22"/>
                <w:szCs w:val="22"/>
                <w:lang w:eastAsia="en-GB"/>
              </w:rPr>
              <w:t>Nil</w:t>
            </w:r>
          </w:p>
        </w:tc>
        <w:tc>
          <w:tcPr>
            <w:tcW w:w="1985" w:type="dxa"/>
            <w:tcBorders>
              <w:top w:val="nil"/>
              <w:left w:val="nil"/>
              <w:bottom w:val="single" w:sz="4" w:space="0" w:color="auto"/>
              <w:right w:val="single" w:sz="4" w:space="0" w:color="auto"/>
            </w:tcBorders>
          </w:tcPr>
          <w:p w:rsidR="00E47405" w:rsidRPr="00406461" w:rsidRDefault="00E47405" w:rsidP="0009690F">
            <w:pPr>
              <w:pStyle w:val="BodyText"/>
              <w:jc w:val="center"/>
              <w:rPr>
                <w:rFonts w:cs="Arial"/>
                <w:sz w:val="22"/>
                <w:szCs w:val="22"/>
                <w:lang w:eastAsia="en-GB"/>
              </w:rPr>
            </w:pPr>
            <w:r w:rsidRPr="00406461">
              <w:rPr>
                <w:rFonts w:cs="Arial"/>
                <w:sz w:val="22"/>
                <w:szCs w:val="22"/>
                <w:lang w:eastAsia="en-GB"/>
              </w:rPr>
              <w:t>1</w:t>
            </w:r>
            <w:r w:rsidR="0009690F">
              <w:rPr>
                <w:rFonts w:cs="Arial"/>
                <w:sz w:val="22"/>
                <w:szCs w:val="22"/>
                <w:lang w:eastAsia="en-GB"/>
              </w:rPr>
              <w:t>4</w:t>
            </w:r>
            <w:r w:rsidRPr="00406461">
              <w:rPr>
                <w:rFonts w:cs="Arial"/>
                <w:sz w:val="22"/>
                <w:szCs w:val="22"/>
                <w:lang w:eastAsia="en-GB"/>
              </w:rPr>
              <w:t>.00</w:t>
            </w:r>
          </w:p>
        </w:tc>
        <w:tc>
          <w:tcPr>
            <w:tcW w:w="1843" w:type="dxa"/>
            <w:tcBorders>
              <w:top w:val="nil"/>
              <w:left w:val="nil"/>
              <w:bottom w:val="single" w:sz="4" w:space="0" w:color="auto"/>
              <w:right w:val="single" w:sz="4" w:space="0" w:color="auto"/>
            </w:tcBorders>
          </w:tcPr>
          <w:p w:rsidR="00E47405" w:rsidRPr="00406461" w:rsidRDefault="00E47405" w:rsidP="003C11E5">
            <w:pPr>
              <w:pStyle w:val="BodyText"/>
              <w:jc w:val="center"/>
              <w:rPr>
                <w:rFonts w:cs="Arial"/>
                <w:sz w:val="22"/>
                <w:szCs w:val="22"/>
                <w:lang w:eastAsia="en-GB"/>
              </w:rPr>
            </w:pPr>
            <w:r w:rsidRPr="00406461">
              <w:rPr>
                <w:rFonts w:cs="Arial"/>
                <w:sz w:val="22"/>
                <w:szCs w:val="22"/>
                <w:lang w:eastAsia="en-GB"/>
              </w:rPr>
              <w:t>2</w:t>
            </w:r>
            <w:r w:rsidR="003C11E5">
              <w:rPr>
                <w:rFonts w:cs="Arial"/>
                <w:sz w:val="22"/>
                <w:szCs w:val="22"/>
                <w:lang w:eastAsia="en-GB"/>
              </w:rPr>
              <w:t>0</w:t>
            </w:r>
            <w:r w:rsidRPr="00406461">
              <w:rPr>
                <w:rFonts w:cs="Arial"/>
                <w:sz w:val="22"/>
                <w:szCs w:val="22"/>
                <w:lang w:eastAsia="en-GB"/>
              </w:rPr>
              <w:t>.00</w:t>
            </w:r>
          </w:p>
        </w:tc>
      </w:tr>
      <w:tr w:rsidR="00E47405" w:rsidRPr="00406461" w:rsidTr="00E47405">
        <w:trPr>
          <w:trHeight w:val="315"/>
        </w:trPr>
        <w:tc>
          <w:tcPr>
            <w:tcW w:w="2940" w:type="dxa"/>
            <w:tcBorders>
              <w:top w:val="nil"/>
              <w:left w:val="single" w:sz="4" w:space="0" w:color="auto"/>
              <w:bottom w:val="single" w:sz="4" w:space="0" w:color="auto"/>
              <w:right w:val="single" w:sz="4" w:space="0" w:color="auto"/>
            </w:tcBorders>
          </w:tcPr>
          <w:p w:rsidR="00E47405" w:rsidRPr="00406461" w:rsidRDefault="00E47405" w:rsidP="00E47405">
            <w:pPr>
              <w:pStyle w:val="BodyText"/>
              <w:jc w:val="center"/>
              <w:rPr>
                <w:rFonts w:cs="Arial"/>
                <w:sz w:val="22"/>
                <w:szCs w:val="22"/>
                <w:lang w:eastAsia="en-GB"/>
              </w:rPr>
            </w:pPr>
            <w:r w:rsidRPr="00406461">
              <w:rPr>
                <w:rFonts w:cs="Arial"/>
                <w:sz w:val="22"/>
                <w:szCs w:val="22"/>
                <w:lang w:eastAsia="en-GB"/>
              </w:rPr>
              <w:t>Total Hours</w:t>
            </w:r>
          </w:p>
        </w:tc>
        <w:tc>
          <w:tcPr>
            <w:tcW w:w="2178" w:type="dxa"/>
            <w:tcBorders>
              <w:top w:val="nil"/>
              <w:left w:val="nil"/>
              <w:bottom w:val="single" w:sz="4" w:space="0" w:color="auto"/>
              <w:right w:val="single" w:sz="4" w:space="0" w:color="auto"/>
            </w:tcBorders>
          </w:tcPr>
          <w:p w:rsidR="00E47405" w:rsidRPr="00406461" w:rsidRDefault="00E47405" w:rsidP="00E47405">
            <w:pPr>
              <w:pStyle w:val="BodyText"/>
              <w:jc w:val="center"/>
              <w:rPr>
                <w:rFonts w:cs="Arial"/>
                <w:sz w:val="22"/>
                <w:szCs w:val="22"/>
                <w:lang w:eastAsia="en-GB"/>
              </w:rPr>
            </w:pPr>
            <w:r w:rsidRPr="00406461">
              <w:rPr>
                <w:rFonts w:cs="Arial"/>
                <w:sz w:val="22"/>
                <w:szCs w:val="22"/>
                <w:lang w:eastAsia="en-GB"/>
              </w:rPr>
              <w:t>10.75</w:t>
            </w:r>
          </w:p>
        </w:tc>
        <w:tc>
          <w:tcPr>
            <w:tcW w:w="1985" w:type="dxa"/>
            <w:tcBorders>
              <w:top w:val="nil"/>
              <w:left w:val="nil"/>
              <w:bottom w:val="single" w:sz="4" w:space="0" w:color="auto"/>
              <w:right w:val="single" w:sz="4" w:space="0" w:color="auto"/>
            </w:tcBorders>
          </w:tcPr>
          <w:p w:rsidR="00E47405" w:rsidRPr="00406461" w:rsidRDefault="00E47405" w:rsidP="002E121A">
            <w:pPr>
              <w:pStyle w:val="BodyText"/>
              <w:jc w:val="center"/>
              <w:rPr>
                <w:rFonts w:cs="Arial"/>
                <w:sz w:val="22"/>
                <w:szCs w:val="22"/>
                <w:lang w:eastAsia="en-GB"/>
              </w:rPr>
            </w:pPr>
            <w:r w:rsidRPr="00406461">
              <w:rPr>
                <w:rFonts w:cs="Arial"/>
                <w:sz w:val="22"/>
                <w:szCs w:val="22"/>
                <w:lang w:eastAsia="en-GB"/>
              </w:rPr>
              <w:t>1</w:t>
            </w:r>
            <w:r w:rsidR="002E121A">
              <w:rPr>
                <w:rFonts w:cs="Arial"/>
                <w:sz w:val="22"/>
                <w:szCs w:val="22"/>
                <w:lang w:eastAsia="en-GB"/>
              </w:rPr>
              <w:t>9</w:t>
            </w:r>
            <w:r w:rsidRPr="00406461">
              <w:rPr>
                <w:rFonts w:cs="Arial"/>
                <w:sz w:val="22"/>
                <w:szCs w:val="22"/>
                <w:lang w:eastAsia="en-GB"/>
              </w:rPr>
              <w:t>.00</w:t>
            </w:r>
          </w:p>
        </w:tc>
        <w:tc>
          <w:tcPr>
            <w:tcW w:w="1843" w:type="dxa"/>
            <w:tcBorders>
              <w:top w:val="nil"/>
              <w:left w:val="nil"/>
              <w:bottom w:val="single" w:sz="4" w:space="0" w:color="auto"/>
              <w:right w:val="single" w:sz="4" w:space="0" w:color="auto"/>
            </w:tcBorders>
          </w:tcPr>
          <w:p w:rsidR="00E47405" w:rsidRPr="00406461" w:rsidRDefault="00E47405" w:rsidP="00E47405">
            <w:pPr>
              <w:pStyle w:val="BodyText"/>
              <w:jc w:val="center"/>
              <w:rPr>
                <w:rFonts w:cs="Arial"/>
                <w:sz w:val="22"/>
                <w:szCs w:val="22"/>
                <w:lang w:eastAsia="en-GB"/>
              </w:rPr>
            </w:pPr>
            <w:r w:rsidRPr="00406461">
              <w:rPr>
                <w:rFonts w:cs="Arial"/>
                <w:sz w:val="22"/>
                <w:szCs w:val="22"/>
                <w:lang w:eastAsia="en-GB"/>
              </w:rPr>
              <w:t>37.00</w:t>
            </w:r>
          </w:p>
        </w:tc>
      </w:tr>
      <w:tr w:rsidR="00E47405" w:rsidRPr="00406461" w:rsidTr="00E47405">
        <w:trPr>
          <w:trHeight w:val="315"/>
        </w:trPr>
        <w:tc>
          <w:tcPr>
            <w:tcW w:w="8946" w:type="dxa"/>
            <w:gridSpan w:val="4"/>
            <w:tcBorders>
              <w:top w:val="nil"/>
              <w:left w:val="single" w:sz="4" w:space="0" w:color="auto"/>
              <w:bottom w:val="single" w:sz="4" w:space="0" w:color="auto"/>
              <w:right w:val="single" w:sz="4" w:space="0" w:color="auto"/>
            </w:tcBorders>
          </w:tcPr>
          <w:p w:rsidR="00E47405" w:rsidRPr="00406461" w:rsidRDefault="00E47405" w:rsidP="00E47405">
            <w:pPr>
              <w:pStyle w:val="BodyText"/>
              <w:jc w:val="center"/>
              <w:rPr>
                <w:rFonts w:cs="Arial"/>
                <w:sz w:val="22"/>
                <w:szCs w:val="22"/>
                <w:lang w:eastAsia="en-GB"/>
              </w:rPr>
            </w:pPr>
            <w:r w:rsidRPr="00406461">
              <w:rPr>
                <w:rFonts w:cs="Arial"/>
                <w:b/>
                <w:bCs/>
                <w:sz w:val="22"/>
                <w:szCs w:val="22"/>
                <w:lang w:eastAsia="en-GB"/>
              </w:rPr>
              <w:t>Chargeable Hours</w:t>
            </w:r>
          </w:p>
        </w:tc>
      </w:tr>
      <w:tr w:rsidR="00E47405" w:rsidRPr="00406461" w:rsidTr="00E47405">
        <w:trPr>
          <w:trHeight w:val="300"/>
        </w:trPr>
        <w:tc>
          <w:tcPr>
            <w:tcW w:w="2940" w:type="dxa"/>
            <w:tcBorders>
              <w:top w:val="nil"/>
              <w:left w:val="single" w:sz="4" w:space="0" w:color="auto"/>
              <w:bottom w:val="single" w:sz="4" w:space="0" w:color="auto"/>
              <w:right w:val="single" w:sz="4" w:space="0" w:color="auto"/>
            </w:tcBorders>
          </w:tcPr>
          <w:p w:rsidR="00E47405" w:rsidRPr="00406461" w:rsidRDefault="00E47405" w:rsidP="00E47405">
            <w:pPr>
              <w:pStyle w:val="BodyText"/>
              <w:jc w:val="center"/>
              <w:rPr>
                <w:rFonts w:cs="Arial"/>
                <w:sz w:val="22"/>
                <w:szCs w:val="22"/>
                <w:lang w:eastAsia="en-GB"/>
              </w:rPr>
            </w:pPr>
            <w:r w:rsidRPr="00406461">
              <w:rPr>
                <w:rFonts w:cs="Arial"/>
                <w:sz w:val="22"/>
                <w:szCs w:val="22"/>
                <w:lang w:eastAsia="en-GB"/>
              </w:rPr>
              <w:t>Personal Care</w:t>
            </w:r>
          </w:p>
        </w:tc>
        <w:tc>
          <w:tcPr>
            <w:tcW w:w="2178" w:type="dxa"/>
            <w:tcBorders>
              <w:top w:val="nil"/>
              <w:left w:val="nil"/>
              <w:bottom w:val="single" w:sz="4" w:space="0" w:color="auto"/>
              <w:right w:val="single" w:sz="4" w:space="0" w:color="auto"/>
            </w:tcBorders>
          </w:tcPr>
          <w:p w:rsidR="00E47405" w:rsidRPr="00406461" w:rsidRDefault="00E47405" w:rsidP="00E47405">
            <w:pPr>
              <w:pStyle w:val="BodyText"/>
              <w:jc w:val="center"/>
              <w:rPr>
                <w:rFonts w:cs="Arial"/>
                <w:sz w:val="22"/>
                <w:szCs w:val="22"/>
                <w:lang w:eastAsia="en-GB"/>
              </w:rPr>
            </w:pPr>
            <w:r w:rsidRPr="00406461">
              <w:rPr>
                <w:rFonts w:cs="Arial"/>
                <w:sz w:val="22"/>
                <w:szCs w:val="22"/>
                <w:lang w:eastAsia="en-GB"/>
              </w:rPr>
              <w:t>Nil</w:t>
            </w:r>
          </w:p>
        </w:tc>
        <w:tc>
          <w:tcPr>
            <w:tcW w:w="1985" w:type="dxa"/>
            <w:tcBorders>
              <w:top w:val="nil"/>
              <w:left w:val="nil"/>
              <w:bottom w:val="single" w:sz="4" w:space="0" w:color="auto"/>
              <w:right w:val="single" w:sz="4" w:space="0" w:color="auto"/>
            </w:tcBorders>
          </w:tcPr>
          <w:p w:rsidR="00E47405" w:rsidRPr="00406461" w:rsidRDefault="00E47405" w:rsidP="00E47405">
            <w:pPr>
              <w:pStyle w:val="BodyText"/>
              <w:jc w:val="center"/>
              <w:rPr>
                <w:rFonts w:cs="Arial"/>
                <w:sz w:val="22"/>
                <w:szCs w:val="22"/>
                <w:highlight w:val="yellow"/>
                <w:lang w:eastAsia="en-GB"/>
              </w:rPr>
            </w:pPr>
            <w:r w:rsidRPr="00406461">
              <w:rPr>
                <w:rFonts w:cs="Arial"/>
                <w:sz w:val="22"/>
                <w:szCs w:val="22"/>
                <w:lang w:eastAsia="en-GB"/>
              </w:rPr>
              <w:t>Nil</w:t>
            </w:r>
          </w:p>
        </w:tc>
        <w:tc>
          <w:tcPr>
            <w:tcW w:w="1843" w:type="dxa"/>
            <w:tcBorders>
              <w:top w:val="nil"/>
              <w:left w:val="nil"/>
              <w:bottom w:val="single" w:sz="4" w:space="0" w:color="auto"/>
              <w:right w:val="single" w:sz="4" w:space="0" w:color="auto"/>
            </w:tcBorders>
          </w:tcPr>
          <w:p w:rsidR="00E47405" w:rsidRPr="00406461" w:rsidRDefault="00E47405" w:rsidP="00E47405">
            <w:pPr>
              <w:pStyle w:val="BodyText"/>
              <w:jc w:val="center"/>
              <w:rPr>
                <w:rFonts w:cs="Arial"/>
                <w:sz w:val="22"/>
                <w:szCs w:val="22"/>
                <w:highlight w:val="yellow"/>
                <w:lang w:eastAsia="en-GB"/>
              </w:rPr>
            </w:pPr>
            <w:r w:rsidRPr="00406461">
              <w:rPr>
                <w:rFonts w:cs="Arial"/>
                <w:sz w:val="22"/>
                <w:szCs w:val="22"/>
                <w:lang w:eastAsia="en-GB"/>
              </w:rPr>
              <w:t>Nil</w:t>
            </w:r>
          </w:p>
        </w:tc>
      </w:tr>
      <w:tr w:rsidR="00E47405" w:rsidRPr="00406461" w:rsidTr="00E47405">
        <w:trPr>
          <w:trHeight w:val="300"/>
        </w:trPr>
        <w:tc>
          <w:tcPr>
            <w:tcW w:w="2940" w:type="dxa"/>
            <w:tcBorders>
              <w:top w:val="nil"/>
              <w:left w:val="single" w:sz="4" w:space="0" w:color="auto"/>
              <w:bottom w:val="single" w:sz="4" w:space="0" w:color="auto"/>
              <w:right w:val="single" w:sz="4" w:space="0" w:color="auto"/>
            </w:tcBorders>
          </w:tcPr>
          <w:p w:rsidR="00E47405" w:rsidRPr="00406461" w:rsidRDefault="00E47405" w:rsidP="00E47405">
            <w:pPr>
              <w:pStyle w:val="BodyText"/>
              <w:jc w:val="center"/>
              <w:rPr>
                <w:rFonts w:cs="Arial"/>
                <w:sz w:val="22"/>
                <w:szCs w:val="22"/>
                <w:lang w:eastAsia="en-GB"/>
              </w:rPr>
            </w:pPr>
            <w:r w:rsidRPr="00406461">
              <w:rPr>
                <w:rFonts w:cs="Arial"/>
                <w:sz w:val="22"/>
                <w:szCs w:val="22"/>
                <w:lang w:eastAsia="en-GB"/>
              </w:rPr>
              <w:t>Domestic Care</w:t>
            </w:r>
          </w:p>
        </w:tc>
        <w:tc>
          <w:tcPr>
            <w:tcW w:w="2178" w:type="dxa"/>
            <w:tcBorders>
              <w:top w:val="nil"/>
              <w:left w:val="nil"/>
              <w:bottom w:val="single" w:sz="4" w:space="0" w:color="auto"/>
              <w:right w:val="single" w:sz="4" w:space="0" w:color="auto"/>
            </w:tcBorders>
          </w:tcPr>
          <w:p w:rsidR="00E47405" w:rsidRPr="00406461" w:rsidRDefault="00E47405" w:rsidP="00E47405">
            <w:pPr>
              <w:pStyle w:val="BodyText"/>
              <w:jc w:val="center"/>
              <w:rPr>
                <w:rFonts w:cs="Arial"/>
                <w:sz w:val="22"/>
                <w:szCs w:val="22"/>
                <w:lang w:eastAsia="en-GB"/>
              </w:rPr>
            </w:pPr>
            <w:r w:rsidRPr="00406461">
              <w:rPr>
                <w:rFonts w:cs="Arial"/>
                <w:sz w:val="22"/>
                <w:szCs w:val="22"/>
                <w:lang w:eastAsia="en-GB"/>
              </w:rPr>
              <w:t>1.50</w:t>
            </w:r>
          </w:p>
        </w:tc>
        <w:tc>
          <w:tcPr>
            <w:tcW w:w="1985" w:type="dxa"/>
            <w:tcBorders>
              <w:top w:val="nil"/>
              <w:left w:val="nil"/>
              <w:bottom w:val="single" w:sz="4" w:space="0" w:color="auto"/>
              <w:right w:val="single" w:sz="4" w:space="0" w:color="auto"/>
            </w:tcBorders>
          </w:tcPr>
          <w:p w:rsidR="00E47405" w:rsidRPr="00406461" w:rsidRDefault="00E47405" w:rsidP="00E47405">
            <w:pPr>
              <w:pStyle w:val="BodyText"/>
              <w:jc w:val="center"/>
              <w:rPr>
                <w:rFonts w:cs="Arial"/>
                <w:sz w:val="22"/>
                <w:szCs w:val="22"/>
                <w:lang w:eastAsia="en-GB"/>
              </w:rPr>
            </w:pPr>
            <w:r w:rsidRPr="00406461">
              <w:rPr>
                <w:rFonts w:cs="Arial"/>
                <w:sz w:val="22"/>
                <w:szCs w:val="22"/>
                <w:lang w:eastAsia="en-GB"/>
              </w:rPr>
              <w:t>0.00</w:t>
            </w:r>
          </w:p>
        </w:tc>
        <w:tc>
          <w:tcPr>
            <w:tcW w:w="1843" w:type="dxa"/>
            <w:tcBorders>
              <w:top w:val="nil"/>
              <w:left w:val="nil"/>
              <w:bottom w:val="single" w:sz="4" w:space="0" w:color="auto"/>
              <w:right w:val="single" w:sz="4" w:space="0" w:color="auto"/>
            </w:tcBorders>
          </w:tcPr>
          <w:p w:rsidR="00E47405" w:rsidRPr="00406461" w:rsidRDefault="00E47405" w:rsidP="00E47405">
            <w:pPr>
              <w:pStyle w:val="BodyText"/>
              <w:jc w:val="center"/>
              <w:rPr>
                <w:rFonts w:cs="Arial"/>
                <w:sz w:val="22"/>
                <w:szCs w:val="22"/>
                <w:lang w:eastAsia="en-GB"/>
              </w:rPr>
            </w:pPr>
            <w:r w:rsidRPr="00406461">
              <w:rPr>
                <w:rFonts w:cs="Arial"/>
                <w:sz w:val="22"/>
                <w:szCs w:val="22"/>
                <w:lang w:eastAsia="en-GB"/>
              </w:rPr>
              <w:t>6.00</w:t>
            </w:r>
          </w:p>
        </w:tc>
      </w:tr>
      <w:tr w:rsidR="0009690F" w:rsidRPr="00406461" w:rsidTr="00B6690E">
        <w:trPr>
          <w:trHeight w:val="300"/>
        </w:trPr>
        <w:tc>
          <w:tcPr>
            <w:tcW w:w="2940" w:type="dxa"/>
            <w:tcBorders>
              <w:top w:val="nil"/>
              <w:left w:val="single" w:sz="4" w:space="0" w:color="auto"/>
              <w:bottom w:val="single" w:sz="4" w:space="0" w:color="auto"/>
              <w:right w:val="single" w:sz="4" w:space="0" w:color="auto"/>
            </w:tcBorders>
          </w:tcPr>
          <w:p w:rsidR="0009690F" w:rsidRPr="00406461" w:rsidRDefault="0009690F" w:rsidP="00B6690E">
            <w:pPr>
              <w:pStyle w:val="BodyText"/>
              <w:jc w:val="center"/>
              <w:rPr>
                <w:rFonts w:cs="Arial"/>
                <w:sz w:val="22"/>
                <w:szCs w:val="22"/>
                <w:lang w:eastAsia="en-GB"/>
              </w:rPr>
            </w:pPr>
            <w:r w:rsidRPr="00406461">
              <w:rPr>
                <w:rFonts w:cs="Arial"/>
                <w:sz w:val="22"/>
                <w:szCs w:val="22"/>
                <w:lang w:eastAsia="en-GB"/>
              </w:rPr>
              <w:t>Housing Support</w:t>
            </w:r>
          </w:p>
        </w:tc>
        <w:tc>
          <w:tcPr>
            <w:tcW w:w="2178" w:type="dxa"/>
            <w:tcBorders>
              <w:top w:val="nil"/>
              <w:left w:val="nil"/>
              <w:bottom w:val="single" w:sz="4" w:space="0" w:color="auto"/>
              <w:right w:val="single" w:sz="4" w:space="0" w:color="auto"/>
            </w:tcBorders>
          </w:tcPr>
          <w:p w:rsidR="0009690F" w:rsidRPr="00406461" w:rsidRDefault="0009690F" w:rsidP="00B6690E">
            <w:pPr>
              <w:pStyle w:val="BodyText"/>
              <w:jc w:val="center"/>
              <w:rPr>
                <w:rFonts w:cs="Arial"/>
                <w:sz w:val="22"/>
                <w:szCs w:val="22"/>
                <w:lang w:eastAsia="en-GB"/>
              </w:rPr>
            </w:pPr>
            <w:r w:rsidRPr="00406461">
              <w:rPr>
                <w:rFonts w:cs="Arial"/>
                <w:sz w:val="22"/>
                <w:szCs w:val="22"/>
                <w:lang w:eastAsia="en-GB"/>
              </w:rPr>
              <w:t>Nil</w:t>
            </w:r>
          </w:p>
        </w:tc>
        <w:tc>
          <w:tcPr>
            <w:tcW w:w="1985" w:type="dxa"/>
            <w:tcBorders>
              <w:top w:val="nil"/>
              <w:left w:val="nil"/>
              <w:bottom w:val="single" w:sz="4" w:space="0" w:color="auto"/>
              <w:right w:val="single" w:sz="4" w:space="0" w:color="auto"/>
            </w:tcBorders>
          </w:tcPr>
          <w:p w:rsidR="0009690F" w:rsidRPr="00406461" w:rsidRDefault="0009690F" w:rsidP="00B6690E">
            <w:pPr>
              <w:pStyle w:val="BodyText"/>
              <w:jc w:val="center"/>
              <w:rPr>
                <w:rFonts w:cs="Arial"/>
                <w:sz w:val="22"/>
                <w:szCs w:val="22"/>
                <w:lang w:eastAsia="en-GB"/>
              </w:rPr>
            </w:pPr>
            <w:r w:rsidRPr="00406461">
              <w:rPr>
                <w:rFonts w:cs="Arial"/>
                <w:sz w:val="22"/>
                <w:szCs w:val="22"/>
                <w:lang w:eastAsia="en-GB"/>
              </w:rPr>
              <w:t>1</w:t>
            </w:r>
            <w:r>
              <w:rPr>
                <w:rFonts w:cs="Arial"/>
                <w:sz w:val="22"/>
                <w:szCs w:val="22"/>
                <w:lang w:eastAsia="en-GB"/>
              </w:rPr>
              <w:t>4</w:t>
            </w:r>
            <w:r w:rsidRPr="00406461">
              <w:rPr>
                <w:rFonts w:cs="Arial"/>
                <w:sz w:val="22"/>
                <w:szCs w:val="22"/>
                <w:lang w:eastAsia="en-GB"/>
              </w:rPr>
              <w:t>.00</w:t>
            </w:r>
          </w:p>
        </w:tc>
        <w:tc>
          <w:tcPr>
            <w:tcW w:w="1843" w:type="dxa"/>
            <w:tcBorders>
              <w:top w:val="nil"/>
              <w:left w:val="nil"/>
              <w:bottom w:val="single" w:sz="4" w:space="0" w:color="auto"/>
              <w:right w:val="single" w:sz="4" w:space="0" w:color="auto"/>
            </w:tcBorders>
          </w:tcPr>
          <w:p w:rsidR="0009690F" w:rsidRPr="00406461" w:rsidRDefault="0009690F" w:rsidP="003C11E5">
            <w:pPr>
              <w:pStyle w:val="BodyText"/>
              <w:jc w:val="center"/>
              <w:rPr>
                <w:rFonts w:cs="Arial"/>
                <w:sz w:val="22"/>
                <w:szCs w:val="22"/>
                <w:lang w:eastAsia="en-GB"/>
              </w:rPr>
            </w:pPr>
            <w:r w:rsidRPr="00406461">
              <w:rPr>
                <w:rFonts w:cs="Arial"/>
                <w:sz w:val="22"/>
                <w:szCs w:val="22"/>
                <w:lang w:eastAsia="en-GB"/>
              </w:rPr>
              <w:t>2</w:t>
            </w:r>
            <w:r w:rsidR="003C11E5">
              <w:rPr>
                <w:rFonts w:cs="Arial"/>
                <w:sz w:val="22"/>
                <w:szCs w:val="22"/>
                <w:lang w:eastAsia="en-GB"/>
              </w:rPr>
              <w:t>0</w:t>
            </w:r>
            <w:r w:rsidRPr="00406461">
              <w:rPr>
                <w:rFonts w:cs="Arial"/>
                <w:sz w:val="22"/>
                <w:szCs w:val="22"/>
                <w:lang w:eastAsia="en-GB"/>
              </w:rPr>
              <w:t>.00</w:t>
            </w:r>
          </w:p>
        </w:tc>
      </w:tr>
      <w:tr w:rsidR="0009690F" w:rsidRPr="00406461" w:rsidTr="00E47405">
        <w:trPr>
          <w:trHeight w:val="300"/>
        </w:trPr>
        <w:tc>
          <w:tcPr>
            <w:tcW w:w="2940" w:type="dxa"/>
            <w:tcBorders>
              <w:top w:val="nil"/>
              <w:left w:val="single" w:sz="4" w:space="0" w:color="auto"/>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Pr>
                <w:rFonts w:cs="Arial"/>
                <w:sz w:val="22"/>
                <w:szCs w:val="22"/>
                <w:lang w:eastAsia="en-GB"/>
              </w:rPr>
              <w:t>Social Support in the Community</w:t>
            </w:r>
          </w:p>
        </w:tc>
        <w:tc>
          <w:tcPr>
            <w:tcW w:w="2178" w:type="dxa"/>
            <w:tcBorders>
              <w:top w:val="nil"/>
              <w:left w:val="nil"/>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Pr>
                <w:rFonts w:cs="Arial"/>
                <w:sz w:val="22"/>
                <w:szCs w:val="22"/>
                <w:lang w:eastAsia="en-GB"/>
              </w:rPr>
              <w:t>Nil</w:t>
            </w:r>
          </w:p>
        </w:tc>
        <w:tc>
          <w:tcPr>
            <w:tcW w:w="1985" w:type="dxa"/>
            <w:tcBorders>
              <w:top w:val="nil"/>
              <w:left w:val="nil"/>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Pr>
                <w:rFonts w:cs="Arial"/>
                <w:sz w:val="22"/>
                <w:szCs w:val="22"/>
                <w:lang w:eastAsia="en-GB"/>
              </w:rPr>
              <w:t>2.00</w:t>
            </w:r>
          </w:p>
        </w:tc>
        <w:tc>
          <w:tcPr>
            <w:tcW w:w="1843" w:type="dxa"/>
            <w:tcBorders>
              <w:top w:val="nil"/>
              <w:left w:val="nil"/>
              <w:bottom w:val="single" w:sz="4" w:space="0" w:color="auto"/>
              <w:right w:val="single" w:sz="4" w:space="0" w:color="auto"/>
            </w:tcBorders>
          </w:tcPr>
          <w:p w:rsidR="0009690F" w:rsidRPr="00406461" w:rsidRDefault="003C11E5" w:rsidP="0009690F">
            <w:pPr>
              <w:pStyle w:val="BodyText"/>
              <w:jc w:val="center"/>
              <w:rPr>
                <w:rFonts w:cs="Arial"/>
                <w:sz w:val="22"/>
                <w:szCs w:val="22"/>
                <w:lang w:eastAsia="en-GB"/>
              </w:rPr>
            </w:pPr>
            <w:r>
              <w:rPr>
                <w:rFonts w:cs="Arial"/>
                <w:sz w:val="22"/>
                <w:szCs w:val="22"/>
                <w:lang w:eastAsia="en-GB"/>
              </w:rPr>
              <w:t>6.00</w:t>
            </w:r>
          </w:p>
        </w:tc>
      </w:tr>
      <w:tr w:rsidR="0009690F" w:rsidRPr="00406461" w:rsidTr="00E47405">
        <w:trPr>
          <w:trHeight w:val="315"/>
        </w:trPr>
        <w:tc>
          <w:tcPr>
            <w:tcW w:w="2940" w:type="dxa"/>
            <w:tcBorders>
              <w:top w:val="nil"/>
              <w:left w:val="single" w:sz="4" w:space="0" w:color="auto"/>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Total Hours</w:t>
            </w:r>
          </w:p>
        </w:tc>
        <w:tc>
          <w:tcPr>
            <w:tcW w:w="2178" w:type="dxa"/>
            <w:tcBorders>
              <w:top w:val="nil"/>
              <w:left w:val="nil"/>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1.50</w:t>
            </w:r>
          </w:p>
        </w:tc>
        <w:tc>
          <w:tcPr>
            <w:tcW w:w="1985" w:type="dxa"/>
            <w:tcBorders>
              <w:top w:val="nil"/>
              <w:left w:val="nil"/>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1</w:t>
            </w:r>
            <w:r>
              <w:rPr>
                <w:rFonts w:cs="Arial"/>
                <w:sz w:val="22"/>
                <w:szCs w:val="22"/>
                <w:lang w:eastAsia="en-GB"/>
              </w:rPr>
              <w:t>6</w:t>
            </w:r>
            <w:r w:rsidRPr="00406461">
              <w:rPr>
                <w:rFonts w:cs="Arial"/>
                <w:sz w:val="22"/>
                <w:szCs w:val="22"/>
                <w:lang w:eastAsia="en-GB"/>
              </w:rPr>
              <w:t>.00</w:t>
            </w:r>
          </w:p>
        </w:tc>
        <w:tc>
          <w:tcPr>
            <w:tcW w:w="1843" w:type="dxa"/>
            <w:tcBorders>
              <w:top w:val="nil"/>
              <w:left w:val="nil"/>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32.00</w:t>
            </w:r>
          </w:p>
        </w:tc>
      </w:tr>
      <w:tr w:rsidR="0009690F" w:rsidRPr="00406461" w:rsidTr="00CA0D49">
        <w:trPr>
          <w:trHeight w:val="397"/>
        </w:trPr>
        <w:tc>
          <w:tcPr>
            <w:tcW w:w="2940" w:type="dxa"/>
            <w:tcBorders>
              <w:top w:val="nil"/>
              <w:left w:val="single" w:sz="4" w:space="0" w:color="auto"/>
              <w:bottom w:val="single" w:sz="4" w:space="0" w:color="auto"/>
              <w:right w:val="single" w:sz="4" w:space="0" w:color="auto"/>
            </w:tcBorders>
          </w:tcPr>
          <w:p w:rsidR="0009690F" w:rsidRPr="00406461" w:rsidRDefault="0009690F" w:rsidP="0009690F">
            <w:pPr>
              <w:pStyle w:val="BodyText"/>
              <w:jc w:val="center"/>
              <w:rPr>
                <w:rFonts w:cs="Arial"/>
                <w:b/>
                <w:bCs/>
                <w:sz w:val="22"/>
                <w:szCs w:val="22"/>
                <w:lang w:eastAsia="en-GB"/>
              </w:rPr>
            </w:pPr>
            <w:r w:rsidRPr="00406461">
              <w:rPr>
                <w:rFonts w:cs="Arial"/>
                <w:b/>
                <w:bCs/>
                <w:sz w:val="22"/>
                <w:szCs w:val="22"/>
                <w:lang w:eastAsia="en-GB"/>
              </w:rPr>
              <w:t>Cost of Chargeable Hours:</w:t>
            </w:r>
          </w:p>
        </w:tc>
        <w:tc>
          <w:tcPr>
            <w:tcW w:w="2178" w:type="dxa"/>
            <w:tcBorders>
              <w:top w:val="nil"/>
              <w:left w:val="nil"/>
              <w:bottom w:val="single" w:sz="4" w:space="0" w:color="auto"/>
              <w:right w:val="single" w:sz="4" w:space="0" w:color="auto"/>
            </w:tcBorders>
          </w:tcPr>
          <w:p w:rsidR="0009690F" w:rsidRPr="00CA0D49" w:rsidRDefault="0009690F" w:rsidP="0009690F">
            <w:pPr>
              <w:pStyle w:val="BodyText"/>
              <w:jc w:val="center"/>
              <w:rPr>
                <w:rFonts w:cs="Arial"/>
                <w:b/>
                <w:sz w:val="22"/>
                <w:szCs w:val="22"/>
                <w:lang w:eastAsia="en-GB"/>
              </w:rPr>
            </w:pPr>
            <w:r w:rsidRPr="00CA0D49">
              <w:rPr>
                <w:rFonts w:cs="Arial"/>
                <w:b/>
                <w:sz w:val="22"/>
                <w:szCs w:val="22"/>
                <w:lang w:eastAsia="en-GB"/>
              </w:rPr>
              <w:t>£25.73</w:t>
            </w:r>
          </w:p>
        </w:tc>
        <w:tc>
          <w:tcPr>
            <w:tcW w:w="1985" w:type="dxa"/>
            <w:tcBorders>
              <w:top w:val="nil"/>
              <w:left w:val="nil"/>
              <w:bottom w:val="single" w:sz="4" w:space="0" w:color="auto"/>
              <w:right w:val="single" w:sz="4" w:space="0" w:color="auto"/>
            </w:tcBorders>
          </w:tcPr>
          <w:p w:rsidR="0009690F" w:rsidRPr="00CA0D49" w:rsidRDefault="0009690F" w:rsidP="0009690F">
            <w:pPr>
              <w:pStyle w:val="BodyText"/>
              <w:jc w:val="center"/>
              <w:rPr>
                <w:rFonts w:cs="Arial"/>
                <w:b/>
                <w:sz w:val="22"/>
                <w:szCs w:val="22"/>
                <w:lang w:eastAsia="en-GB"/>
              </w:rPr>
            </w:pPr>
            <w:r w:rsidRPr="00CA0D49">
              <w:rPr>
                <w:rFonts w:cs="Arial"/>
                <w:b/>
                <w:sz w:val="22"/>
                <w:szCs w:val="22"/>
                <w:lang w:eastAsia="en-GB"/>
              </w:rPr>
              <w:t>£274.40</w:t>
            </w:r>
          </w:p>
        </w:tc>
        <w:tc>
          <w:tcPr>
            <w:tcW w:w="1843" w:type="dxa"/>
            <w:tcBorders>
              <w:top w:val="nil"/>
              <w:left w:val="nil"/>
              <w:bottom w:val="single" w:sz="4" w:space="0" w:color="auto"/>
              <w:right w:val="single" w:sz="4" w:space="0" w:color="auto"/>
            </w:tcBorders>
          </w:tcPr>
          <w:p w:rsidR="0009690F" w:rsidRPr="00CA0D49" w:rsidRDefault="0009690F" w:rsidP="0009690F">
            <w:pPr>
              <w:pStyle w:val="BodyText"/>
              <w:jc w:val="center"/>
              <w:rPr>
                <w:rFonts w:cs="Arial"/>
                <w:b/>
                <w:sz w:val="22"/>
                <w:szCs w:val="22"/>
                <w:lang w:eastAsia="en-GB"/>
              </w:rPr>
            </w:pPr>
            <w:r w:rsidRPr="00CA0D49">
              <w:rPr>
                <w:rFonts w:cs="Arial"/>
                <w:b/>
                <w:sz w:val="22"/>
                <w:szCs w:val="22"/>
                <w:lang w:eastAsia="en-GB"/>
              </w:rPr>
              <w:t>£548.80</w:t>
            </w:r>
          </w:p>
        </w:tc>
      </w:tr>
      <w:tr w:rsidR="0009690F" w:rsidRPr="00406461" w:rsidTr="00E47405">
        <w:trPr>
          <w:trHeight w:val="315"/>
        </w:trPr>
        <w:tc>
          <w:tcPr>
            <w:tcW w:w="8946" w:type="dxa"/>
            <w:gridSpan w:val="4"/>
            <w:tcBorders>
              <w:top w:val="nil"/>
              <w:left w:val="single" w:sz="4" w:space="0" w:color="auto"/>
              <w:bottom w:val="single" w:sz="4" w:space="0" w:color="auto"/>
              <w:right w:val="single" w:sz="4" w:space="0" w:color="auto"/>
            </w:tcBorders>
          </w:tcPr>
          <w:p w:rsidR="0009690F" w:rsidRPr="00406461" w:rsidRDefault="0009690F" w:rsidP="0009690F">
            <w:pPr>
              <w:pStyle w:val="BodyText"/>
              <w:jc w:val="center"/>
              <w:rPr>
                <w:rFonts w:cs="Arial"/>
                <w:b/>
                <w:bCs/>
                <w:sz w:val="22"/>
                <w:szCs w:val="22"/>
                <w:lang w:eastAsia="en-GB"/>
              </w:rPr>
            </w:pPr>
            <w:r w:rsidRPr="00406461">
              <w:rPr>
                <w:rFonts w:cs="Arial"/>
                <w:b/>
                <w:bCs/>
                <w:sz w:val="22"/>
                <w:szCs w:val="22"/>
                <w:lang w:eastAsia="en-GB"/>
              </w:rPr>
              <w:t>Income</w:t>
            </w:r>
          </w:p>
        </w:tc>
      </w:tr>
      <w:tr w:rsidR="0009690F" w:rsidRPr="00406461" w:rsidTr="00E47405">
        <w:trPr>
          <w:trHeight w:val="300"/>
        </w:trPr>
        <w:tc>
          <w:tcPr>
            <w:tcW w:w="2940" w:type="dxa"/>
            <w:tcBorders>
              <w:top w:val="nil"/>
              <w:left w:val="single" w:sz="4" w:space="0" w:color="auto"/>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State Pension</w:t>
            </w:r>
          </w:p>
        </w:tc>
        <w:tc>
          <w:tcPr>
            <w:tcW w:w="2178" w:type="dxa"/>
            <w:tcBorders>
              <w:top w:val="nil"/>
              <w:left w:val="nil"/>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w:t>
            </w:r>
            <w:r>
              <w:rPr>
                <w:rFonts w:cs="Arial"/>
                <w:sz w:val="22"/>
                <w:szCs w:val="22"/>
                <w:lang w:eastAsia="en-GB"/>
              </w:rPr>
              <w:t>175</w:t>
            </w:r>
            <w:r w:rsidRPr="00406461">
              <w:rPr>
                <w:rFonts w:cs="Arial"/>
                <w:sz w:val="22"/>
                <w:szCs w:val="22"/>
                <w:lang w:eastAsia="en-GB"/>
              </w:rPr>
              <w:t>.00</w:t>
            </w:r>
          </w:p>
        </w:tc>
        <w:tc>
          <w:tcPr>
            <w:tcW w:w="1985" w:type="dxa"/>
            <w:tcBorders>
              <w:top w:val="nil"/>
              <w:left w:val="nil"/>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Nil</w:t>
            </w:r>
          </w:p>
        </w:tc>
        <w:tc>
          <w:tcPr>
            <w:tcW w:w="1843" w:type="dxa"/>
            <w:tcBorders>
              <w:top w:val="nil"/>
              <w:left w:val="nil"/>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Nil</w:t>
            </w:r>
          </w:p>
        </w:tc>
      </w:tr>
      <w:tr w:rsidR="0009690F" w:rsidRPr="00406461" w:rsidTr="00E47405">
        <w:trPr>
          <w:trHeight w:val="300"/>
        </w:trPr>
        <w:tc>
          <w:tcPr>
            <w:tcW w:w="2940" w:type="dxa"/>
            <w:tcBorders>
              <w:top w:val="nil"/>
              <w:left w:val="single" w:sz="4" w:space="0" w:color="auto"/>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DWP Benefits</w:t>
            </w:r>
          </w:p>
        </w:tc>
        <w:tc>
          <w:tcPr>
            <w:tcW w:w="2178" w:type="dxa"/>
            <w:tcBorders>
              <w:top w:val="nil"/>
              <w:left w:val="nil"/>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Nil</w:t>
            </w:r>
          </w:p>
        </w:tc>
        <w:tc>
          <w:tcPr>
            <w:tcW w:w="1985" w:type="dxa"/>
            <w:tcBorders>
              <w:top w:val="nil"/>
              <w:left w:val="nil"/>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£320.00</w:t>
            </w:r>
          </w:p>
        </w:tc>
        <w:tc>
          <w:tcPr>
            <w:tcW w:w="1843" w:type="dxa"/>
            <w:tcBorders>
              <w:top w:val="nil"/>
              <w:left w:val="nil"/>
              <w:bottom w:val="single" w:sz="4" w:space="0" w:color="auto"/>
              <w:right w:val="single" w:sz="4" w:space="0" w:color="auto"/>
            </w:tcBorders>
          </w:tcPr>
          <w:p w:rsidR="0009690F" w:rsidRPr="00406461" w:rsidRDefault="0009690F" w:rsidP="004A462B">
            <w:pPr>
              <w:pStyle w:val="BodyText"/>
              <w:jc w:val="center"/>
              <w:rPr>
                <w:rFonts w:cs="Arial"/>
                <w:sz w:val="22"/>
                <w:szCs w:val="22"/>
                <w:lang w:eastAsia="en-GB"/>
              </w:rPr>
            </w:pPr>
            <w:r w:rsidRPr="00406461">
              <w:rPr>
                <w:rFonts w:cs="Arial"/>
                <w:sz w:val="22"/>
                <w:szCs w:val="22"/>
                <w:lang w:eastAsia="en-GB"/>
              </w:rPr>
              <w:t>£</w:t>
            </w:r>
            <w:r w:rsidR="00435E19">
              <w:rPr>
                <w:rFonts w:cs="Arial"/>
                <w:sz w:val="22"/>
                <w:szCs w:val="22"/>
                <w:lang w:eastAsia="en-GB"/>
              </w:rPr>
              <w:t>15</w:t>
            </w:r>
            <w:r w:rsidR="004A462B">
              <w:rPr>
                <w:rFonts w:cs="Arial"/>
                <w:sz w:val="22"/>
                <w:szCs w:val="22"/>
                <w:lang w:eastAsia="en-GB"/>
              </w:rPr>
              <w:t>9.17</w:t>
            </w:r>
          </w:p>
        </w:tc>
      </w:tr>
      <w:tr w:rsidR="0009690F" w:rsidRPr="00406461" w:rsidTr="00E47405">
        <w:trPr>
          <w:trHeight w:val="300"/>
        </w:trPr>
        <w:tc>
          <w:tcPr>
            <w:tcW w:w="2940" w:type="dxa"/>
            <w:tcBorders>
              <w:top w:val="nil"/>
              <w:left w:val="single" w:sz="4" w:space="0" w:color="auto"/>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Occupational Pension</w:t>
            </w:r>
          </w:p>
        </w:tc>
        <w:tc>
          <w:tcPr>
            <w:tcW w:w="2178" w:type="dxa"/>
            <w:tcBorders>
              <w:top w:val="nil"/>
              <w:left w:val="nil"/>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Nil</w:t>
            </w:r>
          </w:p>
        </w:tc>
        <w:tc>
          <w:tcPr>
            <w:tcW w:w="1985" w:type="dxa"/>
            <w:tcBorders>
              <w:top w:val="nil"/>
              <w:left w:val="nil"/>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Nil</w:t>
            </w:r>
          </w:p>
        </w:tc>
        <w:tc>
          <w:tcPr>
            <w:tcW w:w="1843" w:type="dxa"/>
            <w:tcBorders>
              <w:top w:val="nil"/>
              <w:left w:val="nil"/>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Nil</w:t>
            </w:r>
          </w:p>
        </w:tc>
      </w:tr>
      <w:tr w:rsidR="0009690F" w:rsidRPr="00406461" w:rsidTr="00E47405">
        <w:trPr>
          <w:trHeight w:val="300"/>
        </w:trPr>
        <w:tc>
          <w:tcPr>
            <w:tcW w:w="2940" w:type="dxa"/>
            <w:tcBorders>
              <w:top w:val="nil"/>
              <w:left w:val="single" w:sz="4" w:space="0" w:color="auto"/>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Pension Credit (over 60)</w:t>
            </w:r>
          </w:p>
        </w:tc>
        <w:tc>
          <w:tcPr>
            <w:tcW w:w="2178" w:type="dxa"/>
            <w:tcBorders>
              <w:top w:val="nil"/>
              <w:left w:val="nil"/>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£45.85</w:t>
            </w:r>
          </w:p>
        </w:tc>
        <w:tc>
          <w:tcPr>
            <w:tcW w:w="1985" w:type="dxa"/>
            <w:tcBorders>
              <w:top w:val="nil"/>
              <w:left w:val="nil"/>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Nil</w:t>
            </w:r>
          </w:p>
        </w:tc>
        <w:tc>
          <w:tcPr>
            <w:tcW w:w="1843" w:type="dxa"/>
            <w:tcBorders>
              <w:top w:val="nil"/>
              <w:left w:val="nil"/>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Nil</w:t>
            </w:r>
          </w:p>
        </w:tc>
      </w:tr>
      <w:tr w:rsidR="0009690F" w:rsidRPr="00406461" w:rsidTr="00E47405">
        <w:trPr>
          <w:trHeight w:val="300"/>
        </w:trPr>
        <w:tc>
          <w:tcPr>
            <w:tcW w:w="2940" w:type="dxa"/>
            <w:tcBorders>
              <w:top w:val="nil"/>
              <w:left w:val="single" w:sz="4" w:space="0" w:color="auto"/>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AA/DLA Care Component</w:t>
            </w:r>
          </w:p>
        </w:tc>
        <w:tc>
          <w:tcPr>
            <w:tcW w:w="2178" w:type="dxa"/>
            <w:tcBorders>
              <w:top w:val="nil"/>
              <w:left w:val="nil"/>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£89.15</w:t>
            </w:r>
          </w:p>
        </w:tc>
        <w:tc>
          <w:tcPr>
            <w:tcW w:w="1985" w:type="dxa"/>
            <w:tcBorders>
              <w:top w:val="nil"/>
              <w:left w:val="nil"/>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£178.30</w:t>
            </w:r>
          </w:p>
        </w:tc>
        <w:tc>
          <w:tcPr>
            <w:tcW w:w="1843" w:type="dxa"/>
            <w:tcBorders>
              <w:top w:val="nil"/>
              <w:left w:val="nil"/>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£0</w:t>
            </w:r>
          </w:p>
        </w:tc>
      </w:tr>
      <w:tr w:rsidR="0009690F" w:rsidRPr="00406461" w:rsidTr="00E47405">
        <w:trPr>
          <w:trHeight w:val="300"/>
        </w:trPr>
        <w:tc>
          <w:tcPr>
            <w:tcW w:w="2940" w:type="dxa"/>
            <w:tcBorders>
              <w:top w:val="nil"/>
              <w:left w:val="single" w:sz="4" w:space="0" w:color="auto"/>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Earnings</w:t>
            </w:r>
          </w:p>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Less Earnings Disregard</w:t>
            </w:r>
          </w:p>
        </w:tc>
        <w:tc>
          <w:tcPr>
            <w:tcW w:w="2178" w:type="dxa"/>
            <w:tcBorders>
              <w:top w:val="nil"/>
              <w:left w:val="nil"/>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Nil</w:t>
            </w:r>
          </w:p>
        </w:tc>
        <w:tc>
          <w:tcPr>
            <w:tcW w:w="1985" w:type="dxa"/>
            <w:tcBorders>
              <w:top w:val="nil"/>
              <w:left w:val="nil"/>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Nil</w:t>
            </w:r>
          </w:p>
        </w:tc>
        <w:tc>
          <w:tcPr>
            <w:tcW w:w="1843" w:type="dxa"/>
            <w:tcBorders>
              <w:top w:val="nil"/>
              <w:left w:val="nil"/>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£65.00</w:t>
            </w:r>
          </w:p>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-£20.00</w:t>
            </w:r>
          </w:p>
        </w:tc>
      </w:tr>
      <w:tr w:rsidR="0009690F" w:rsidRPr="00406461" w:rsidTr="00E47405">
        <w:trPr>
          <w:trHeight w:val="315"/>
        </w:trPr>
        <w:tc>
          <w:tcPr>
            <w:tcW w:w="2940" w:type="dxa"/>
            <w:tcBorders>
              <w:top w:val="nil"/>
              <w:left w:val="single" w:sz="4" w:space="0" w:color="auto"/>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Gross Income</w:t>
            </w:r>
          </w:p>
        </w:tc>
        <w:tc>
          <w:tcPr>
            <w:tcW w:w="2178" w:type="dxa"/>
            <w:tcBorders>
              <w:top w:val="nil"/>
              <w:left w:val="nil"/>
              <w:bottom w:val="single" w:sz="4" w:space="0" w:color="auto"/>
              <w:right w:val="single" w:sz="4" w:space="0" w:color="auto"/>
            </w:tcBorders>
          </w:tcPr>
          <w:p w:rsidR="0009690F" w:rsidRPr="00406461" w:rsidRDefault="0009690F" w:rsidP="004A462B">
            <w:pPr>
              <w:pStyle w:val="BodyText"/>
              <w:jc w:val="center"/>
              <w:rPr>
                <w:rFonts w:cs="Arial"/>
                <w:sz w:val="22"/>
                <w:szCs w:val="22"/>
                <w:lang w:eastAsia="en-GB"/>
              </w:rPr>
            </w:pPr>
            <w:r w:rsidRPr="00406461">
              <w:rPr>
                <w:rFonts w:cs="Arial"/>
                <w:sz w:val="22"/>
                <w:szCs w:val="22"/>
                <w:lang w:eastAsia="en-GB"/>
              </w:rPr>
              <w:t>£</w:t>
            </w:r>
            <w:r>
              <w:rPr>
                <w:rFonts w:cs="Arial"/>
                <w:sz w:val="22"/>
                <w:szCs w:val="22"/>
                <w:lang w:eastAsia="en-GB"/>
              </w:rPr>
              <w:t>31</w:t>
            </w:r>
            <w:r w:rsidR="004A462B">
              <w:rPr>
                <w:rFonts w:cs="Arial"/>
                <w:sz w:val="22"/>
                <w:szCs w:val="22"/>
                <w:lang w:eastAsia="en-GB"/>
              </w:rPr>
              <w:t>7.10</w:t>
            </w:r>
          </w:p>
        </w:tc>
        <w:tc>
          <w:tcPr>
            <w:tcW w:w="1985" w:type="dxa"/>
            <w:tcBorders>
              <w:top w:val="nil"/>
              <w:left w:val="nil"/>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£498.30</w:t>
            </w:r>
          </w:p>
        </w:tc>
        <w:tc>
          <w:tcPr>
            <w:tcW w:w="1843" w:type="dxa"/>
            <w:tcBorders>
              <w:top w:val="nil"/>
              <w:left w:val="nil"/>
              <w:bottom w:val="single" w:sz="4" w:space="0" w:color="auto"/>
              <w:right w:val="single" w:sz="4" w:space="0" w:color="auto"/>
            </w:tcBorders>
          </w:tcPr>
          <w:p w:rsidR="0009690F" w:rsidRPr="00406461" w:rsidRDefault="0009690F" w:rsidP="00435E19">
            <w:pPr>
              <w:pStyle w:val="BodyText"/>
              <w:jc w:val="center"/>
              <w:rPr>
                <w:rFonts w:cs="Arial"/>
                <w:sz w:val="22"/>
                <w:szCs w:val="22"/>
                <w:lang w:eastAsia="en-GB"/>
              </w:rPr>
            </w:pPr>
            <w:r w:rsidRPr="00406461">
              <w:rPr>
                <w:rFonts w:cs="Arial"/>
                <w:sz w:val="22"/>
                <w:szCs w:val="22"/>
                <w:lang w:eastAsia="en-GB"/>
              </w:rPr>
              <w:t>£</w:t>
            </w:r>
            <w:r w:rsidR="00435E19">
              <w:rPr>
                <w:rFonts w:cs="Arial"/>
                <w:sz w:val="22"/>
                <w:szCs w:val="22"/>
                <w:lang w:eastAsia="en-GB"/>
              </w:rPr>
              <w:t>204.17</w:t>
            </w:r>
          </w:p>
        </w:tc>
      </w:tr>
      <w:tr w:rsidR="0009690F" w:rsidRPr="00406461" w:rsidTr="00E47405">
        <w:trPr>
          <w:trHeight w:val="300"/>
        </w:trPr>
        <w:tc>
          <w:tcPr>
            <w:tcW w:w="2940" w:type="dxa"/>
            <w:tcBorders>
              <w:top w:val="nil"/>
              <w:left w:val="single" w:sz="4" w:space="0" w:color="auto"/>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Less: Threshold</w:t>
            </w:r>
          </w:p>
        </w:tc>
        <w:tc>
          <w:tcPr>
            <w:tcW w:w="2178" w:type="dxa"/>
            <w:tcBorders>
              <w:top w:val="nil"/>
              <w:left w:val="nil"/>
              <w:bottom w:val="single" w:sz="4" w:space="0" w:color="auto"/>
              <w:right w:val="single" w:sz="4" w:space="0" w:color="auto"/>
            </w:tcBorders>
          </w:tcPr>
          <w:p w:rsidR="0009690F" w:rsidRPr="00D94158" w:rsidRDefault="0009690F" w:rsidP="004C571E">
            <w:pPr>
              <w:pStyle w:val="BodyText"/>
              <w:jc w:val="center"/>
              <w:rPr>
                <w:rFonts w:cs="Arial"/>
                <w:sz w:val="22"/>
                <w:szCs w:val="22"/>
                <w:highlight w:val="yellow"/>
                <w:lang w:eastAsia="en-GB"/>
              </w:rPr>
            </w:pPr>
            <w:r w:rsidRPr="00CF6519">
              <w:rPr>
                <w:rFonts w:cs="Arial"/>
                <w:sz w:val="22"/>
                <w:szCs w:val="22"/>
                <w:lang w:eastAsia="en-GB"/>
              </w:rPr>
              <w:t>£2</w:t>
            </w:r>
            <w:r w:rsidR="004C571E">
              <w:rPr>
                <w:rFonts w:cs="Arial"/>
                <w:sz w:val="22"/>
                <w:szCs w:val="22"/>
                <w:lang w:eastAsia="en-GB"/>
              </w:rPr>
              <w:t>52</w:t>
            </w:r>
          </w:p>
        </w:tc>
        <w:tc>
          <w:tcPr>
            <w:tcW w:w="1985" w:type="dxa"/>
            <w:tcBorders>
              <w:top w:val="nil"/>
              <w:left w:val="nil"/>
              <w:bottom w:val="single" w:sz="4" w:space="0" w:color="auto"/>
              <w:right w:val="single" w:sz="4" w:space="0" w:color="auto"/>
            </w:tcBorders>
          </w:tcPr>
          <w:p w:rsidR="0009690F" w:rsidRPr="00D94158" w:rsidRDefault="0009690F" w:rsidP="004C571E">
            <w:pPr>
              <w:pStyle w:val="BodyText"/>
              <w:jc w:val="center"/>
              <w:rPr>
                <w:rFonts w:cs="Arial"/>
                <w:sz w:val="22"/>
                <w:szCs w:val="22"/>
                <w:highlight w:val="yellow"/>
                <w:lang w:eastAsia="en-GB"/>
              </w:rPr>
            </w:pPr>
            <w:r w:rsidRPr="0009690F">
              <w:rPr>
                <w:rFonts w:cs="Arial"/>
                <w:sz w:val="22"/>
                <w:szCs w:val="22"/>
                <w:lang w:eastAsia="en-GB"/>
              </w:rPr>
              <w:t>£</w:t>
            </w:r>
            <w:r w:rsidR="004C571E">
              <w:rPr>
                <w:rFonts w:cs="Arial"/>
                <w:sz w:val="22"/>
                <w:szCs w:val="22"/>
                <w:lang w:eastAsia="en-GB"/>
              </w:rPr>
              <w:t>384</w:t>
            </w:r>
          </w:p>
        </w:tc>
        <w:tc>
          <w:tcPr>
            <w:tcW w:w="1843" w:type="dxa"/>
            <w:tcBorders>
              <w:top w:val="nil"/>
              <w:left w:val="nil"/>
              <w:bottom w:val="single" w:sz="4" w:space="0" w:color="auto"/>
              <w:right w:val="single" w:sz="4" w:space="0" w:color="auto"/>
            </w:tcBorders>
          </w:tcPr>
          <w:p w:rsidR="0009690F" w:rsidRPr="00D94158" w:rsidRDefault="0009690F" w:rsidP="00435E19">
            <w:pPr>
              <w:pStyle w:val="BodyText"/>
              <w:jc w:val="center"/>
              <w:rPr>
                <w:rFonts w:cs="Arial"/>
                <w:sz w:val="22"/>
                <w:szCs w:val="22"/>
                <w:highlight w:val="yellow"/>
                <w:lang w:eastAsia="en-GB"/>
              </w:rPr>
            </w:pPr>
            <w:r w:rsidRPr="003C11E5">
              <w:rPr>
                <w:rFonts w:cs="Arial"/>
                <w:sz w:val="22"/>
                <w:szCs w:val="22"/>
                <w:lang w:eastAsia="en-GB"/>
              </w:rPr>
              <w:t>£</w:t>
            </w:r>
            <w:r w:rsidR="00435E19">
              <w:rPr>
                <w:rFonts w:cs="Arial"/>
                <w:sz w:val="22"/>
                <w:szCs w:val="22"/>
                <w:lang w:eastAsia="en-GB"/>
              </w:rPr>
              <w:t>252</w:t>
            </w:r>
          </w:p>
        </w:tc>
      </w:tr>
      <w:tr w:rsidR="0009690F" w:rsidRPr="00406461" w:rsidTr="00E47405">
        <w:trPr>
          <w:trHeight w:val="600"/>
        </w:trPr>
        <w:tc>
          <w:tcPr>
            <w:tcW w:w="2940" w:type="dxa"/>
            <w:tcBorders>
              <w:top w:val="nil"/>
              <w:left w:val="single" w:sz="4" w:space="0" w:color="auto"/>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Le</w:t>
            </w:r>
            <w:r w:rsidR="00CA0D49">
              <w:rPr>
                <w:rFonts w:cs="Arial"/>
                <w:sz w:val="22"/>
                <w:szCs w:val="22"/>
                <w:lang w:eastAsia="en-GB"/>
              </w:rPr>
              <w:t xml:space="preserve">ss: Housing Costs for Water &amp; </w:t>
            </w:r>
            <w:r w:rsidRPr="00406461">
              <w:rPr>
                <w:rFonts w:cs="Arial"/>
                <w:sz w:val="22"/>
                <w:szCs w:val="22"/>
                <w:lang w:eastAsia="en-GB"/>
              </w:rPr>
              <w:t>Sewerage charges</w:t>
            </w:r>
          </w:p>
        </w:tc>
        <w:tc>
          <w:tcPr>
            <w:tcW w:w="2178" w:type="dxa"/>
            <w:tcBorders>
              <w:top w:val="nil"/>
              <w:left w:val="nil"/>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£10.00</w:t>
            </w:r>
          </w:p>
        </w:tc>
        <w:tc>
          <w:tcPr>
            <w:tcW w:w="1985" w:type="dxa"/>
            <w:tcBorders>
              <w:top w:val="nil"/>
              <w:left w:val="nil"/>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£10.00</w:t>
            </w:r>
          </w:p>
        </w:tc>
        <w:tc>
          <w:tcPr>
            <w:tcW w:w="1843" w:type="dxa"/>
            <w:tcBorders>
              <w:top w:val="nil"/>
              <w:left w:val="nil"/>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£13.00</w:t>
            </w:r>
          </w:p>
        </w:tc>
      </w:tr>
      <w:tr w:rsidR="0009690F" w:rsidRPr="00406461" w:rsidTr="00E47405">
        <w:trPr>
          <w:trHeight w:val="315"/>
        </w:trPr>
        <w:tc>
          <w:tcPr>
            <w:tcW w:w="2940" w:type="dxa"/>
            <w:tcBorders>
              <w:top w:val="nil"/>
              <w:left w:val="single" w:sz="4" w:space="0" w:color="auto"/>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 Available Income</w:t>
            </w:r>
          </w:p>
        </w:tc>
        <w:tc>
          <w:tcPr>
            <w:tcW w:w="2178" w:type="dxa"/>
            <w:tcBorders>
              <w:top w:val="nil"/>
              <w:left w:val="nil"/>
              <w:bottom w:val="single" w:sz="4" w:space="0" w:color="auto"/>
              <w:right w:val="single" w:sz="4" w:space="0" w:color="auto"/>
            </w:tcBorders>
          </w:tcPr>
          <w:p w:rsidR="0009690F" w:rsidRPr="00406461" w:rsidRDefault="0009690F" w:rsidP="004C571E">
            <w:pPr>
              <w:pStyle w:val="BodyText"/>
              <w:jc w:val="center"/>
              <w:rPr>
                <w:rFonts w:cs="Arial"/>
                <w:sz w:val="22"/>
                <w:szCs w:val="22"/>
                <w:lang w:eastAsia="en-GB"/>
              </w:rPr>
            </w:pPr>
            <w:r w:rsidRPr="00406461">
              <w:rPr>
                <w:rFonts w:cs="Arial"/>
                <w:sz w:val="22"/>
                <w:szCs w:val="22"/>
                <w:lang w:eastAsia="en-GB"/>
              </w:rPr>
              <w:t>£</w:t>
            </w:r>
            <w:r w:rsidR="004C571E">
              <w:rPr>
                <w:rFonts w:cs="Arial"/>
                <w:sz w:val="22"/>
                <w:szCs w:val="22"/>
                <w:lang w:eastAsia="en-GB"/>
              </w:rPr>
              <w:t>55.10</w:t>
            </w:r>
          </w:p>
        </w:tc>
        <w:tc>
          <w:tcPr>
            <w:tcW w:w="1985" w:type="dxa"/>
            <w:tcBorders>
              <w:top w:val="nil"/>
              <w:left w:val="nil"/>
              <w:bottom w:val="single" w:sz="4" w:space="0" w:color="auto"/>
              <w:right w:val="single" w:sz="4" w:space="0" w:color="auto"/>
            </w:tcBorders>
          </w:tcPr>
          <w:p w:rsidR="0009690F" w:rsidRPr="00406461" w:rsidRDefault="0009690F" w:rsidP="004C571E">
            <w:pPr>
              <w:pStyle w:val="BodyText"/>
              <w:jc w:val="center"/>
              <w:rPr>
                <w:rFonts w:cs="Arial"/>
                <w:sz w:val="22"/>
                <w:szCs w:val="22"/>
                <w:lang w:eastAsia="en-GB"/>
              </w:rPr>
            </w:pPr>
            <w:r w:rsidRPr="00406461">
              <w:rPr>
                <w:rFonts w:cs="Arial"/>
                <w:sz w:val="22"/>
                <w:szCs w:val="22"/>
                <w:lang w:eastAsia="en-GB"/>
              </w:rPr>
              <w:t>£</w:t>
            </w:r>
            <w:r w:rsidR="004C571E">
              <w:rPr>
                <w:rFonts w:cs="Arial"/>
                <w:sz w:val="22"/>
                <w:szCs w:val="22"/>
                <w:lang w:eastAsia="en-GB"/>
              </w:rPr>
              <w:t>104.30</w:t>
            </w:r>
          </w:p>
        </w:tc>
        <w:tc>
          <w:tcPr>
            <w:tcW w:w="1843" w:type="dxa"/>
            <w:tcBorders>
              <w:top w:val="nil"/>
              <w:left w:val="nil"/>
              <w:bottom w:val="single" w:sz="4" w:space="0" w:color="auto"/>
              <w:right w:val="single" w:sz="4" w:space="0" w:color="auto"/>
            </w:tcBorders>
          </w:tcPr>
          <w:p w:rsidR="0009690F" w:rsidRPr="00406461" w:rsidRDefault="0009690F" w:rsidP="00435E19">
            <w:pPr>
              <w:pStyle w:val="BodyText"/>
              <w:jc w:val="center"/>
              <w:rPr>
                <w:rFonts w:cs="Arial"/>
                <w:sz w:val="22"/>
                <w:szCs w:val="22"/>
                <w:lang w:eastAsia="en-GB"/>
              </w:rPr>
            </w:pPr>
            <w:r w:rsidRPr="00406461">
              <w:rPr>
                <w:rFonts w:cs="Arial"/>
                <w:sz w:val="22"/>
                <w:szCs w:val="22"/>
                <w:lang w:eastAsia="en-GB"/>
              </w:rPr>
              <w:t>(£</w:t>
            </w:r>
            <w:r w:rsidR="00435E19">
              <w:rPr>
                <w:rFonts w:cs="Arial"/>
                <w:sz w:val="22"/>
                <w:szCs w:val="22"/>
                <w:lang w:eastAsia="en-GB"/>
              </w:rPr>
              <w:t>60.83</w:t>
            </w:r>
            <w:r w:rsidRPr="00406461">
              <w:rPr>
                <w:rFonts w:cs="Arial"/>
                <w:sz w:val="22"/>
                <w:szCs w:val="22"/>
                <w:lang w:eastAsia="en-GB"/>
              </w:rPr>
              <w:t>)</w:t>
            </w:r>
          </w:p>
        </w:tc>
      </w:tr>
      <w:tr w:rsidR="0009690F" w:rsidRPr="00406461" w:rsidTr="00E47405">
        <w:trPr>
          <w:trHeight w:val="315"/>
        </w:trPr>
        <w:tc>
          <w:tcPr>
            <w:tcW w:w="2940" w:type="dxa"/>
            <w:tcBorders>
              <w:top w:val="nil"/>
              <w:left w:val="single" w:sz="4" w:space="0" w:color="auto"/>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x Taper (50p in £)</w:t>
            </w:r>
          </w:p>
        </w:tc>
        <w:tc>
          <w:tcPr>
            <w:tcW w:w="2178" w:type="dxa"/>
            <w:tcBorders>
              <w:top w:val="nil"/>
              <w:left w:val="nil"/>
              <w:bottom w:val="single" w:sz="4" w:space="0" w:color="auto"/>
              <w:right w:val="single" w:sz="4" w:space="0" w:color="auto"/>
            </w:tcBorders>
          </w:tcPr>
          <w:p w:rsidR="0009690F" w:rsidRPr="00406461" w:rsidRDefault="0009690F" w:rsidP="004C571E">
            <w:pPr>
              <w:pStyle w:val="BodyText"/>
              <w:jc w:val="center"/>
              <w:rPr>
                <w:rFonts w:cs="Arial"/>
                <w:sz w:val="22"/>
                <w:szCs w:val="22"/>
                <w:lang w:eastAsia="en-GB"/>
              </w:rPr>
            </w:pPr>
            <w:r w:rsidRPr="00406461">
              <w:rPr>
                <w:rFonts w:cs="Arial"/>
                <w:sz w:val="22"/>
                <w:szCs w:val="22"/>
                <w:lang w:eastAsia="en-GB"/>
              </w:rPr>
              <w:t>£</w:t>
            </w:r>
            <w:r w:rsidR="004C571E">
              <w:rPr>
                <w:rFonts w:cs="Arial"/>
                <w:sz w:val="22"/>
                <w:szCs w:val="22"/>
                <w:lang w:eastAsia="en-GB"/>
              </w:rPr>
              <w:t>27.55</w:t>
            </w:r>
          </w:p>
        </w:tc>
        <w:tc>
          <w:tcPr>
            <w:tcW w:w="1985" w:type="dxa"/>
            <w:tcBorders>
              <w:top w:val="nil"/>
              <w:left w:val="nil"/>
              <w:bottom w:val="single" w:sz="4" w:space="0" w:color="auto"/>
              <w:right w:val="single" w:sz="4" w:space="0" w:color="auto"/>
            </w:tcBorders>
          </w:tcPr>
          <w:p w:rsidR="0009690F" w:rsidRPr="00406461" w:rsidRDefault="0009690F" w:rsidP="004C571E">
            <w:pPr>
              <w:pStyle w:val="BodyText"/>
              <w:jc w:val="center"/>
              <w:rPr>
                <w:rFonts w:cs="Arial"/>
                <w:sz w:val="22"/>
                <w:szCs w:val="22"/>
                <w:lang w:eastAsia="en-GB"/>
              </w:rPr>
            </w:pPr>
            <w:r w:rsidRPr="00406461">
              <w:rPr>
                <w:rFonts w:cs="Arial"/>
                <w:sz w:val="22"/>
                <w:szCs w:val="22"/>
                <w:lang w:eastAsia="en-GB"/>
              </w:rPr>
              <w:t>£</w:t>
            </w:r>
            <w:r w:rsidR="004C571E">
              <w:rPr>
                <w:rFonts w:cs="Arial"/>
                <w:sz w:val="22"/>
                <w:szCs w:val="22"/>
                <w:lang w:eastAsia="en-GB"/>
              </w:rPr>
              <w:t>52.15</w:t>
            </w:r>
          </w:p>
        </w:tc>
        <w:tc>
          <w:tcPr>
            <w:tcW w:w="1843" w:type="dxa"/>
            <w:tcBorders>
              <w:top w:val="nil"/>
              <w:left w:val="nil"/>
              <w:bottom w:val="single" w:sz="4" w:space="0" w:color="auto"/>
              <w:right w:val="single" w:sz="4" w:space="0" w:color="auto"/>
            </w:tcBorders>
          </w:tcPr>
          <w:p w:rsidR="0009690F" w:rsidRPr="00406461" w:rsidRDefault="0009690F" w:rsidP="00435E19">
            <w:pPr>
              <w:pStyle w:val="BodyText"/>
              <w:jc w:val="center"/>
              <w:rPr>
                <w:rFonts w:cs="Arial"/>
                <w:sz w:val="22"/>
                <w:szCs w:val="22"/>
                <w:lang w:eastAsia="en-GB"/>
              </w:rPr>
            </w:pPr>
            <w:r w:rsidRPr="00406461">
              <w:rPr>
                <w:rFonts w:cs="Arial"/>
                <w:sz w:val="22"/>
                <w:szCs w:val="22"/>
                <w:lang w:eastAsia="en-GB"/>
              </w:rPr>
              <w:t>(£</w:t>
            </w:r>
            <w:r w:rsidR="00435E19">
              <w:rPr>
                <w:rFonts w:cs="Arial"/>
                <w:sz w:val="22"/>
                <w:szCs w:val="22"/>
                <w:lang w:eastAsia="en-GB"/>
              </w:rPr>
              <w:t>30.41</w:t>
            </w:r>
            <w:r w:rsidRPr="00406461">
              <w:rPr>
                <w:rFonts w:cs="Arial"/>
                <w:sz w:val="22"/>
                <w:szCs w:val="22"/>
                <w:lang w:eastAsia="en-GB"/>
              </w:rPr>
              <w:t>)</w:t>
            </w:r>
          </w:p>
        </w:tc>
      </w:tr>
      <w:tr w:rsidR="0009690F" w:rsidRPr="00406461" w:rsidTr="00E47405">
        <w:trPr>
          <w:trHeight w:val="315"/>
        </w:trPr>
        <w:tc>
          <w:tcPr>
            <w:tcW w:w="2940" w:type="dxa"/>
            <w:tcBorders>
              <w:top w:val="nil"/>
              <w:left w:val="single" w:sz="4" w:space="0" w:color="auto"/>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Actual Charge Applied</w:t>
            </w:r>
          </w:p>
        </w:tc>
        <w:tc>
          <w:tcPr>
            <w:tcW w:w="2178" w:type="dxa"/>
            <w:tcBorders>
              <w:top w:val="nil"/>
              <w:left w:val="nil"/>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£25.73 (Cost of Service Lower Than Charge)</w:t>
            </w:r>
          </w:p>
        </w:tc>
        <w:tc>
          <w:tcPr>
            <w:tcW w:w="1985" w:type="dxa"/>
            <w:tcBorders>
              <w:top w:val="nil"/>
              <w:left w:val="nil"/>
              <w:bottom w:val="single" w:sz="4" w:space="0" w:color="auto"/>
              <w:right w:val="single" w:sz="4" w:space="0" w:color="auto"/>
            </w:tcBorders>
          </w:tcPr>
          <w:p w:rsidR="0009690F" w:rsidRPr="0009690F" w:rsidRDefault="004C571E" w:rsidP="005C546F">
            <w:pPr>
              <w:pStyle w:val="BodyText"/>
              <w:jc w:val="center"/>
              <w:rPr>
                <w:rFonts w:cs="Arial"/>
                <w:sz w:val="22"/>
                <w:szCs w:val="22"/>
                <w:lang w:eastAsia="en-GB"/>
              </w:rPr>
            </w:pPr>
            <w:r>
              <w:rPr>
                <w:rFonts w:cs="Arial"/>
                <w:sz w:val="22"/>
                <w:szCs w:val="22"/>
                <w:lang w:eastAsia="en-GB"/>
              </w:rPr>
              <w:t>A charge of £52.15 is applied</w:t>
            </w:r>
          </w:p>
        </w:tc>
        <w:tc>
          <w:tcPr>
            <w:tcW w:w="1843" w:type="dxa"/>
            <w:tcBorders>
              <w:top w:val="nil"/>
              <w:left w:val="nil"/>
              <w:bottom w:val="single" w:sz="4" w:space="0" w:color="auto"/>
              <w:right w:val="single" w:sz="4" w:space="0" w:color="auto"/>
            </w:tcBorders>
          </w:tcPr>
          <w:p w:rsidR="0009690F" w:rsidRPr="00406461" w:rsidRDefault="0009690F" w:rsidP="0009690F">
            <w:pPr>
              <w:pStyle w:val="BodyText"/>
              <w:jc w:val="center"/>
              <w:rPr>
                <w:rFonts w:cs="Arial"/>
                <w:sz w:val="22"/>
                <w:szCs w:val="22"/>
                <w:lang w:eastAsia="en-GB"/>
              </w:rPr>
            </w:pPr>
            <w:r w:rsidRPr="00406461">
              <w:rPr>
                <w:rFonts w:cs="Arial"/>
                <w:sz w:val="22"/>
                <w:szCs w:val="22"/>
                <w:lang w:eastAsia="en-GB"/>
              </w:rPr>
              <w:t>NIL (Income Below charging Threshold)</w:t>
            </w:r>
          </w:p>
        </w:tc>
      </w:tr>
    </w:tbl>
    <w:p w:rsidR="00447237" w:rsidRDefault="00447237" w:rsidP="00344AAA">
      <w:pPr>
        <w:pStyle w:val="Heading1"/>
        <w:rPr>
          <w:rFonts w:cs="Arial"/>
          <w:sz w:val="22"/>
          <w:szCs w:val="22"/>
          <w:u w:color="000000"/>
        </w:rPr>
      </w:pPr>
    </w:p>
    <w:p w:rsidR="00447237" w:rsidRDefault="00394461" w:rsidP="00447237">
      <w:pPr>
        <w:pStyle w:val="Heading1"/>
        <w:jc w:val="right"/>
        <w:rPr>
          <w:u w:color="000000"/>
        </w:rPr>
      </w:pPr>
      <w:bookmarkStart w:id="65" w:name="_Toc131412139"/>
      <w:r>
        <w:rPr>
          <w:u w:color="000000"/>
        </w:rPr>
        <w:t>Appendix 8</w:t>
      </w:r>
      <w:bookmarkEnd w:id="65"/>
      <w:r w:rsidR="00E47405">
        <w:rPr>
          <w:u w:color="000000"/>
        </w:rPr>
        <w:t xml:space="preserve"> </w:t>
      </w:r>
    </w:p>
    <w:p w:rsidR="00E47405" w:rsidRPr="00CB6C16" w:rsidRDefault="00E47405" w:rsidP="00344AAA">
      <w:pPr>
        <w:pStyle w:val="Heading1"/>
        <w:rPr>
          <w:u w:val="single"/>
        </w:rPr>
      </w:pPr>
      <w:bookmarkStart w:id="66" w:name="_Toc131412140"/>
      <w:r w:rsidRPr="00CB6C16">
        <w:rPr>
          <w:u w:val="single"/>
        </w:rPr>
        <w:t>Residential</w:t>
      </w:r>
      <w:r w:rsidRPr="00CB6C16">
        <w:rPr>
          <w:spacing w:val="-12"/>
          <w:u w:val="single"/>
        </w:rPr>
        <w:t xml:space="preserve"> </w:t>
      </w:r>
      <w:r w:rsidRPr="00CB6C16">
        <w:rPr>
          <w:u w:val="single"/>
        </w:rPr>
        <w:t>Care</w:t>
      </w:r>
      <w:bookmarkEnd w:id="66"/>
    </w:p>
    <w:p w:rsidR="00E47405" w:rsidRPr="002A0678" w:rsidRDefault="00E47405" w:rsidP="00E47405"/>
    <w:p w:rsidR="00E47405" w:rsidRDefault="00E47405" w:rsidP="00E47405">
      <w:pPr>
        <w:pStyle w:val="BodyText"/>
      </w:pPr>
      <w:r w:rsidRPr="005B565C">
        <w:rPr>
          <w:spacing w:val="-1"/>
        </w:rPr>
        <w:t>Two</w:t>
      </w:r>
      <w:r w:rsidRPr="005B565C">
        <w:rPr>
          <w:spacing w:val="-5"/>
        </w:rPr>
        <w:t xml:space="preserve"> </w:t>
      </w:r>
      <w:r w:rsidRPr="005B565C">
        <w:rPr>
          <w:spacing w:val="-1"/>
        </w:rPr>
        <w:t>sets</w:t>
      </w:r>
      <w:r w:rsidRPr="005B565C">
        <w:rPr>
          <w:spacing w:val="-5"/>
        </w:rPr>
        <w:t xml:space="preserve"> </w:t>
      </w:r>
      <w:r w:rsidRPr="005B565C">
        <w:rPr>
          <w:spacing w:val="-1"/>
        </w:rPr>
        <w:t>of regulations</w:t>
      </w:r>
      <w:r w:rsidRPr="005B565C">
        <w:rPr>
          <w:spacing w:val="-13"/>
        </w:rPr>
        <w:t xml:space="preserve"> </w:t>
      </w:r>
      <w:r w:rsidRPr="005B565C">
        <w:rPr>
          <w:spacing w:val="-1"/>
        </w:rPr>
        <w:t>made</w:t>
      </w:r>
      <w:r w:rsidRPr="005B565C">
        <w:rPr>
          <w:spacing w:val="-7"/>
        </w:rPr>
        <w:t xml:space="preserve"> </w:t>
      </w:r>
      <w:r>
        <w:rPr>
          <w:spacing w:val="-1"/>
        </w:rPr>
        <w:t>to the</w:t>
      </w:r>
      <w:r w:rsidRPr="005B565C">
        <w:rPr>
          <w:spacing w:val="-6"/>
        </w:rPr>
        <w:t xml:space="preserve"> </w:t>
      </w:r>
      <w:r w:rsidRPr="005B565C">
        <w:t>National</w:t>
      </w:r>
      <w:r w:rsidRPr="005B565C">
        <w:rPr>
          <w:spacing w:val="-11"/>
        </w:rPr>
        <w:t xml:space="preserve"> </w:t>
      </w:r>
      <w:r w:rsidRPr="005B565C">
        <w:t>Assistance</w:t>
      </w:r>
      <w:r w:rsidRPr="005B565C">
        <w:rPr>
          <w:spacing w:val="-14"/>
        </w:rPr>
        <w:t xml:space="preserve"> </w:t>
      </w:r>
      <w:r w:rsidRPr="005B565C">
        <w:rPr>
          <w:spacing w:val="-1"/>
        </w:rPr>
        <w:t>Act</w:t>
      </w:r>
      <w:r w:rsidRPr="005B565C">
        <w:rPr>
          <w:spacing w:val="-3"/>
        </w:rPr>
        <w:t xml:space="preserve"> </w:t>
      </w:r>
      <w:r w:rsidRPr="005B565C">
        <w:t>1948</w:t>
      </w:r>
      <w:r w:rsidRPr="005B565C">
        <w:rPr>
          <w:spacing w:val="-5"/>
        </w:rPr>
        <w:t xml:space="preserve"> </w:t>
      </w:r>
      <w:r w:rsidRPr="005B565C">
        <w:t>came</w:t>
      </w:r>
      <w:r w:rsidRPr="00683BB9">
        <w:t xml:space="preserve"> </w:t>
      </w:r>
      <w:r w:rsidRPr="005B565C">
        <w:t>into</w:t>
      </w:r>
      <w:r w:rsidRPr="005B565C">
        <w:rPr>
          <w:spacing w:val="43"/>
        </w:rPr>
        <w:t xml:space="preserve"> </w:t>
      </w:r>
      <w:r w:rsidRPr="005B565C">
        <w:t>force</w:t>
      </w:r>
      <w:r w:rsidRPr="005B565C">
        <w:rPr>
          <w:spacing w:val="-5"/>
        </w:rPr>
        <w:t xml:space="preserve"> </w:t>
      </w:r>
      <w:r w:rsidRPr="005B565C">
        <w:rPr>
          <w:spacing w:val="-1"/>
        </w:rPr>
        <w:t>on</w:t>
      </w:r>
      <w:r w:rsidRPr="005B565C">
        <w:rPr>
          <w:spacing w:val="-5"/>
        </w:rPr>
        <w:t xml:space="preserve"> </w:t>
      </w:r>
      <w:r w:rsidRPr="00683BB9">
        <w:t>9</w:t>
      </w:r>
      <w:r w:rsidRPr="005B565C">
        <w:rPr>
          <w:spacing w:val="-5"/>
        </w:rPr>
        <w:t xml:space="preserve"> </w:t>
      </w:r>
      <w:r w:rsidRPr="005B565C">
        <w:t>April</w:t>
      </w:r>
      <w:r w:rsidRPr="005B565C">
        <w:rPr>
          <w:spacing w:val="-5"/>
        </w:rPr>
        <w:t xml:space="preserve"> </w:t>
      </w:r>
      <w:r>
        <w:t>2018:</w:t>
      </w:r>
    </w:p>
    <w:p w:rsidR="00E47405" w:rsidRDefault="00E47405" w:rsidP="00E47405">
      <w:pPr>
        <w:pStyle w:val="BodyText"/>
        <w:rPr>
          <w:spacing w:val="53"/>
        </w:rPr>
      </w:pPr>
    </w:p>
    <w:p w:rsidR="00E47405" w:rsidRPr="002A0678" w:rsidRDefault="00E47405" w:rsidP="00FE4A68">
      <w:pPr>
        <w:pStyle w:val="BodyText"/>
        <w:numPr>
          <w:ilvl w:val="0"/>
          <w:numId w:val="10"/>
        </w:numPr>
        <w:autoSpaceDE w:val="0"/>
        <w:autoSpaceDN w:val="0"/>
        <w:adjustRightInd w:val="0"/>
        <w:spacing w:after="0"/>
      </w:pPr>
      <w:r w:rsidRPr="005B565C">
        <w:rPr>
          <w:spacing w:val="-1"/>
        </w:rPr>
        <w:t>The</w:t>
      </w:r>
      <w:r w:rsidRPr="005B565C">
        <w:rPr>
          <w:spacing w:val="-5"/>
        </w:rPr>
        <w:t xml:space="preserve"> </w:t>
      </w:r>
      <w:r w:rsidRPr="005B565C">
        <w:t>National</w:t>
      </w:r>
      <w:r w:rsidRPr="005B565C">
        <w:rPr>
          <w:spacing w:val="-8"/>
        </w:rPr>
        <w:t xml:space="preserve"> </w:t>
      </w:r>
      <w:r w:rsidRPr="005B565C">
        <w:t>Assistance</w:t>
      </w:r>
      <w:r w:rsidRPr="005B565C">
        <w:rPr>
          <w:spacing w:val="-11"/>
        </w:rPr>
        <w:t xml:space="preserve"> </w:t>
      </w:r>
      <w:r w:rsidRPr="005B565C">
        <w:rPr>
          <w:spacing w:val="-1"/>
        </w:rPr>
        <w:t>(Sums</w:t>
      </w:r>
      <w:r w:rsidRPr="005B565C">
        <w:rPr>
          <w:spacing w:val="-3"/>
        </w:rPr>
        <w:t xml:space="preserve"> </w:t>
      </w:r>
      <w:r w:rsidRPr="005B565C">
        <w:rPr>
          <w:spacing w:val="-1"/>
        </w:rPr>
        <w:t>for</w:t>
      </w:r>
      <w:r w:rsidRPr="005B565C">
        <w:t xml:space="preserve"> Personal</w:t>
      </w:r>
      <w:r w:rsidRPr="005B565C">
        <w:rPr>
          <w:spacing w:val="36"/>
        </w:rPr>
        <w:t xml:space="preserve"> </w:t>
      </w:r>
      <w:r w:rsidRPr="005B565C">
        <w:t>Requirements)</w:t>
      </w:r>
      <w:r w:rsidRPr="005B565C">
        <w:rPr>
          <w:spacing w:val="72"/>
        </w:rPr>
        <w:t xml:space="preserve"> </w:t>
      </w:r>
      <w:r w:rsidRPr="005B565C">
        <w:t>(Scotland)</w:t>
      </w:r>
      <w:r w:rsidRPr="005B565C">
        <w:rPr>
          <w:spacing w:val="-1"/>
        </w:rPr>
        <w:t xml:space="preserve"> </w:t>
      </w:r>
      <w:r w:rsidRPr="005B565C">
        <w:t>Regulations</w:t>
      </w:r>
      <w:r w:rsidRPr="005B565C">
        <w:rPr>
          <w:spacing w:val="-1"/>
        </w:rPr>
        <w:t xml:space="preserve"> </w:t>
      </w:r>
      <w:r w:rsidRPr="005B565C">
        <w:t>2019</w:t>
      </w:r>
      <w:r w:rsidRPr="005B565C">
        <w:rPr>
          <w:spacing w:val="-1"/>
        </w:rPr>
        <w:t xml:space="preserve"> </w:t>
      </w:r>
      <w:r w:rsidRPr="005B565C">
        <w:t>(SSI</w:t>
      </w:r>
      <w:r w:rsidRPr="005B565C">
        <w:rPr>
          <w:spacing w:val="-1"/>
        </w:rPr>
        <w:t xml:space="preserve"> </w:t>
      </w:r>
      <w:r w:rsidRPr="005B565C">
        <w:t>2019</w:t>
      </w:r>
      <w:r w:rsidRPr="005B565C">
        <w:rPr>
          <w:spacing w:val="-1"/>
        </w:rPr>
        <w:t xml:space="preserve"> No.</w:t>
      </w:r>
      <w:r w:rsidRPr="005B565C">
        <w:rPr>
          <w:spacing w:val="-3"/>
        </w:rPr>
        <w:t xml:space="preserve"> </w:t>
      </w:r>
      <w:r w:rsidRPr="005B565C">
        <w:rPr>
          <w:spacing w:val="-1"/>
        </w:rPr>
        <w:t>13);</w:t>
      </w:r>
      <w:r w:rsidRPr="005B565C">
        <w:rPr>
          <w:spacing w:val="-3"/>
        </w:rPr>
        <w:t xml:space="preserve"> </w:t>
      </w:r>
      <w:r w:rsidRPr="005B565C">
        <w:rPr>
          <w:spacing w:val="-1"/>
        </w:rPr>
        <w:t>and</w:t>
      </w:r>
      <w:r w:rsidRPr="005B565C">
        <w:rPr>
          <w:spacing w:val="-3"/>
        </w:rPr>
        <w:t xml:space="preserve"> </w:t>
      </w:r>
    </w:p>
    <w:p w:rsidR="00E47405" w:rsidRDefault="00E47405" w:rsidP="00FE4A68">
      <w:pPr>
        <w:pStyle w:val="BodyText"/>
        <w:numPr>
          <w:ilvl w:val="0"/>
          <w:numId w:val="10"/>
        </w:numPr>
        <w:autoSpaceDE w:val="0"/>
        <w:autoSpaceDN w:val="0"/>
        <w:adjustRightInd w:val="0"/>
        <w:spacing w:after="0"/>
      </w:pPr>
      <w:r w:rsidRPr="005B565C">
        <w:rPr>
          <w:spacing w:val="-1"/>
        </w:rPr>
        <w:t>The</w:t>
      </w:r>
      <w:r w:rsidRPr="005B565C">
        <w:rPr>
          <w:spacing w:val="45"/>
        </w:rPr>
        <w:t xml:space="preserve"> </w:t>
      </w:r>
      <w:r w:rsidRPr="005B565C">
        <w:rPr>
          <w:spacing w:val="-1"/>
        </w:rPr>
        <w:t>National</w:t>
      </w:r>
      <w:r w:rsidRPr="005B565C">
        <w:rPr>
          <w:spacing w:val="-3"/>
        </w:rPr>
        <w:t xml:space="preserve"> </w:t>
      </w:r>
      <w:r w:rsidRPr="005B565C">
        <w:rPr>
          <w:spacing w:val="-1"/>
        </w:rPr>
        <w:t>Assistance</w:t>
      </w:r>
      <w:r w:rsidRPr="005B565C">
        <w:rPr>
          <w:spacing w:val="30"/>
        </w:rPr>
        <w:t xml:space="preserve"> </w:t>
      </w:r>
      <w:r w:rsidRPr="005B565C">
        <w:t>(Assessment</w:t>
      </w:r>
      <w:r w:rsidRPr="005B565C">
        <w:rPr>
          <w:spacing w:val="-3"/>
        </w:rPr>
        <w:t xml:space="preserve"> </w:t>
      </w:r>
      <w:r w:rsidRPr="005B565C">
        <w:rPr>
          <w:spacing w:val="-1"/>
        </w:rPr>
        <w:t>of</w:t>
      </w:r>
      <w:r w:rsidRPr="005B565C">
        <w:rPr>
          <w:spacing w:val="3"/>
        </w:rPr>
        <w:t xml:space="preserve"> </w:t>
      </w:r>
      <w:r w:rsidRPr="005B565C">
        <w:t>Resources)</w:t>
      </w:r>
      <w:r w:rsidRPr="005B565C">
        <w:rPr>
          <w:spacing w:val="-3"/>
        </w:rPr>
        <w:t xml:space="preserve"> </w:t>
      </w:r>
      <w:r w:rsidRPr="005B565C">
        <w:t>Amendment</w:t>
      </w:r>
      <w:r w:rsidRPr="005B565C">
        <w:rPr>
          <w:spacing w:val="-1"/>
        </w:rPr>
        <w:t xml:space="preserve"> </w:t>
      </w:r>
      <w:r w:rsidRPr="005B565C">
        <w:t>(Scotland)</w:t>
      </w:r>
      <w:r w:rsidRPr="005B565C">
        <w:rPr>
          <w:spacing w:val="56"/>
        </w:rPr>
        <w:t xml:space="preserve"> </w:t>
      </w:r>
      <w:r w:rsidRPr="005B565C">
        <w:t>Regulations</w:t>
      </w:r>
      <w:r w:rsidRPr="005B565C">
        <w:rPr>
          <w:spacing w:val="-1"/>
        </w:rPr>
        <w:t xml:space="preserve"> </w:t>
      </w:r>
      <w:r w:rsidRPr="005B565C">
        <w:t>2019</w:t>
      </w:r>
      <w:r w:rsidRPr="005B565C">
        <w:rPr>
          <w:spacing w:val="-1"/>
        </w:rPr>
        <w:t xml:space="preserve"> </w:t>
      </w:r>
      <w:r w:rsidRPr="005B565C">
        <w:t>(SSI</w:t>
      </w:r>
      <w:r w:rsidRPr="005B565C">
        <w:rPr>
          <w:spacing w:val="-4"/>
        </w:rPr>
        <w:t xml:space="preserve"> </w:t>
      </w:r>
      <w:r w:rsidRPr="005B565C">
        <w:t>2019</w:t>
      </w:r>
      <w:r w:rsidRPr="005B565C">
        <w:rPr>
          <w:spacing w:val="37"/>
        </w:rPr>
        <w:t xml:space="preserve"> </w:t>
      </w:r>
      <w:r w:rsidRPr="005B565C">
        <w:t>No.</w:t>
      </w:r>
      <w:r w:rsidRPr="005B565C">
        <w:rPr>
          <w:spacing w:val="-3"/>
        </w:rPr>
        <w:t xml:space="preserve"> </w:t>
      </w:r>
      <w:r w:rsidRPr="005B565C">
        <w:rPr>
          <w:spacing w:val="-1"/>
        </w:rPr>
        <w:t>12).</w:t>
      </w:r>
      <w:r>
        <w:t xml:space="preserve">  </w:t>
      </w:r>
    </w:p>
    <w:p w:rsidR="00E47405" w:rsidRDefault="00E47405" w:rsidP="00E47405">
      <w:pPr>
        <w:pStyle w:val="BodyText"/>
      </w:pPr>
    </w:p>
    <w:p w:rsidR="00E47405" w:rsidRDefault="00E47405" w:rsidP="00E47405">
      <w:pPr>
        <w:pStyle w:val="BodyText"/>
        <w:ind w:left="113"/>
        <w:rPr>
          <w:color w:val="0000FF"/>
          <w:spacing w:val="-1"/>
          <w:u w:val="single" w:color="0000FF"/>
        </w:rPr>
      </w:pPr>
      <w:r w:rsidRPr="005B565C">
        <w:rPr>
          <w:spacing w:val="-1"/>
        </w:rPr>
        <w:t>These</w:t>
      </w:r>
      <w:r w:rsidRPr="005B565C">
        <w:rPr>
          <w:spacing w:val="-7"/>
        </w:rPr>
        <w:t xml:space="preserve"> </w:t>
      </w:r>
      <w:r w:rsidRPr="005B565C">
        <w:rPr>
          <w:spacing w:val="-1"/>
        </w:rPr>
        <w:t>regulate</w:t>
      </w:r>
      <w:r w:rsidRPr="005B565C">
        <w:rPr>
          <w:spacing w:val="-10"/>
        </w:rPr>
        <w:t xml:space="preserve"> </w:t>
      </w:r>
      <w:r w:rsidRPr="005B565C">
        <w:rPr>
          <w:spacing w:val="-1"/>
        </w:rPr>
        <w:t>charges</w:t>
      </w:r>
      <w:r w:rsidRPr="005B565C">
        <w:rPr>
          <w:spacing w:val="-10"/>
        </w:rPr>
        <w:t xml:space="preserve"> </w:t>
      </w:r>
      <w:r w:rsidRPr="005B565C">
        <w:rPr>
          <w:spacing w:val="-1"/>
        </w:rPr>
        <w:t>for</w:t>
      </w:r>
      <w:r w:rsidRPr="005B565C">
        <w:rPr>
          <w:spacing w:val="-3"/>
        </w:rPr>
        <w:t xml:space="preserve"> </w:t>
      </w:r>
      <w:r w:rsidRPr="005B565C">
        <w:rPr>
          <w:spacing w:val="-2"/>
        </w:rPr>
        <w:t>residential</w:t>
      </w:r>
      <w:r w:rsidRPr="005B565C">
        <w:rPr>
          <w:spacing w:val="-11"/>
        </w:rPr>
        <w:t xml:space="preserve"> </w:t>
      </w:r>
      <w:r w:rsidRPr="005B565C">
        <w:rPr>
          <w:spacing w:val="-2"/>
        </w:rPr>
        <w:t>care</w:t>
      </w:r>
      <w:r w:rsidRPr="005B565C">
        <w:rPr>
          <w:spacing w:val="-5"/>
        </w:rPr>
        <w:t xml:space="preserve"> </w:t>
      </w:r>
      <w:r w:rsidRPr="005B565C">
        <w:rPr>
          <w:spacing w:val="-2"/>
        </w:rPr>
        <w:t>and</w:t>
      </w:r>
      <w:r w:rsidRPr="005B565C">
        <w:rPr>
          <w:spacing w:val="-5"/>
        </w:rPr>
        <w:t xml:space="preserve"> </w:t>
      </w:r>
      <w:r w:rsidRPr="005B565C">
        <w:rPr>
          <w:spacing w:val="-2"/>
        </w:rPr>
        <w:t>provide</w:t>
      </w:r>
      <w:r w:rsidRPr="005B565C">
        <w:rPr>
          <w:spacing w:val="-5"/>
        </w:rPr>
        <w:t xml:space="preserve"> </w:t>
      </w:r>
      <w:r>
        <w:rPr>
          <w:spacing w:val="-2"/>
        </w:rPr>
        <w:t>l</w:t>
      </w:r>
      <w:r w:rsidRPr="005B565C">
        <w:rPr>
          <w:spacing w:val="-2"/>
        </w:rPr>
        <w:t>ocal</w:t>
      </w:r>
      <w:r>
        <w:rPr>
          <w:spacing w:val="-8"/>
        </w:rPr>
        <w:t xml:space="preserve"> a</w:t>
      </w:r>
      <w:r w:rsidRPr="005B565C">
        <w:rPr>
          <w:spacing w:val="-2"/>
        </w:rPr>
        <w:t>uthorities</w:t>
      </w:r>
      <w:r w:rsidRPr="005B565C">
        <w:rPr>
          <w:spacing w:val="-11"/>
        </w:rPr>
        <w:t xml:space="preserve"> </w:t>
      </w:r>
      <w:r w:rsidRPr="005B565C">
        <w:rPr>
          <w:spacing w:val="-2"/>
        </w:rPr>
        <w:t>with</w:t>
      </w:r>
      <w:r w:rsidRPr="005B565C">
        <w:rPr>
          <w:spacing w:val="55"/>
        </w:rPr>
        <w:t xml:space="preserve"> </w:t>
      </w:r>
      <w:r w:rsidRPr="005B565C">
        <w:rPr>
          <w:spacing w:val="-1"/>
        </w:rPr>
        <w:t>the</w:t>
      </w:r>
      <w:r w:rsidRPr="005B565C">
        <w:rPr>
          <w:spacing w:val="-5"/>
        </w:rPr>
        <w:t xml:space="preserve"> </w:t>
      </w:r>
      <w:r w:rsidRPr="005B565C">
        <w:rPr>
          <w:spacing w:val="-2"/>
        </w:rPr>
        <w:t>means</w:t>
      </w:r>
      <w:r w:rsidRPr="005B565C">
        <w:rPr>
          <w:spacing w:val="-11"/>
        </w:rPr>
        <w:t xml:space="preserve"> </w:t>
      </w:r>
      <w:r w:rsidRPr="00683BB9">
        <w:t>to</w:t>
      </w:r>
      <w:r w:rsidRPr="005B565C">
        <w:rPr>
          <w:spacing w:val="-1"/>
        </w:rPr>
        <w:t xml:space="preserve"> </w:t>
      </w:r>
      <w:r w:rsidRPr="005B565C">
        <w:rPr>
          <w:spacing w:val="-2"/>
        </w:rPr>
        <w:t>assess</w:t>
      </w:r>
      <w:r w:rsidRPr="005B565C">
        <w:rPr>
          <w:spacing w:val="-8"/>
        </w:rPr>
        <w:t xml:space="preserve"> </w:t>
      </w:r>
      <w:r w:rsidRPr="005B565C">
        <w:rPr>
          <w:spacing w:val="-2"/>
        </w:rPr>
        <w:t>service</w:t>
      </w:r>
      <w:r w:rsidRPr="005B565C">
        <w:rPr>
          <w:spacing w:val="-7"/>
        </w:rPr>
        <w:t xml:space="preserve"> </w:t>
      </w:r>
      <w:r w:rsidRPr="005B565C">
        <w:rPr>
          <w:spacing w:val="-1"/>
        </w:rPr>
        <w:t>user</w:t>
      </w:r>
      <w:r w:rsidRPr="005B565C">
        <w:rPr>
          <w:spacing w:val="-4"/>
        </w:rPr>
        <w:t xml:space="preserve"> </w:t>
      </w:r>
      <w:r w:rsidRPr="005B565C">
        <w:rPr>
          <w:spacing w:val="-2"/>
        </w:rPr>
        <w:t>charges</w:t>
      </w:r>
      <w:r w:rsidRPr="005B565C">
        <w:rPr>
          <w:spacing w:val="-8"/>
        </w:rPr>
        <w:t xml:space="preserve"> </w:t>
      </w:r>
      <w:r w:rsidRPr="005B565C">
        <w:rPr>
          <w:spacing w:val="-2"/>
        </w:rPr>
        <w:t>when</w:t>
      </w:r>
      <w:r w:rsidRPr="005B565C">
        <w:rPr>
          <w:spacing w:val="-5"/>
        </w:rPr>
        <w:t xml:space="preserve"> </w:t>
      </w:r>
      <w:r w:rsidRPr="005B565C">
        <w:rPr>
          <w:spacing w:val="-2"/>
        </w:rPr>
        <w:t>entering</w:t>
      </w:r>
      <w:r w:rsidRPr="005B565C">
        <w:rPr>
          <w:spacing w:val="-11"/>
        </w:rPr>
        <w:t xml:space="preserve"> </w:t>
      </w:r>
      <w:r w:rsidRPr="005B565C">
        <w:rPr>
          <w:spacing w:val="-2"/>
        </w:rPr>
        <w:t>into</w:t>
      </w:r>
      <w:r w:rsidRPr="005B565C">
        <w:rPr>
          <w:spacing w:val="-5"/>
        </w:rPr>
        <w:t xml:space="preserve"> </w:t>
      </w:r>
      <w:r w:rsidRPr="005B565C">
        <w:rPr>
          <w:spacing w:val="-2"/>
        </w:rPr>
        <w:t>temporary</w:t>
      </w:r>
      <w:r w:rsidRPr="005B565C">
        <w:rPr>
          <w:spacing w:val="-13"/>
        </w:rPr>
        <w:t xml:space="preserve"> </w:t>
      </w:r>
      <w:r w:rsidRPr="005B565C">
        <w:rPr>
          <w:spacing w:val="-1"/>
        </w:rPr>
        <w:t>or</w:t>
      </w:r>
      <w:r w:rsidRPr="005B565C">
        <w:rPr>
          <w:spacing w:val="31"/>
        </w:rPr>
        <w:t xml:space="preserve"> </w:t>
      </w:r>
      <w:r w:rsidRPr="005B565C">
        <w:rPr>
          <w:spacing w:val="-2"/>
        </w:rPr>
        <w:t>permanent</w:t>
      </w:r>
      <w:r w:rsidRPr="005B565C">
        <w:rPr>
          <w:spacing w:val="-13"/>
        </w:rPr>
        <w:t xml:space="preserve"> </w:t>
      </w:r>
      <w:r w:rsidRPr="005B565C">
        <w:rPr>
          <w:spacing w:val="-2"/>
        </w:rPr>
        <w:t>residential</w:t>
      </w:r>
      <w:r w:rsidRPr="005B565C">
        <w:rPr>
          <w:spacing w:val="-15"/>
        </w:rPr>
        <w:t xml:space="preserve"> </w:t>
      </w:r>
      <w:r w:rsidRPr="005B565C">
        <w:rPr>
          <w:spacing w:val="-2"/>
        </w:rPr>
        <w:t>care.</w:t>
      </w:r>
      <w:r>
        <w:t xml:space="preserve">  </w:t>
      </w:r>
      <w:r w:rsidRPr="00683BB9">
        <w:t>The Scottish Government provides</w:t>
      </w:r>
      <w:r w:rsidRPr="005B565C">
        <w:rPr>
          <w:spacing w:val="-1"/>
        </w:rPr>
        <w:t xml:space="preserve"> detailed</w:t>
      </w:r>
      <w:r w:rsidRPr="00683BB9">
        <w:t xml:space="preserve"> </w:t>
      </w:r>
      <w:r w:rsidRPr="005B565C">
        <w:rPr>
          <w:spacing w:val="-1"/>
        </w:rPr>
        <w:t>Guidance</w:t>
      </w:r>
      <w:r w:rsidRPr="00683BB9">
        <w:t xml:space="preserve"> </w:t>
      </w:r>
      <w:r w:rsidRPr="005B565C">
        <w:rPr>
          <w:spacing w:val="-1"/>
        </w:rPr>
        <w:t>on</w:t>
      </w:r>
      <w:r w:rsidRPr="00683BB9">
        <w:t xml:space="preserve"> </w:t>
      </w:r>
      <w:r w:rsidRPr="005B565C">
        <w:rPr>
          <w:spacing w:val="-1"/>
        </w:rPr>
        <w:t>the</w:t>
      </w:r>
      <w:r w:rsidRPr="00683BB9">
        <w:t xml:space="preserve"> </w:t>
      </w:r>
      <w:r w:rsidRPr="005B565C">
        <w:rPr>
          <w:spacing w:val="-1"/>
        </w:rPr>
        <w:t>regulations</w:t>
      </w:r>
      <w:r w:rsidRPr="00683BB9">
        <w:t xml:space="preserve"> </w:t>
      </w:r>
      <w:r w:rsidRPr="005B565C">
        <w:rPr>
          <w:spacing w:val="-1"/>
        </w:rPr>
        <w:t>and</w:t>
      </w:r>
      <w:r w:rsidRPr="005B565C">
        <w:rPr>
          <w:spacing w:val="25"/>
        </w:rPr>
        <w:t xml:space="preserve"> </w:t>
      </w:r>
      <w:r w:rsidRPr="005B565C">
        <w:rPr>
          <w:spacing w:val="-1"/>
        </w:rPr>
        <w:t>details</w:t>
      </w:r>
      <w:r w:rsidRPr="00683BB9">
        <w:t xml:space="preserve"> </w:t>
      </w:r>
      <w:r w:rsidRPr="005B565C">
        <w:rPr>
          <w:spacing w:val="-1"/>
        </w:rPr>
        <w:t>can</w:t>
      </w:r>
      <w:r w:rsidRPr="00683BB9">
        <w:t xml:space="preserve"> </w:t>
      </w:r>
      <w:r w:rsidRPr="005B565C">
        <w:rPr>
          <w:spacing w:val="-1"/>
        </w:rPr>
        <w:t>be</w:t>
      </w:r>
      <w:r w:rsidRPr="00683BB9">
        <w:t xml:space="preserve"> </w:t>
      </w:r>
      <w:r w:rsidRPr="005B565C">
        <w:rPr>
          <w:spacing w:val="-1"/>
        </w:rPr>
        <w:t>found</w:t>
      </w:r>
      <w:r w:rsidRPr="00683BB9">
        <w:t xml:space="preserve"> </w:t>
      </w:r>
      <w:r w:rsidRPr="005B565C">
        <w:rPr>
          <w:spacing w:val="-1"/>
        </w:rPr>
        <w:t>at</w:t>
      </w:r>
      <w:r w:rsidRPr="00683BB9">
        <w:t xml:space="preserve"> </w:t>
      </w:r>
      <w:r w:rsidRPr="005B565C">
        <w:rPr>
          <w:spacing w:val="-1"/>
        </w:rPr>
        <w:t>the</w:t>
      </w:r>
      <w:r w:rsidRPr="00683BB9">
        <w:t xml:space="preserve"> </w:t>
      </w:r>
      <w:r w:rsidRPr="005B565C">
        <w:rPr>
          <w:spacing w:val="-1"/>
        </w:rPr>
        <w:t>link</w:t>
      </w:r>
      <w:r w:rsidRPr="00683BB9">
        <w:t xml:space="preserve"> </w:t>
      </w:r>
      <w:r w:rsidRPr="005B565C">
        <w:rPr>
          <w:spacing w:val="-1"/>
        </w:rPr>
        <w:t xml:space="preserve">below: </w:t>
      </w:r>
      <w:r w:rsidRPr="005B565C">
        <w:rPr>
          <w:color w:val="0000FF"/>
          <w:spacing w:val="-1"/>
        </w:rPr>
        <w:t xml:space="preserve"> </w:t>
      </w:r>
      <w:hyperlink r:id="rId46">
        <w:r w:rsidRPr="005B565C">
          <w:rPr>
            <w:color w:val="0000FF"/>
            <w:spacing w:val="-1"/>
            <w:u w:val="single" w:color="0000FF"/>
          </w:rPr>
          <w:t>https://www.sehd.scot.nhs.uk/publications/CC20</w:t>
        </w:r>
      </w:hyperlink>
      <w:r w:rsidRPr="005B565C">
        <w:rPr>
          <w:color w:val="0000FF"/>
          <w:spacing w:val="-1"/>
          <w:u w:val="single" w:color="0000FF"/>
        </w:rPr>
        <w:t>19_0</w:t>
      </w:r>
      <w:hyperlink r:id="rId47">
        <w:r w:rsidRPr="005B565C">
          <w:rPr>
            <w:color w:val="0000FF"/>
            <w:spacing w:val="-1"/>
            <w:u w:val="single" w:color="0000FF"/>
          </w:rPr>
          <w:t>2.pdf</w:t>
        </w:r>
      </w:hyperlink>
    </w:p>
    <w:p w:rsidR="00124D67" w:rsidRPr="00124D67" w:rsidRDefault="00124D67" w:rsidP="00124D67">
      <w:pPr>
        <w:rPr>
          <w:lang w:eastAsia="en-GB"/>
        </w:rPr>
      </w:pPr>
    </w:p>
    <w:p w:rsidR="00344AAA" w:rsidRDefault="00344AAA" w:rsidP="00E47405">
      <w:pPr>
        <w:pStyle w:val="Heading1"/>
        <w:ind w:left="432" w:hanging="432"/>
      </w:pPr>
    </w:p>
    <w:p w:rsidR="00A57BDA" w:rsidRDefault="00394461" w:rsidP="00A57BDA">
      <w:pPr>
        <w:pStyle w:val="Heading1"/>
        <w:jc w:val="right"/>
      </w:pPr>
      <w:bookmarkStart w:id="67" w:name="_Toc131412141"/>
      <w:r>
        <w:t>Appendix 9</w:t>
      </w:r>
      <w:bookmarkEnd w:id="67"/>
      <w:r w:rsidR="00E47405">
        <w:t xml:space="preserve"> </w:t>
      </w:r>
    </w:p>
    <w:p w:rsidR="00E47405" w:rsidRPr="00CB6C16" w:rsidRDefault="00E47405" w:rsidP="00A57BDA">
      <w:pPr>
        <w:pStyle w:val="Heading1"/>
        <w:rPr>
          <w:color w:val="000000" w:themeColor="text1"/>
          <w:u w:val="single"/>
        </w:rPr>
      </w:pPr>
      <w:bookmarkStart w:id="68" w:name="_Toc131412142"/>
      <w:r w:rsidRPr="00CB6C16">
        <w:rPr>
          <w:u w:val="single"/>
        </w:rPr>
        <w:t>Additional Information and Resources</w:t>
      </w:r>
      <w:bookmarkEnd w:id="68"/>
      <w:r w:rsidRPr="00CB6C16">
        <w:rPr>
          <w:u w:val="single"/>
        </w:rPr>
        <w:t xml:space="preserve"> </w:t>
      </w:r>
    </w:p>
    <w:p w:rsidR="00E47405" w:rsidRDefault="00E47405" w:rsidP="00E47405">
      <w:pPr>
        <w:pStyle w:val="BodyText"/>
        <w:rPr>
          <w:color w:val="0000FF"/>
          <w:spacing w:val="-1"/>
          <w:u w:val="single" w:color="0000FF"/>
        </w:rPr>
      </w:pPr>
    </w:p>
    <w:tbl>
      <w:tblPr>
        <w:tblStyle w:val="TableGrid"/>
        <w:tblW w:w="0" w:type="auto"/>
        <w:tblLook w:val="04A0" w:firstRow="1" w:lastRow="0" w:firstColumn="1" w:lastColumn="0" w:noHBand="0" w:noVBand="1"/>
      </w:tblPr>
      <w:tblGrid>
        <w:gridCol w:w="2802"/>
        <w:gridCol w:w="5670"/>
      </w:tblGrid>
      <w:tr w:rsidR="00E47405" w:rsidRPr="000A641E" w:rsidTr="00E47405">
        <w:trPr>
          <w:trHeight w:val="378"/>
        </w:trPr>
        <w:tc>
          <w:tcPr>
            <w:tcW w:w="2802" w:type="dxa"/>
            <w:tcBorders>
              <w:top w:val="nil"/>
              <w:left w:val="nil"/>
              <w:bottom w:val="nil"/>
              <w:right w:val="nil"/>
            </w:tcBorders>
            <w:shd w:val="clear" w:color="auto" w:fill="000000" w:themeFill="text1"/>
          </w:tcPr>
          <w:p w:rsidR="00E47405" w:rsidRPr="000A641E" w:rsidRDefault="00E47405" w:rsidP="00E47405">
            <w:pPr>
              <w:jc w:val="center"/>
              <w:rPr>
                <w:b/>
                <w:bCs/>
                <w:color w:val="FFFFFF" w:themeColor="background1"/>
              </w:rPr>
            </w:pPr>
            <w:r w:rsidRPr="000A641E">
              <w:rPr>
                <w:b/>
                <w:bCs/>
                <w:color w:val="FFFFFF" w:themeColor="background1"/>
              </w:rPr>
              <w:t>Website Name</w:t>
            </w:r>
          </w:p>
        </w:tc>
        <w:tc>
          <w:tcPr>
            <w:tcW w:w="5670" w:type="dxa"/>
            <w:tcBorders>
              <w:top w:val="nil"/>
              <w:left w:val="nil"/>
              <w:bottom w:val="nil"/>
              <w:right w:val="nil"/>
            </w:tcBorders>
            <w:shd w:val="clear" w:color="auto" w:fill="000000" w:themeFill="text1"/>
          </w:tcPr>
          <w:p w:rsidR="00E47405" w:rsidRPr="000A641E" w:rsidRDefault="00E47405" w:rsidP="00E47405">
            <w:pPr>
              <w:jc w:val="center"/>
              <w:rPr>
                <w:b/>
                <w:bCs/>
                <w:color w:val="FFFFFF" w:themeColor="background1"/>
                <w:u w:val="single"/>
              </w:rPr>
            </w:pPr>
            <w:r w:rsidRPr="000A641E">
              <w:rPr>
                <w:b/>
                <w:bCs/>
                <w:color w:val="FFFFFF" w:themeColor="background1"/>
                <w:u w:val="single"/>
              </w:rPr>
              <w:t>Link</w:t>
            </w:r>
          </w:p>
        </w:tc>
      </w:tr>
      <w:tr w:rsidR="00E47405" w:rsidTr="00E47405">
        <w:trPr>
          <w:trHeight w:val="378"/>
        </w:trPr>
        <w:tc>
          <w:tcPr>
            <w:tcW w:w="2802" w:type="dxa"/>
            <w:tcBorders>
              <w:top w:val="nil"/>
            </w:tcBorders>
          </w:tcPr>
          <w:p w:rsidR="00E47405" w:rsidRDefault="00E47405" w:rsidP="00E47405">
            <w:r>
              <w:t>NHS Inform</w:t>
            </w:r>
          </w:p>
          <w:p w:rsidR="00E47405" w:rsidRDefault="00E47405" w:rsidP="00E47405"/>
        </w:tc>
        <w:tc>
          <w:tcPr>
            <w:tcW w:w="5670" w:type="dxa"/>
            <w:tcBorders>
              <w:top w:val="nil"/>
            </w:tcBorders>
          </w:tcPr>
          <w:p w:rsidR="00E47405" w:rsidRDefault="00FA3774" w:rsidP="00E47405">
            <w:pPr>
              <w:rPr>
                <w:color w:val="0000FF"/>
                <w:u w:val="single"/>
              </w:rPr>
            </w:pPr>
            <w:hyperlink r:id="rId48" w:history="1">
              <w:r w:rsidR="00E47405" w:rsidRPr="00D1796B">
                <w:rPr>
                  <w:rStyle w:val="Hyperlink"/>
                </w:rPr>
                <w:t>https://www.nhsinform</w:t>
              </w:r>
            </w:hyperlink>
          </w:p>
          <w:p w:rsidR="00E47405" w:rsidRDefault="00FA3774" w:rsidP="00E47405">
            <w:pPr>
              <w:rPr>
                <w:color w:val="0000FF"/>
                <w:u w:val="single"/>
              </w:rPr>
            </w:pPr>
            <w:hyperlink r:id="rId49" w:history="1">
              <w:r w:rsidR="00E47405" w:rsidRPr="00D1796B">
                <w:rPr>
                  <w:rStyle w:val="Hyperlink"/>
                </w:rPr>
                <w:t>https://www.nhsinform.scot/scotlands-service-directory/health-and-wellbeing-services?locpt=55.94509249999999%2c-4.5646259&amp;q=.scot/</w:t>
              </w:r>
            </w:hyperlink>
          </w:p>
          <w:p w:rsidR="00E47405" w:rsidRDefault="00E47405" w:rsidP="00E47405"/>
        </w:tc>
      </w:tr>
      <w:tr w:rsidR="00E47405" w:rsidTr="00E47405">
        <w:trPr>
          <w:trHeight w:val="378"/>
        </w:trPr>
        <w:tc>
          <w:tcPr>
            <w:tcW w:w="2802" w:type="dxa"/>
          </w:tcPr>
          <w:p w:rsidR="00E47405" w:rsidRPr="00631A04" w:rsidRDefault="00E47405" w:rsidP="00E47405">
            <w:r w:rsidRPr="00631A04">
              <w:t xml:space="preserve">West Dunbartonshire CVS Link Up </w:t>
            </w:r>
          </w:p>
        </w:tc>
        <w:tc>
          <w:tcPr>
            <w:tcW w:w="5670" w:type="dxa"/>
          </w:tcPr>
          <w:p w:rsidR="00E47405" w:rsidRDefault="00FA3774" w:rsidP="00E47405">
            <w:hyperlink r:id="rId50" w:history="1">
              <w:r w:rsidR="00E47405" w:rsidRPr="00493FCF">
                <w:rPr>
                  <w:color w:val="0000FF"/>
                  <w:u w:val="single"/>
                </w:rPr>
                <w:t>https://www.linkupwestdunbartonshire.org/</w:t>
              </w:r>
            </w:hyperlink>
          </w:p>
          <w:p w:rsidR="00E47405" w:rsidRPr="0021786C" w:rsidRDefault="00E47405" w:rsidP="00E47405"/>
          <w:p w:rsidR="00E47405" w:rsidRDefault="00FA3774" w:rsidP="00E47405">
            <w:hyperlink r:id="rId51" w:history="1">
              <w:r w:rsidR="00E47405" w:rsidRPr="00493FCF">
                <w:rPr>
                  <w:color w:val="0000FF"/>
                  <w:u w:val="single"/>
                </w:rPr>
                <w:t>https://www.wdcvs.com/wellbeing/link-up/</w:t>
              </w:r>
            </w:hyperlink>
          </w:p>
          <w:p w:rsidR="00E47405" w:rsidRDefault="00E47405" w:rsidP="00E47405"/>
          <w:p w:rsidR="00E47405" w:rsidRDefault="00E47405" w:rsidP="00E47405">
            <w:pPr>
              <w:rPr>
                <w:color w:val="0000FF"/>
                <w:u w:val="single"/>
              </w:rPr>
            </w:pPr>
          </w:p>
        </w:tc>
      </w:tr>
      <w:tr w:rsidR="00E47405" w:rsidTr="00E47405">
        <w:tc>
          <w:tcPr>
            <w:tcW w:w="2802" w:type="dxa"/>
          </w:tcPr>
          <w:p w:rsidR="00E47405" w:rsidRPr="00631A04" w:rsidRDefault="00E47405" w:rsidP="00E47405">
            <w:r w:rsidRPr="00631A04">
              <w:t>Scottish Government Benefits Page</w:t>
            </w:r>
          </w:p>
        </w:tc>
        <w:tc>
          <w:tcPr>
            <w:tcW w:w="5670" w:type="dxa"/>
          </w:tcPr>
          <w:p w:rsidR="00E47405" w:rsidRDefault="00FA3774" w:rsidP="00E47405">
            <w:hyperlink r:id="rId52" w:history="1">
              <w:r w:rsidR="00E47405" w:rsidRPr="0021786C">
                <w:rPr>
                  <w:color w:val="0000FF"/>
                  <w:u w:val="single"/>
                </w:rPr>
                <w:t>https://www.mygov.scot/benefits/</w:t>
              </w:r>
            </w:hyperlink>
          </w:p>
        </w:tc>
      </w:tr>
      <w:tr w:rsidR="00E47405" w:rsidTr="00E47405">
        <w:tc>
          <w:tcPr>
            <w:tcW w:w="2802" w:type="dxa"/>
          </w:tcPr>
          <w:p w:rsidR="00E47405" w:rsidRPr="00631A04" w:rsidRDefault="00E47405" w:rsidP="00E47405">
            <w:r w:rsidRPr="00631A04">
              <w:t>HSCP Services</w:t>
            </w:r>
          </w:p>
        </w:tc>
        <w:tc>
          <w:tcPr>
            <w:tcW w:w="5670" w:type="dxa"/>
          </w:tcPr>
          <w:p w:rsidR="00E47405" w:rsidRPr="000A641E" w:rsidRDefault="00FA3774" w:rsidP="00E47405">
            <w:pPr>
              <w:rPr>
                <w:highlight w:val="yellow"/>
              </w:rPr>
            </w:pPr>
            <w:hyperlink r:id="rId53" w:history="1">
              <w:r w:rsidR="00E47405" w:rsidRPr="00250429">
                <w:rPr>
                  <w:rStyle w:val="Hyperlink"/>
                </w:rPr>
                <w:t>http://www.wdhscp.org.uk/</w:t>
              </w:r>
            </w:hyperlink>
          </w:p>
        </w:tc>
      </w:tr>
    </w:tbl>
    <w:p w:rsidR="00435E19" w:rsidRDefault="00435E19" w:rsidP="00435E19">
      <w:pPr>
        <w:pStyle w:val="xmsonormal"/>
      </w:pPr>
    </w:p>
    <w:p w:rsidR="00435E19" w:rsidRDefault="00435E19" w:rsidP="00435E19">
      <w:pPr>
        <w:pStyle w:val="xmsonormal"/>
      </w:pPr>
      <w:r>
        <w:rPr>
          <w:rFonts w:ascii="Arial" w:hAnsi="Arial" w:cs="Arial"/>
        </w:rPr>
        <w:t> </w:t>
      </w:r>
    </w:p>
    <w:p w:rsidR="00435E19" w:rsidRDefault="00435E19" w:rsidP="00435E19">
      <w:pPr>
        <w:pStyle w:val="xmsolistparagraph"/>
        <w:ind w:hanging="360"/>
      </w:pPr>
      <w:r>
        <w:rPr>
          <w:rFonts w:ascii="Symbol" w:hAnsi="Symbol"/>
        </w:rPr>
        <w:t></w:t>
      </w:r>
      <w:r>
        <w:rPr>
          <w:rFonts w:ascii="Times New Roman" w:hAnsi="Times New Roman" w:cs="Times New Roman"/>
          <w:sz w:val="14"/>
          <w:szCs w:val="14"/>
        </w:rPr>
        <w:t xml:space="preserve">       </w:t>
      </w:r>
      <w:r>
        <w:rPr>
          <w:rFonts w:ascii="Arial" w:hAnsi="Arial" w:cs="Arial"/>
        </w:rPr>
        <w:t xml:space="preserve">For guidance on how to complete a MLA please click here: </w:t>
      </w:r>
      <w:hyperlink r:id="rId54" w:history="1">
        <w:r>
          <w:rPr>
            <w:rStyle w:val="Hyperlink"/>
            <w:rFonts w:ascii="Arial" w:hAnsi="Arial" w:cs="Arial"/>
          </w:rPr>
          <w:t>My Life Assessment - Employee Intranet (west-dunbarton.gov.uk)</w:t>
        </w:r>
      </w:hyperlink>
    </w:p>
    <w:p w:rsidR="00435E19" w:rsidRDefault="00435E19" w:rsidP="00435E19">
      <w:pPr>
        <w:pStyle w:val="xmsolistparagraph"/>
        <w:ind w:hanging="360"/>
      </w:pPr>
      <w:r>
        <w:rPr>
          <w:rFonts w:ascii="Symbol" w:hAnsi="Symbol"/>
        </w:rPr>
        <w:t></w:t>
      </w:r>
      <w:r>
        <w:rPr>
          <w:rFonts w:ascii="Times New Roman" w:hAnsi="Times New Roman" w:cs="Times New Roman"/>
          <w:sz w:val="14"/>
          <w:szCs w:val="14"/>
        </w:rPr>
        <w:t xml:space="preserve">       </w:t>
      </w:r>
      <w:r>
        <w:rPr>
          <w:rFonts w:ascii="Arial" w:hAnsi="Arial" w:cs="Arial"/>
        </w:rPr>
        <w:t xml:space="preserve">For guidance on the eligibility criteria please click here: </w:t>
      </w:r>
      <w:hyperlink r:id="rId55" w:history="1">
        <w:r>
          <w:rPr>
            <w:rStyle w:val="Hyperlink"/>
            <w:rFonts w:ascii="Arial" w:hAnsi="Arial" w:cs="Arial"/>
          </w:rPr>
          <w:t>My Life Assessment Screening - Employee Intranet (west-dunbarton.gov.uk)</w:t>
        </w:r>
      </w:hyperlink>
    </w:p>
    <w:p w:rsidR="00435E19" w:rsidRDefault="00435E19" w:rsidP="00435E19">
      <w:pPr>
        <w:pStyle w:val="xmsolistparagraph"/>
        <w:ind w:hanging="360"/>
      </w:pPr>
      <w:r>
        <w:rPr>
          <w:rFonts w:ascii="Symbol" w:hAnsi="Symbol"/>
        </w:rPr>
        <w:t></w:t>
      </w:r>
      <w:r>
        <w:rPr>
          <w:rFonts w:ascii="Times New Roman" w:hAnsi="Times New Roman" w:cs="Times New Roman"/>
          <w:sz w:val="14"/>
          <w:szCs w:val="14"/>
        </w:rPr>
        <w:t xml:space="preserve">       </w:t>
      </w:r>
      <w:r>
        <w:rPr>
          <w:rFonts w:ascii="Arial" w:hAnsi="Arial" w:cs="Arial"/>
        </w:rPr>
        <w:t xml:space="preserve">To complete a ilearn or learnpro module on the MLA please click here: </w:t>
      </w:r>
      <w:hyperlink r:id="rId56" w:history="1">
        <w:r>
          <w:rPr>
            <w:rStyle w:val="Hyperlink"/>
            <w:rFonts w:ascii="Arial" w:hAnsi="Arial" w:cs="Arial"/>
          </w:rPr>
          <w:t>My Life Assessment Training - Employee Intranet (west-dunbarton.gov.uk)</w:t>
        </w:r>
      </w:hyperlink>
    </w:p>
    <w:p w:rsidR="00435E19" w:rsidRDefault="00435E19" w:rsidP="00435E19">
      <w:pPr>
        <w:pStyle w:val="xmsolistparagraph"/>
        <w:ind w:hanging="360"/>
      </w:pPr>
      <w:r>
        <w:rPr>
          <w:rFonts w:ascii="Symbol" w:hAnsi="Symbol"/>
        </w:rPr>
        <w:t></w:t>
      </w:r>
      <w:r>
        <w:rPr>
          <w:rFonts w:ascii="Times New Roman" w:hAnsi="Times New Roman" w:cs="Times New Roman"/>
          <w:sz w:val="14"/>
          <w:szCs w:val="14"/>
        </w:rPr>
        <w:t xml:space="preserve">       </w:t>
      </w:r>
      <w:r>
        <w:rPr>
          <w:rFonts w:ascii="Arial" w:hAnsi="Arial" w:cs="Arial"/>
        </w:rPr>
        <w:t xml:space="preserve">For guidance on completing the MLA-Review form please click here: </w:t>
      </w:r>
      <w:hyperlink r:id="rId57" w:history="1">
        <w:r>
          <w:rPr>
            <w:rStyle w:val="Hyperlink"/>
            <w:rFonts w:ascii="Arial" w:hAnsi="Arial" w:cs="Arial"/>
          </w:rPr>
          <w:t>My Life Assessment Review - Employee Intranet (west-dunbarton.gov.uk)</w:t>
        </w:r>
      </w:hyperlink>
    </w:p>
    <w:p w:rsidR="00435E19" w:rsidRDefault="00435E19" w:rsidP="00435E19">
      <w:pPr>
        <w:pStyle w:val="xmsolistparagraph"/>
        <w:ind w:hanging="360"/>
      </w:pPr>
      <w:r>
        <w:rPr>
          <w:rFonts w:ascii="Symbol" w:hAnsi="Symbol"/>
        </w:rPr>
        <w:lastRenderedPageBreak/>
        <w:t></w:t>
      </w:r>
      <w:r>
        <w:rPr>
          <w:rFonts w:ascii="Times New Roman" w:hAnsi="Times New Roman" w:cs="Times New Roman"/>
          <w:sz w:val="14"/>
          <w:szCs w:val="14"/>
        </w:rPr>
        <w:t xml:space="preserve">       </w:t>
      </w:r>
      <w:r>
        <w:rPr>
          <w:rFonts w:ascii="Arial" w:hAnsi="Arial" w:cs="Arial"/>
        </w:rPr>
        <w:t xml:space="preserve">For guidance on how to complete the IRF1, IRF2 and financial assessment which is included in the IRF2 please click here: </w:t>
      </w:r>
      <w:hyperlink r:id="rId58" w:history="1">
        <w:r>
          <w:rPr>
            <w:rStyle w:val="Hyperlink"/>
            <w:rFonts w:ascii="Arial" w:hAnsi="Arial" w:cs="Arial"/>
          </w:rPr>
          <w:t>SDS IRF Completion Guide - Employee Intranet (west-dunbarton.gov.uk)</w:t>
        </w:r>
      </w:hyperlink>
    </w:p>
    <w:p w:rsidR="00435E19" w:rsidRDefault="00435E19" w:rsidP="00435E19">
      <w:pPr>
        <w:pStyle w:val="xmsolistparagraph"/>
        <w:ind w:hanging="360"/>
      </w:pPr>
      <w:r>
        <w:rPr>
          <w:rFonts w:ascii="Symbol" w:hAnsi="Symbol"/>
        </w:rPr>
        <w:t></w:t>
      </w:r>
      <w:r>
        <w:rPr>
          <w:rFonts w:ascii="Times New Roman" w:hAnsi="Times New Roman" w:cs="Times New Roman"/>
          <w:sz w:val="14"/>
          <w:szCs w:val="14"/>
        </w:rPr>
        <w:t xml:space="preserve">       </w:t>
      </w:r>
      <w:r>
        <w:rPr>
          <w:rFonts w:ascii="Arial" w:hAnsi="Arial" w:cs="Arial"/>
        </w:rPr>
        <w:t xml:space="preserve">For guidance on how to use care first please click here: </w:t>
      </w:r>
      <w:hyperlink r:id="rId59" w:history="1">
        <w:r>
          <w:rPr>
            <w:rStyle w:val="Hyperlink"/>
            <w:rFonts w:ascii="Arial" w:hAnsi="Arial" w:cs="Arial"/>
          </w:rPr>
          <w:t>CareFirst - Employee Intranet (west-dunbarton.gov.uk)</w:t>
        </w:r>
      </w:hyperlink>
    </w:p>
    <w:p w:rsidR="00435E19" w:rsidRDefault="00435E19" w:rsidP="00435E19">
      <w:pPr>
        <w:pStyle w:val="xmsolistparagraph"/>
        <w:ind w:hanging="360"/>
      </w:pPr>
      <w:r>
        <w:rPr>
          <w:rFonts w:ascii="Symbol" w:hAnsi="Symbol"/>
          <w:color w:val="000000"/>
        </w:rPr>
        <w:t></w:t>
      </w:r>
      <w:r>
        <w:rPr>
          <w:rFonts w:ascii="Times New Roman" w:hAnsi="Times New Roman" w:cs="Times New Roman"/>
          <w:color w:val="000000"/>
          <w:sz w:val="14"/>
          <w:szCs w:val="14"/>
        </w:rPr>
        <w:t xml:space="preserve">       </w:t>
      </w:r>
      <w:r>
        <w:rPr>
          <w:rFonts w:ascii="Arial" w:hAnsi="Arial" w:cs="Arial"/>
        </w:rPr>
        <w:t xml:space="preserve">For training on care first please email: </w:t>
      </w:r>
      <w:hyperlink r:id="rId60" w:history="1">
        <w:r>
          <w:rPr>
            <w:rStyle w:val="Hyperlink"/>
            <w:rFonts w:ascii="Arial" w:hAnsi="Arial" w:cs="Arial"/>
            <w:color w:val="2A6496"/>
            <w:shd w:val="clear" w:color="auto" w:fill="FDFDFD"/>
          </w:rPr>
          <w:t>carefirsttraining@west-dunbarton.gov.uk</w:t>
        </w:r>
      </w:hyperlink>
    </w:p>
    <w:p w:rsidR="00435E19" w:rsidRDefault="00435E19" w:rsidP="00435E19">
      <w:pPr>
        <w:pStyle w:val="xmsolistparagraph"/>
        <w:ind w:hanging="360"/>
      </w:pPr>
      <w:r>
        <w:rPr>
          <w:rFonts w:ascii="Symbol" w:hAnsi="Symbol"/>
          <w:color w:val="000000"/>
        </w:rPr>
        <w:t></w:t>
      </w:r>
      <w:r>
        <w:rPr>
          <w:rFonts w:ascii="Times New Roman" w:hAnsi="Times New Roman" w:cs="Times New Roman"/>
          <w:color w:val="000000"/>
          <w:sz w:val="14"/>
          <w:szCs w:val="14"/>
        </w:rPr>
        <w:t xml:space="preserve">       </w:t>
      </w:r>
      <w:r>
        <w:rPr>
          <w:rFonts w:ascii="Arial" w:hAnsi="Arial" w:cs="Arial"/>
        </w:rPr>
        <w:t>For SDS training please contact</w:t>
      </w:r>
      <w:r>
        <w:rPr>
          <w:rFonts w:ascii="Arial" w:hAnsi="Arial" w:cs="Arial"/>
          <w:color w:val="000000"/>
          <w:shd w:val="clear" w:color="auto" w:fill="FDFDFD"/>
        </w:rPr>
        <w:t xml:space="preserve">: </w:t>
      </w:r>
      <w:hyperlink r:id="rId61" w:tgtFrame="_blank" w:tooltip="mailto:sds@west-dunbarton.gov.uk" w:history="1">
        <w:r>
          <w:rPr>
            <w:rStyle w:val="Hyperlink"/>
            <w:rFonts w:ascii="Arial" w:hAnsi="Arial" w:cs="Arial"/>
          </w:rPr>
          <w:t>SDS@west-dunbarton.gov.uk</w:t>
        </w:r>
      </w:hyperlink>
    </w:p>
    <w:p w:rsidR="00344AAA" w:rsidRDefault="00344AAA" w:rsidP="00E47405">
      <w:pPr>
        <w:pStyle w:val="Heading1"/>
        <w:rPr>
          <w:u w:color="0000FF"/>
        </w:rPr>
      </w:pPr>
    </w:p>
    <w:p w:rsidR="00344AAA" w:rsidRDefault="00344AAA" w:rsidP="00E47405">
      <w:pPr>
        <w:pStyle w:val="Heading1"/>
        <w:rPr>
          <w:u w:color="0000FF"/>
        </w:rPr>
      </w:pPr>
    </w:p>
    <w:p w:rsidR="00A57BDA" w:rsidRDefault="00394461" w:rsidP="00A57BDA">
      <w:pPr>
        <w:pStyle w:val="Heading1"/>
        <w:jc w:val="right"/>
        <w:rPr>
          <w:u w:color="0000FF"/>
        </w:rPr>
      </w:pPr>
      <w:bookmarkStart w:id="69" w:name="_Toc131412143"/>
      <w:r>
        <w:rPr>
          <w:u w:color="0000FF"/>
        </w:rPr>
        <w:t>Appendix 10</w:t>
      </w:r>
      <w:bookmarkEnd w:id="69"/>
      <w:r w:rsidR="00E47405">
        <w:rPr>
          <w:u w:color="0000FF"/>
        </w:rPr>
        <w:t xml:space="preserve"> </w:t>
      </w:r>
    </w:p>
    <w:p w:rsidR="00E47405" w:rsidRPr="00CB6C16" w:rsidRDefault="00E47405" w:rsidP="00E47405">
      <w:pPr>
        <w:pStyle w:val="Heading1"/>
        <w:rPr>
          <w:u w:val="single"/>
        </w:rPr>
      </w:pPr>
      <w:bookmarkStart w:id="70" w:name="_Toc131412144"/>
      <w:r w:rsidRPr="00CB6C16">
        <w:rPr>
          <w:u w:val="single"/>
        </w:rPr>
        <w:t>Service Definitions</w:t>
      </w:r>
      <w:bookmarkEnd w:id="70"/>
    </w:p>
    <w:p w:rsidR="00CB6C16" w:rsidRDefault="00CB6C16" w:rsidP="00E47405"/>
    <w:p w:rsidR="00E47405" w:rsidRPr="003D10F2" w:rsidRDefault="00E47405" w:rsidP="00E47405">
      <w:r>
        <w:t xml:space="preserve">The service definitions are on the HSCP website: </w:t>
      </w:r>
      <w:hyperlink r:id="rId62" w:history="1">
        <w:r w:rsidRPr="00714A85">
          <w:rPr>
            <w:rStyle w:val="Hyperlink"/>
            <w:rFonts w:eastAsiaTheme="majorEastAsia"/>
          </w:rPr>
          <w:t>http://www.wdhscp.org.uk/adults-with-disabilities/service-definitions/</w:t>
        </w:r>
      </w:hyperlink>
      <w:r>
        <w:t xml:space="preserve"> and </w:t>
      </w:r>
      <w:r w:rsidRPr="00E91AB5">
        <w:t>http://www.wdhscp.org.uk/adults-and-o</w:t>
      </w:r>
      <w:r>
        <w:t>lder-people/service-definitions/.</w:t>
      </w:r>
    </w:p>
    <w:sectPr w:rsidR="00E47405" w:rsidRPr="003D10F2" w:rsidSect="00BC6525">
      <w:pgSz w:w="11907" w:h="16840" w:code="9"/>
      <w:pgMar w:top="1440"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B33" w:rsidRDefault="005B0B33">
      <w:r>
        <w:separator/>
      </w:r>
    </w:p>
  </w:endnote>
  <w:endnote w:type="continuationSeparator" w:id="0">
    <w:p w:rsidR="005B0B33" w:rsidRDefault="005B0B33">
      <w:r>
        <w:continuationSeparator/>
      </w:r>
    </w:p>
  </w:endnote>
  <w:endnote w:id="1">
    <w:p w:rsidR="005B0B33" w:rsidRPr="00D7758B" w:rsidRDefault="005B0B33" w:rsidP="00E4740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22907"/>
      <w:docPartObj>
        <w:docPartGallery w:val="Page Numbers (Bottom of Page)"/>
        <w:docPartUnique/>
      </w:docPartObj>
    </w:sdtPr>
    <w:sdtEndPr>
      <w:rPr>
        <w:color w:val="7F7F7F" w:themeColor="background1" w:themeShade="7F"/>
        <w:spacing w:val="60"/>
      </w:rPr>
    </w:sdtEndPr>
    <w:sdtContent>
      <w:p w:rsidR="005B0B33" w:rsidRDefault="005B0B33">
        <w:pPr>
          <w:pStyle w:val="Footer"/>
          <w:pBdr>
            <w:top w:val="single" w:sz="4" w:space="1" w:color="D9D9D9" w:themeColor="background1" w:themeShade="D9"/>
          </w:pBdr>
          <w:rPr>
            <w:b/>
          </w:rPr>
        </w:pPr>
        <w:r>
          <w:fldChar w:fldCharType="begin"/>
        </w:r>
        <w:r>
          <w:instrText xml:space="preserve"> PAGE   \* MERGEFORMAT </w:instrText>
        </w:r>
        <w:r>
          <w:fldChar w:fldCharType="separate"/>
        </w:r>
        <w:r w:rsidR="00FA3774" w:rsidRPr="00FA3774">
          <w:rPr>
            <w:b/>
            <w:noProof/>
          </w:rPr>
          <w:t>22</w:t>
        </w:r>
        <w:r>
          <w:rPr>
            <w:b/>
            <w:noProof/>
          </w:rPr>
          <w:fldChar w:fldCharType="end"/>
        </w:r>
        <w:r>
          <w:rPr>
            <w:b/>
          </w:rPr>
          <w:t xml:space="preserve"> | </w:t>
        </w:r>
        <w:r>
          <w:rPr>
            <w:color w:val="7F7F7F" w:themeColor="background1" w:themeShade="7F"/>
            <w:spacing w:val="60"/>
          </w:rPr>
          <w:t>Page</w:t>
        </w:r>
      </w:p>
    </w:sdtContent>
  </w:sdt>
  <w:p w:rsidR="005B0B33" w:rsidRDefault="005B0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B33" w:rsidRDefault="005B0B33">
      <w:r>
        <w:separator/>
      </w:r>
    </w:p>
  </w:footnote>
  <w:footnote w:type="continuationSeparator" w:id="0">
    <w:p w:rsidR="005B0B33" w:rsidRDefault="005B0B33">
      <w:r>
        <w:continuationSeparator/>
      </w:r>
    </w:p>
  </w:footnote>
  <w:footnote w:id="1">
    <w:p w:rsidR="005B0B33" w:rsidRPr="00A23FE2" w:rsidRDefault="005B0B33" w:rsidP="00E47405">
      <w:pPr>
        <w:pStyle w:val="FootnoteText"/>
      </w:pPr>
      <w:r>
        <w:rPr>
          <w:rStyle w:val="FootnoteReference"/>
          <w:rFonts w:eastAsiaTheme="majorEastAsia"/>
        </w:rPr>
        <w:footnoteRef/>
      </w:r>
      <w:r>
        <w:t xml:space="preserve"> </w:t>
      </w:r>
      <w:r w:rsidRPr="006173EE">
        <w:t>https://www.cosla.gov.uk/__data/assets/pdf_file/0016/17521/2020-21-COSLA-Charging-Policy-for-Social-Care-Support.pdf</w:t>
      </w:r>
    </w:p>
  </w:footnote>
  <w:footnote w:id="2">
    <w:p w:rsidR="005B0B33" w:rsidRPr="009C0E76" w:rsidRDefault="005B0B33" w:rsidP="00E47405">
      <w:pPr>
        <w:pStyle w:val="FootnoteText"/>
      </w:pPr>
      <w:r>
        <w:rPr>
          <w:rStyle w:val="FootnoteReference"/>
          <w:rFonts w:eastAsiaTheme="majorEastAsia"/>
        </w:rPr>
        <w:footnoteRef/>
      </w:r>
      <w:r>
        <w:t xml:space="preserve"> </w:t>
      </w:r>
      <w:r w:rsidRPr="009C0E76">
        <w:t>Social Work (Scotland) Act 1968 Section 87</w:t>
      </w:r>
    </w:p>
  </w:footnote>
  <w:footnote w:id="3">
    <w:p w:rsidR="005B0B33" w:rsidRPr="009546A7" w:rsidRDefault="005B0B33" w:rsidP="00E47405">
      <w:pPr>
        <w:pStyle w:val="FootnoteText"/>
        <w:rPr>
          <w:sz w:val="24"/>
          <w:szCs w:val="24"/>
        </w:rPr>
      </w:pPr>
      <w:r>
        <w:rPr>
          <w:rStyle w:val="FootnoteReference"/>
          <w:rFonts w:eastAsiaTheme="majorEastAsia"/>
        </w:rPr>
        <w:footnoteRef/>
      </w:r>
      <w:r>
        <w:t xml:space="preserve"> </w:t>
      </w:r>
      <w:hyperlink r:id="rId1" w:history="1">
        <w:r w:rsidRPr="009546A7">
          <w:t>http://www.legislation.gov.uk/asp/2013/1/contents/enacted</w:t>
        </w:r>
      </w:hyperlink>
    </w:p>
  </w:footnote>
  <w:footnote w:id="4">
    <w:p w:rsidR="005B0B33" w:rsidRPr="009945DA" w:rsidRDefault="005B0B33" w:rsidP="00E47405">
      <w:pPr>
        <w:pStyle w:val="FootnoteText"/>
      </w:pPr>
      <w:r>
        <w:rPr>
          <w:rStyle w:val="FootnoteReference"/>
          <w:rFonts w:eastAsiaTheme="majorEastAsia"/>
        </w:rPr>
        <w:footnoteRef/>
      </w:r>
      <w:r>
        <w:t xml:space="preserve"> </w:t>
      </w:r>
      <w:r w:rsidRPr="009945DA">
        <w:t>http://www.legislation.gov.uk/asp/2016/9/contents/enacted</w:t>
      </w:r>
    </w:p>
  </w:footnote>
  <w:footnote w:id="5">
    <w:p w:rsidR="005B0B33" w:rsidRPr="00B901BF" w:rsidRDefault="005B0B33" w:rsidP="00E47405">
      <w:pPr>
        <w:pStyle w:val="FootnoteText"/>
      </w:pPr>
      <w:r>
        <w:rPr>
          <w:rStyle w:val="FootnoteReference"/>
          <w:rFonts w:eastAsiaTheme="majorEastAsia"/>
        </w:rPr>
        <w:footnoteRef/>
      </w:r>
      <w:r>
        <w:t xml:space="preserve"> </w:t>
      </w:r>
      <w:r w:rsidRPr="00B901BF">
        <w:t>https://www.legislation.gov.uk/ssi/2002/303/made</w:t>
      </w:r>
    </w:p>
  </w:footnote>
  <w:footnote w:id="6">
    <w:p w:rsidR="005B0B33" w:rsidRPr="00B901BF" w:rsidRDefault="005B0B33" w:rsidP="00E47405">
      <w:pPr>
        <w:pStyle w:val="FootnoteText"/>
      </w:pPr>
      <w:r>
        <w:rPr>
          <w:rStyle w:val="FootnoteReference"/>
          <w:rFonts w:eastAsiaTheme="majorEastAsia"/>
        </w:rPr>
        <w:footnoteRef/>
      </w:r>
      <w:r>
        <w:t xml:space="preserve"> </w:t>
      </w:r>
      <w:r w:rsidRPr="00B901BF">
        <w:t>https://www.gov.scot/publications/free-personal-nursing-care-qa/</w:t>
      </w:r>
    </w:p>
  </w:footnote>
  <w:footnote w:id="7">
    <w:p w:rsidR="005B0B33" w:rsidRPr="001447AE" w:rsidRDefault="005B0B33" w:rsidP="00E47405">
      <w:pPr>
        <w:pStyle w:val="FootnoteText"/>
      </w:pPr>
      <w:r>
        <w:rPr>
          <w:rStyle w:val="FootnoteReference"/>
          <w:rFonts w:eastAsiaTheme="majorEastAsia"/>
        </w:rPr>
        <w:footnoteRef/>
      </w:r>
      <w:r>
        <w:t xml:space="preserve"> </w:t>
      </w:r>
      <w:r w:rsidRPr="001447AE">
        <w:t>http://www.legislation.gov.uk/ukpga/1968/49/contents</w:t>
      </w:r>
    </w:p>
  </w:footnote>
  <w:footnote w:id="8">
    <w:p w:rsidR="005B0B33" w:rsidRPr="001447AE" w:rsidRDefault="005B0B33" w:rsidP="00E47405">
      <w:pPr>
        <w:pStyle w:val="FootnoteText"/>
      </w:pPr>
      <w:r>
        <w:rPr>
          <w:rStyle w:val="FootnoteReference"/>
          <w:rFonts w:eastAsiaTheme="majorEastAsia"/>
        </w:rPr>
        <w:footnoteRef/>
      </w:r>
      <w:r>
        <w:t xml:space="preserve"> </w:t>
      </w:r>
      <w:r w:rsidRPr="001447AE">
        <w:t>https://www.legislation.gov.uk/asp/2002/5/contents</w:t>
      </w:r>
    </w:p>
  </w:footnote>
  <w:footnote w:id="9">
    <w:p w:rsidR="005B0B33" w:rsidRPr="001447AE" w:rsidRDefault="005B0B33" w:rsidP="00E47405">
      <w:pPr>
        <w:pStyle w:val="FootnoteText"/>
      </w:pPr>
      <w:r>
        <w:rPr>
          <w:rStyle w:val="FootnoteReference"/>
          <w:rFonts w:eastAsiaTheme="majorEastAsia"/>
        </w:rPr>
        <w:footnoteRef/>
      </w:r>
      <w:r>
        <w:t xml:space="preserve"> </w:t>
      </w:r>
      <w:r w:rsidRPr="001447AE">
        <w:t>http://www.legislation.gov.uk/asp/2003/13/contents</w:t>
      </w:r>
    </w:p>
  </w:footnote>
  <w:footnote w:id="10">
    <w:p w:rsidR="005B0B33" w:rsidRDefault="005B0B33">
      <w:pPr>
        <w:pStyle w:val="FootnoteText"/>
      </w:pPr>
      <w:r>
        <w:rPr>
          <w:rStyle w:val="FootnoteReference"/>
        </w:rPr>
        <w:footnoteRef/>
      </w:r>
      <w:r>
        <w:t xml:space="preserve"> </w:t>
      </w:r>
      <w:hyperlink r:id="rId2" w:history="1">
        <w:r>
          <w:rPr>
            <w:rStyle w:val="Hyperlink"/>
          </w:rPr>
          <w:t>Criminal Justice (Scotland) Act 2003 (legislation.gov.uk)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B33" w:rsidRDefault="005B0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B33" w:rsidRDefault="005B0B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B33" w:rsidRDefault="005B0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0310"/>
    <w:multiLevelType w:val="hybridMultilevel"/>
    <w:tmpl w:val="467E9E42"/>
    <w:lvl w:ilvl="0" w:tplc="08090001">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 w15:restartNumberingAfterBreak="0">
    <w:nsid w:val="02896F97"/>
    <w:multiLevelType w:val="hybridMultilevel"/>
    <w:tmpl w:val="99802D3A"/>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0AD55051"/>
    <w:multiLevelType w:val="hybridMultilevel"/>
    <w:tmpl w:val="124C5A2C"/>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 w15:restartNumberingAfterBreak="0">
    <w:nsid w:val="0D3F6A28"/>
    <w:multiLevelType w:val="hybridMultilevel"/>
    <w:tmpl w:val="7F4C2C7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 w15:restartNumberingAfterBreak="0">
    <w:nsid w:val="1322334A"/>
    <w:multiLevelType w:val="hybridMultilevel"/>
    <w:tmpl w:val="CB0E5DF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 w15:restartNumberingAfterBreak="0">
    <w:nsid w:val="2370294D"/>
    <w:multiLevelType w:val="hybridMultilevel"/>
    <w:tmpl w:val="49D03E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ED86185"/>
    <w:multiLevelType w:val="hybridMultilevel"/>
    <w:tmpl w:val="C4EC287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7" w15:restartNumberingAfterBreak="0">
    <w:nsid w:val="317E5A02"/>
    <w:multiLevelType w:val="hybridMultilevel"/>
    <w:tmpl w:val="83AE4AB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8" w15:restartNumberingAfterBreak="0">
    <w:nsid w:val="333E1E12"/>
    <w:multiLevelType w:val="hybridMultilevel"/>
    <w:tmpl w:val="85766D32"/>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389909D8"/>
    <w:multiLevelType w:val="multilevel"/>
    <w:tmpl w:val="C2D4E35E"/>
    <w:lvl w:ilvl="0">
      <w:start w:val="1"/>
      <w:numFmt w:val="decimal"/>
      <w:lvlText w:val="%1"/>
      <w:lvlJc w:val="left"/>
      <w:pPr>
        <w:ind w:left="432" w:hanging="432"/>
      </w:pPr>
      <w:rPr>
        <w:b/>
        <w:bCs w:val="0"/>
        <w:color w:val="auto"/>
      </w:rPr>
    </w:lvl>
    <w:lvl w:ilvl="1">
      <w:start w:val="1"/>
      <w:numFmt w:val="decimal"/>
      <w:lvlText w:val="%1.%2"/>
      <w:lvlJc w:val="left"/>
      <w:pPr>
        <w:ind w:left="576" w:hanging="576"/>
      </w:pPr>
    </w:lvl>
    <w:lvl w:ilvl="2">
      <w:start w:val="1"/>
      <w:numFmt w:val="decimal"/>
      <w:lvlText w:val="%1.%2.%3"/>
      <w:lvlJc w:val="left"/>
      <w:pPr>
        <w:ind w:left="720" w:hanging="720"/>
      </w:pPr>
      <w:rPr>
        <w:b w:val="0"/>
        <w:bCs w:val="0"/>
        <w:sz w:val="24"/>
        <w:szCs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9B752A9"/>
    <w:multiLevelType w:val="hybridMultilevel"/>
    <w:tmpl w:val="EB6C21C6"/>
    <w:lvl w:ilvl="0" w:tplc="0809000F">
      <w:start w:val="1"/>
      <w:numFmt w:val="decimal"/>
      <w:lvlText w:val="%1."/>
      <w:lvlJc w:val="left"/>
      <w:pPr>
        <w:ind w:left="833" w:hanging="360"/>
      </w:pPr>
      <w:rPr>
        <w:rFont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15:restartNumberingAfterBreak="0">
    <w:nsid w:val="3A796207"/>
    <w:multiLevelType w:val="hybridMultilevel"/>
    <w:tmpl w:val="B8BC9484"/>
    <w:lvl w:ilvl="0" w:tplc="08090001">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2" w15:restartNumberingAfterBreak="0">
    <w:nsid w:val="3F165F17"/>
    <w:multiLevelType w:val="multilevel"/>
    <w:tmpl w:val="CD48FFF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490FD4"/>
    <w:multiLevelType w:val="hybridMultilevel"/>
    <w:tmpl w:val="B7F48DBC"/>
    <w:lvl w:ilvl="0" w:tplc="08090001">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4" w15:restartNumberingAfterBreak="0">
    <w:nsid w:val="4880224E"/>
    <w:multiLevelType w:val="hybridMultilevel"/>
    <w:tmpl w:val="B56EE0AE"/>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31066F"/>
    <w:multiLevelType w:val="hybridMultilevel"/>
    <w:tmpl w:val="EAB6DF4E"/>
    <w:lvl w:ilvl="0" w:tplc="B396345C">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ED7603"/>
    <w:multiLevelType w:val="multilevel"/>
    <w:tmpl w:val="4E3A82F4"/>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C9C08F7"/>
    <w:multiLevelType w:val="hybridMultilevel"/>
    <w:tmpl w:val="38E4FF5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8" w15:restartNumberingAfterBreak="0">
    <w:nsid w:val="5F13264A"/>
    <w:multiLevelType w:val="hybridMultilevel"/>
    <w:tmpl w:val="2098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946CA6"/>
    <w:multiLevelType w:val="hybridMultilevel"/>
    <w:tmpl w:val="D4845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247F02"/>
    <w:multiLevelType w:val="hybridMultilevel"/>
    <w:tmpl w:val="FD764C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7F061A"/>
    <w:multiLevelType w:val="hybridMultilevel"/>
    <w:tmpl w:val="92DCA186"/>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2" w15:restartNumberingAfterBreak="0">
    <w:nsid w:val="6D1D4594"/>
    <w:multiLevelType w:val="multilevel"/>
    <w:tmpl w:val="39AA8A8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F346995"/>
    <w:multiLevelType w:val="multilevel"/>
    <w:tmpl w:val="A4A2521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742037C6"/>
    <w:multiLevelType w:val="hybridMultilevel"/>
    <w:tmpl w:val="DA0C893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5" w15:restartNumberingAfterBreak="0">
    <w:nsid w:val="75190169"/>
    <w:multiLevelType w:val="hybridMultilevel"/>
    <w:tmpl w:val="8952B59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12"/>
  </w:num>
  <w:num w:numId="2">
    <w:abstractNumId w:val="23"/>
  </w:num>
  <w:num w:numId="3">
    <w:abstractNumId w:val="16"/>
  </w:num>
  <w:num w:numId="4">
    <w:abstractNumId w:val="8"/>
  </w:num>
  <w:num w:numId="5">
    <w:abstractNumId w:val="5"/>
  </w:num>
  <w:num w:numId="6">
    <w:abstractNumId w:val="9"/>
  </w:num>
  <w:num w:numId="7">
    <w:abstractNumId w:val="20"/>
  </w:num>
  <w:num w:numId="8">
    <w:abstractNumId w:val="14"/>
  </w:num>
  <w:num w:numId="9">
    <w:abstractNumId w:val="25"/>
  </w:num>
  <w:num w:numId="10">
    <w:abstractNumId w:val="17"/>
  </w:num>
  <w:num w:numId="11">
    <w:abstractNumId w:val="11"/>
  </w:num>
  <w:num w:numId="12">
    <w:abstractNumId w:val="0"/>
  </w:num>
  <w:num w:numId="13">
    <w:abstractNumId w:val="6"/>
  </w:num>
  <w:num w:numId="14">
    <w:abstractNumId w:val="3"/>
  </w:num>
  <w:num w:numId="15">
    <w:abstractNumId w:val="2"/>
  </w:num>
  <w:num w:numId="16">
    <w:abstractNumId w:val="7"/>
  </w:num>
  <w:num w:numId="17">
    <w:abstractNumId w:val="4"/>
  </w:num>
  <w:num w:numId="18">
    <w:abstractNumId w:val="13"/>
  </w:num>
  <w:num w:numId="19">
    <w:abstractNumId w:val="21"/>
  </w:num>
  <w:num w:numId="20">
    <w:abstractNumId w:val="1"/>
  </w:num>
  <w:num w:numId="21">
    <w:abstractNumId w:val="24"/>
  </w:num>
  <w:num w:numId="22">
    <w:abstractNumId w:val="10"/>
  </w:num>
  <w:num w:numId="23">
    <w:abstractNumId w:val="19"/>
  </w:num>
  <w:num w:numId="24">
    <w:abstractNumId w:val="18"/>
  </w:num>
  <w:num w:numId="25">
    <w:abstractNumId w:val="22"/>
  </w:num>
  <w:num w:numId="26">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C3"/>
    <w:rsid w:val="00000BAB"/>
    <w:rsid w:val="00002379"/>
    <w:rsid w:val="00002FF7"/>
    <w:rsid w:val="00003C80"/>
    <w:rsid w:val="00005C2A"/>
    <w:rsid w:val="00010E98"/>
    <w:rsid w:val="000116F4"/>
    <w:rsid w:val="00011A3B"/>
    <w:rsid w:val="000127AE"/>
    <w:rsid w:val="00014481"/>
    <w:rsid w:val="0001471C"/>
    <w:rsid w:val="00016438"/>
    <w:rsid w:val="0001782B"/>
    <w:rsid w:val="0001785D"/>
    <w:rsid w:val="00017FF4"/>
    <w:rsid w:val="0002141A"/>
    <w:rsid w:val="000239CC"/>
    <w:rsid w:val="0002435B"/>
    <w:rsid w:val="0003067C"/>
    <w:rsid w:val="000324A6"/>
    <w:rsid w:val="00032B53"/>
    <w:rsid w:val="00035B8C"/>
    <w:rsid w:val="00035C92"/>
    <w:rsid w:val="00035D70"/>
    <w:rsid w:val="00037A08"/>
    <w:rsid w:val="00041ABF"/>
    <w:rsid w:val="00046A3D"/>
    <w:rsid w:val="000508FB"/>
    <w:rsid w:val="00055841"/>
    <w:rsid w:val="00056A0D"/>
    <w:rsid w:val="000606A0"/>
    <w:rsid w:val="0006306D"/>
    <w:rsid w:val="00064B90"/>
    <w:rsid w:val="00064D90"/>
    <w:rsid w:val="00071010"/>
    <w:rsid w:val="000748DC"/>
    <w:rsid w:val="00074DAE"/>
    <w:rsid w:val="00075FA5"/>
    <w:rsid w:val="00080873"/>
    <w:rsid w:val="00081F54"/>
    <w:rsid w:val="00084052"/>
    <w:rsid w:val="0009089B"/>
    <w:rsid w:val="00090D3C"/>
    <w:rsid w:val="00090D8B"/>
    <w:rsid w:val="000925DD"/>
    <w:rsid w:val="00093CC6"/>
    <w:rsid w:val="0009439A"/>
    <w:rsid w:val="00095A7A"/>
    <w:rsid w:val="0009690F"/>
    <w:rsid w:val="00096C72"/>
    <w:rsid w:val="000A0369"/>
    <w:rsid w:val="000A1384"/>
    <w:rsid w:val="000A6859"/>
    <w:rsid w:val="000A75FD"/>
    <w:rsid w:val="000B0B3E"/>
    <w:rsid w:val="000B537A"/>
    <w:rsid w:val="000B59CD"/>
    <w:rsid w:val="000B5A25"/>
    <w:rsid w:val="000B5C95"/>
    <w:rsid w:val="000C131A"/>
    <w:rsid w:val="000C3C50"/>
    <w:rsid w:val="000C426B"/>
    <w:rsid w:val="000C75F6"/>
    <w:rsid w:val="000C7C49"/>
    <w:rsid w:val="000D0E21"/>
    <w:rsid w:val="000D3A69"/>
    <w:rsid w:val="000D436C"/>
    <w:rsid w:val="000E2AC8"/>
    <w:rsid w:val="000E5EE4"/>
    <w:rsid w:val="000F37DF"/>
    <w:rsid w:val="000F74FB"/>
    <w:rsid w:val="00100F2D"/>
    <w:rsid w:val="00104B33"/>
    <w:rsid w:val="00105B83"/>
    <w:rsid w:val="0010612D"/>
    <w:rsid w:val="0011538F"/>
    <w:rsid w:val="00116071"/>
    <w:rsid w:val="001240EE"/>
    <w:rsid w:val="00124D67"/>
    <w:rsid w:val="0012715C"/>
    <w:rsid w:val="0013030D"/>
    <w:rsid w:val="001321D9"/>
    <w:rsid w:val="001327FD"/>
    <w:rsid w:val="00134345"/>
    <w:rsid w:val="0013479C"/>
    <w:rsid w:val="00136261"/>
    <w:rsid w:val="0014026D"/>
    <w:rsid w:val="00142235"/>
    <w:rsid w:val="00143958"/>
    <w:rsid w:val="0014499D"/>
    <w:rsid w:val="001464B1"/>
    <w:rsid w:val="0015035E"/>
    <w:rsid w:val="00151AFA"/>
    <w:rsid w:val="001520C7"/>
    <w:rsid w:val="001553FE"/>
    <w:rsid w:val="00161DCC"/>
    <w:rsid w:val="001621C6"/>
    <w:rsid w:val="00162A91"/>
    <w:rsid w:val="00163434"/>
    <w:rsid w:val="00164E82"/>
    <w:rsid w:val="0016577A"/>
    <w:rsid w:val="001670F2"/>
    <w:rsid w:val="00172B50"/>
    <w:rsid w:val="00173B76"/>
    <w:rsid w:val="00175661"/>
    <w:rsid w:val="00177AF0"/>
    <w:rsid w:val="001814EB"/>
    <w:rsid w:val="00183581"/>
    <w:rsid w:val="001866B9"/>
    <w:rsid w:val="00194920"/>
    <w:rsid w:val="00195A6A"/>
    <w:rsid w:val="00197D72"/>
    <w:rsid w:val="001A07C0"/>
    <w:rsid w:val="001A4B19"/>
    <w:rsid w:val="001A7020"/>
    <w:rsid w:val="001B2AD2"/>
    <w:rsid w:val="001B2F12"/>
    <w:rsid w:val="001B4558"/>
    <w:rsid w:val="001B7E09"/>
    <w:rsid w:val="001C3A1D"/>
    <w:rsid w:val="001C43F7"/>
    <w:rsid w:val="001C75A1"/>
    <w:rsid w:val="001D4169"/>
    <w:rsid w:val="001D6D32"/>
    <w:rsid w:val="001D6E05"/>
    <w:rsid w:val="001D6FAF"/>
    <w:rsid w:val="001D772C"/>
    <w:rsid w:val="001D79EF"/>
    <w:rsid w:val="001E1A99"/>
    <w:rsid w:val="001E2B0A"/>
    <w:rsid w:val="001E376E"/>
    <w:rsid w:val="001E73DC"/>
    <w:rsid w:val="001F2CC4"/>
    <w:rsid w:val="001F753B"/>
    <w:rsid w:val="00203C37"/>
    <w:rsid w:val="00205D19"/>
    <w:rsid w:val="00206B8C"/>
    <w:rsid w:val="00206BAF"/>
    <w:rsid w:val="002100CC"/>
    <w:rsid w:val="0021270C"/>
    <w:rsid w:val="00212B8E"/>
    <w:rsid w:val="002141BE"/>
    <w:rsid w:val="002149B9"/>
    <w:rsid w:val="0021566E"/>
    <w:rsid w:val="00223618"/>
    <w:rsid w:val="00223B9A"/>
    <w:rsid w:val="0022634B"/>
    <w:rsid w:val="00226EA7"/>
    <w:rsid w:val="00232EB3"/>
    <w:rsid w:val="00233854"/>
    <w:rsid w:val="00235015"/>
    <w:rsid w:val="0023565E"/>
    <w:rsid w:val="00236A1C"/>
    <w:rsid w:val="00236C59"/>
    <w:rsid w:val="00237524"/>
    <w:rsid w:val="00237BE3"/>
    <w:rsid w:val="002417E6"/>
    <w:rsid w:val="0024697C"/>
    <w:rsid w:val="00253FAD"/>
    <w:rsid w:val="002545CB"/>
    <w:rsid w:val="00255B01"/>
    <w:rsid w:val="00256529"/>
    <w:rsid w:val="0026231C"/>
    <w:rsid w:val="00271322"/>
    <w:rsid w:val="0027192B"/>
    <w:rsid w:val="0027198F"/>
    <w:rsid w:val="00273EA8"/>
    <w:rsid w:val="00284CEC"/>
    <w:rsid w:val="0029115A"/>
    <w:rsid w:val="002925DE"/>
    <w:rsid w:val="00292FAA"/>
    <w:rsid w:val="002939B3"/>
    <w:rsid w:val="002953AC"/>
    <w:rsid w:val="002974DE"/>
    <w:rsid w:val="00297D2F"/>
    <w:rsid w:val="002A004F"/>
    <w:rsid w:val="002A69B9"/>
    <w:rsid w:val="002A6BDB"/>
    <w:rsid w:val="002A6C7E"/>
    <w:rsid w:val="002B272C"/>
    <w:rsid w:val="002B3807"/>
    <w:rsid w:val="002B43FC"/>
    <w:rsid w:val="002B49F7"/>
    <w:rsid w:val="002C135C"/>
    <w:rsid w:val="002C1414"/>
    <w:rsid w:val="002C3BA9"/>
    <w:rsid w:val="002C4910"/>
    <w:rsid w:val="002C5765"/>
    <w:rsid w:val="002D0B8F"/>
    <w:rsid w:val="002D577A"/>
    <w:rsid w:val="002E0610"/>
    <w:rsid w:val="002E101D"/>
    <w:rsid w:val="002E106E"/>
    <w:rsid w:val="002E121A"/>
    <w:rsid w:val="002E1263"/>
    <w:rsid w:val="002E21F3"/>
    <w:rsid w:val="002E4FD3"/>
    <w:rsid w:val="002E6FA8"/>
    <w:rsid w:val="002E6FF9"/>
    <w:rsid w:val="002F3E87"/>
    <w:rsid w:val="002F5BF3"/>
    <w:rsid w:val="002F60A6"/>
    <w:rsid w:val="00302145"/>
    <w:rsid w:val="0030378B"/>
    <w:rsid w:val="00305C92"/>
    <w:rsid w:val="00311476"/>
    <w:rsid w:val="00312107"/>
    <w:rsid w:val="00312F8D"/>
    <w:rsid w:val="00313753"/>
    <w:rsid w:val="00314F0E"/>
    <w:rsid w:val="00315F0C"/>
    <w:rsid w:val="003164FD"/>
    <w:rsid w:val="0031761D"/>
    <w:rsid w:val="0032030A"/>
    <w:rsid w:val="003207CA"/>
    <w:rsid w:val="00323A47"/>
    <w:rsid w:val="0032437B"/>
    <w:rsid w:val="0032758D"/>
    <w:rsid w:val="003313BA"/>
    <w:rsid w:val="00331AC3"/>
    <w:rsid w:val="00332CB7"/>
    <w:rsid w:val="0033327D"/>
    <w:rsid w:val="00333472"/>
    <w:rsid w:val="00335919"/>
    <w:rsid w:val="003369F3"/>
    <w:rsid w:val="00337B2D"/>
    <w:rsid w:val="003430DD"/>
    <w:rsid w:val="00344AAA"/>
    <w:rsid w:val="00345A45"/>
    <w:rsid w:val="003479EB"/>
    <w:rsid w:val="00360190"/>
    <w:rsid w:val="003626BA"/>
    <w:rsid w:val="00364F77"/>
    <w:rsid w:val="00365858"/>
    <w:rsid w:val="003670FA"/>
    <w:rsid w:val="003676A9"/>
    <w:rsid w:val="00371364"/>
    <w:rsid w:val="003730EF"/>
    <w:rsid w:val="0037722D"/>
    <w:rsid w:val="0037746A"/>
    <w:rsid w:val="00380847"/>
    <w:rsid w:val="00384182"/>
    <w:rsid w:val="0038469E"/>
    <w:rsid w:val="00385C02"/>
    <w:rsid w:val="003870E9"/>
    <w:rsid w:val="0039089D"/>
    <w:rsid w:val="00391AD7"/>
    <w:rsid w:val="0039290F"/>
    <w:rsid w:val="00394461"/>
    <w:rsid w:val="0039699A"/>
    <w:rsid w:val="00396D6C"/>
    <w:rsid w:val="003A1702"/>
    <w:rsid w:val="003A2DB0"/>
    <w:rsid w:val="003A354B"/>
    <w:rsid w:val="003A3A84"/>
    <w:rsid w:val="003A4732"/>
    <w:rsid w:val="003A6375"/>
    <w:rsid w:val="003A7D8A"/>
    <w:rsid w:val="003B7E03"/>
    <w:rsid w:val="003C0237"/>
    <w:rsid w:val="003C0438"/>
    <w:rsid w:val="003C11E5"/>
    <w:rsid w:val="003D31B6"/>
    <w:rsid w:val="003D3F0B"/>
    <w:rsid w:val="003D63A3"/>
    <w:rsid w:val="003D725E"/>
    <w:rsid w:val="003E14D8"/>
    <w:rsid w:val="003E5F05"/>
    <w:rsid w:val="003E7B4A"/>
    <w:rsid w:val="00401024"/>
    <w:rsid w:val="0040316A"/>
    <w:rsid w:val="004031D8"/>
    <w:rsid w:val="00405DFB"/>
    <w:rsid w:val="00406461"/>
    <w:rsid w:val="00406E03"/>
    <w:rsid w:val="00412F64"/>
    <w:rsid w:val="00414C01"/>
    <w:rsid w:val="00424832"/>
    <w:rsid w:val="00425CE1"/>
    <w:rsid w:val="004260D8"/>
    <w:rsid w:val="00426955"/>
    <w:rsid w:val="004324AD"/>
    <w:rsid w:val="004324E3"/>
    <w:rsid w:val="00432BF6"/>
    <w:rsid w:val="00434A2A"/>
    <w:rsid w:val="00435E19"/>
    <w:rsid w:val="00445BDF"/>
    <w:rsid w:val="00446401"/>
    <w:rsid w:val="00447237"/>
    <w:rsid w:val="00447DA4"/>
    <w:rsid w:val="00450239"/>
    <w:rsid w:val="00451CCC"/>
    <w:rsid w:val="0045424D"/>
    <w:rsid w:val="00462B67"/>
    <w:rsid w:val="00464835"/>
    <w:rsid w:val="00467BC9"/>
    <w:rsid w:val="004705DE"/>
    <w:rsid w:val="0047323F"/>
    <w:rsid w:val="00473484"/>
    <w:rsid w:val="004765E9"/>
    <w:rsid w:val="00482C74"/>
    <w:rsid w:val="004929FB"/>
    <w:rsid w:val="0049357D"/>
    <w:rsid w:val="0049481C"/>
    <w:rsid w:val="00496053"/>
    <w:rsid w:val="004A1D3A"/>
    <w:rsid w:val="004A462B"/>
    <w:rsid w:val="004A4B52"/>
    <w:rsid w:val="004A637C"/>
    <w:rsid w:val="004B4DA6"/>
    <w:rsid w:val="004B7D38"/>
    <w:rsid w:val="004B7E57"/>
    <w:rsid w:val="004C3D82"/>
    <w:rsid w:val="004C5400"/>
    <w:rsid w:val="004C571E"/>
    <w:rsid w:val="004C6540"/>
    <w:rsid w:val="004C6B8A"/>
    <w:rsid w:val="004D0E87"/>
    <w:rsid w:val="004E1515"/>
    <w:rsid w:val="004E15B9"/>
    <w:rsid w:val="004E2EC3"/>
    <w:rsid w:val="004E4C16"/>
    <w:rsid w:val="004E6117"/>
    <w:rsid w:val="004E64FF"/>
    <w:rsid w:val="004E67E4"/>
    <w:rsid w:val="004F6760"/>
    <w:rsid w:val="005014F4"/>
    <w:rsid w:val="00502662"/>
    <w:rsid w:val="00505FA1"/>
    <w:rsid w:val="00510C9C"/>
    <w:rsid w:val="00510E4C"/>
    <w:rsid w:val="0051215A"/>
    <w:rsid w:val="00514329"/>
    <w:rsid w:val="00515AA8"/>
    <w:rsid w:val="00516896"/>
    <w:rsid w:val="00517A1A"/>
    <w:rsid w:val="0052112A"/>
    <w:rsid w:val="00522852"/>
    <w:rsid w:val="005241E6"/>
    <w:rsid w:val="005300B5"/>
    <w:rsid w:val="0053186F"/>
    <w:rsid w:val="005322AB"/>
    <w:rsid w:val="00532C88"/>
    <w:rsid w:val="00535CEE"/>
    <w:rsid w:val="00540C5D"/>
    <w:rsid w:val="00541D40"/>
    <w:rsid w:val="00542EF4"/>
    <w:rsid w:val="00543AA4"/>
    <w:rsid w:val="00544249"/>
    <w:rsid w:val="00544420"/>
    <w:rsid w:val="005478C0"/>
    <w:rsid w:val="00552BF4"/>
    <w:rsid w:val="00552CC3"/>
    <w:rsid w:val="00553686"/>
    <w:rsid w:val="00554D93"/>
    <w:rsid w:val="00561B4C"/>
    <w:rsid w:val="00562432"/>
    <w:rsid w:val="00562A66"/>
    <w:rsid w:val="00565A08"/>
    <w:rsid w:val="0056719F"/>
    <w:rsid w:val="00570613"/>
    <w:rsid w:val="00570C0C"/>
    <w:rsid w:val="005718B5"/>
    <w:rsid w:val="005719EA"/>
    <w:rsid w:val="00571DD2"/>
    <w:rsid w:val="00574A00"/>
    <w:rsid w:val="005767D2"/>
    <w:rsid w:val="005779B5"/>
    <w:rsid w:val="00584B58"/>
    <w:rsid w:val="00587CBB"/>
    <w:rsid w:val="00591137"/>
    <w:rsid w:val="0059343A"/>
    <w:rsid w:val="0059354D"/>
    <w:rsid w:val="005939E7"/>
    <w:rsid w:val="00594156"/>
    <w:rsid w:val="005A08CF"/>
    <w:rsid w:val="005A0BA0"/>
    <w:rsid w:val="005A41A7"/>
    <w:rsid w:val="005A6A32"/>
    <w:rsid w:val="005A7AEB"/>
    <w:rsid w:val="005B0665"/>
    <w:rsid w:val="005B0B33"/>
    <w:rsid w:val="005B2893"/>
    <w:rsid w:val="005B3B97"/>
    <w:rsid w:val="005B5B88"/>
    <w:rsid w:val="005C11CC"/>
    <w:rsid w:val="005C3048"/>
    <w:rsid w:val="005C4D18"/>
    <w:rsid w:val="005C546F"/>
    <w:rsid w:val="005C5582"/>
    <w:rsid w:val="005D0B62"/>
    <w:rsid w:val="005D1496"/>
    <w:rsid w:val="005D28BB"/>
    <w:rsid w:val="005D5462"/>
    <w:rsid w:val="005D5BCA"/>
    <w:rsid w:val="005E47A5"/>
    <w:rsid w:val="005F0095"/>
    <w:rsid w:val="005F2A03"/>
    <w:rsid w:val="005F7A18"/>
    <w:rsid w:val="005F7EB3"/>
    <w:rsid w:val="00605978"/>
    <w:rsid w:val="006059AE"/>
    <w:rsid w:val="00611A8B"/>
    <w:rsid w:val="00611FA2"/>
    <w:rsid w:val="0061416D"/>
    <w:rsid w:val="006156A5"/>
    <w:rsid w:val="00620878"/>
    <w:rsid w:val="006260E4"/>
    <w:rsid w:val="00626EC5"/>
    <w:rsid w:val="00627CAB"/>
    <w:rsid w:val="00640EA5"/>
    <w:rsid w:val="006422D3"/>
    <w:rsid w:val="00642C4A"/>
    <w:rsid w:val="00646E93"/>
    <w:rsid w:val="0065153E"/>
    <w:rsid w:val="006539E0"/>
    <w:rsid w:val="006548EF"/>
    <w:rsid w:val="00660513"/>
    <w:rsid w:val="00664041"/>
    <w:rsid w:val="0066483D"/>
    <w:rsid w:val="00664F4E"/>
    <w:rsid w:val="00665FA2"/>
    <w:rsid w:val="00670007"/>
    <w:rsid w:val="00670F0F"/>
    <w:rsid w:val="00671C59"/>
    <w:rsid w:val="00672955"/>
    <w:rsid w:val="00672D65"/>
    <w:rsid w:val="00674116"/>
    <w:rsid w:val="00676FC0"/>
    <w:rsid w:val="00683680"/>
    <w:rsid w:val="00683AE5"/>
    <w:rsid w:val="006842F0"/>
    <w:rsid w:val="00685DE4"/>
    <w:rsid w:val="0068761F"/>
    <w:rsid w:val="00692801"/>
    <w:rsid w:val="00697E2F"/>
    <w:rsid w:val="006A1C2F"/>
    <w:rsid w:val="006A2D57"/>
    <w:rsid w:val="006A420C"/>
    <w:rsid w:val="006A52C6"/>
    <w:rsid w:val="006B0561"/>
    <w:rsid w:val="006B5AD3"/>
    <w:rsid w:val="006C3880"/>
    <w:rsid w:val="006C463B"/>
    <w:rsid w:val="006C4F4F"/>
    <w:rsid w:val="006C5781"/>
    <w:rsid w:val="006C7338"/>
    <w:rsid w:val="006C7914"/>
    <w:rsid w:val="006D10C8"/>
    <w:rsid w:val="006D200D"/>
    <w:rsid w:val="006D2A91"/>
    <w:rsid w:val="006D5F87"/>
    <w:rsid w:val="006E0A0C"/>
    <w:rsid w:val="006E315A"/>
    <w:rsid w:val="006E6B60"/>
    <w:rsid w:val="006F1B82"/>
    <w:rsid w:val="006F23C7"/>
    <w:rsid w:val="006F240B"/>
    <w:rsid w:val="006F2465"/>
    <w:rsid w:val="006F41EB"/>
    <w:rsid w:val="006F5D8E"/>
    <w:rsid w:val="006F7891"/>
    <w:rsid w:val="0070155B"/>
    <w:rsid w:val="00703C08"/>
    <w:rsid w:val="00706675"/>
    <w:rsid w:val="00706EA0"/>
    <w:rsid w:val="0071507D"/>
    <w:rsid w:val="00715A7A"/>
    <w:rsid w:val="0071731E"/>
    <w:rsid w:val="00717365"/>
    <w:rsid w:val="00717395"/>
    <w:rsid w:val="007274BE"/>
    <w:rsid w:val="0073077E"/>
    <w:rsid w:val="00730CC2"/>
    <w:rsid w:val="007337BA"/>
    <w:rsid w:val="00733E02"/>
    <w:rsid w:val="00737A52"/>
    <w:rsid w:val="00740D00"/>
    <w:rsid w:val="007410EC"/>
    <w:rsid w:val="0074193C"/>
    <w:rsid w:val="00745807"/>
    <w:rsid w:val="00746206"/>
    <w:rsid w:val="0074677A"/>
    <w:rsid w:val="00747756"/>
    <w:rsid w:val="00751DD4"/>
    <w:rsid w:val="007530A0"/>
    <w:rsid w:val="00753524"/>
    <w:rsid w:val="007557AC"/>
    <w:rsid w:val="00756D85"/>
    <w:rsid w:val="00757260"/>
    <w:rsid w:val="00762F6D"/>
    <w:rsid w:val="007630CD"/>
    <w:rsid w:val="0077105D"/>
    <w:rsid w:val="007712A0"/>
    <w:rsid w:val="00772947"/>
    <w:rsid w:val="00772B9E"/>
    <w:rsid w:val="00772C22"/>
    <w:rsid w:val="0077485D"/>
    <w:rsid w:val="007757A6"/>
    <w:rsid w:val="00780C09"/>
    <w:rsid w:val="007864CA"/>
    <w:rsid w:val="00790319"/>
    <w:rsid w:val="00791C33"/>
    <w:rsid w:val="007927E5"/>
    <w:rsid w:val="0079338E"/>
    <w:rsid w:val="007A0473"/>
    <w:rsid w:val="007A4F53"/>
    <w:rsid w:val="007A5879"/>
    <w:rsid w:val="007A5E77"/>
    <w:rsid w:val="007A638C"/>
    <w:rsid w:val="007A7B93"/>
    <w:rsid w:val="007B0EB8"/>
    <w:rsid w:val="007B0F7E"/>
    <w:rsid w:val="007B1713"/>
    <w:rsid w:val="007B52FC"/>
    <w:rsid w:val="007B6C37"/>
    <w:rsid w:val="007C082C"/>
    <w:rsid w:val="007C09A4"/>
    <w:rsid w:val="007D2FBA"/>
    <w:rsid w:val="007D35BF"/>
    <w:rsid w:val="007D36BF"/>
    <w:rsid w:val="007D3FBD"/>
    <w:rsid w:val="007E083E"/>
    <w:rsid w:val="007E5601"/>
    <w:rsid w:val="007E5F74"/>
    <w:rsid w:val="007E6D4B"/>
    <w:rsid w:val="007F056A"/>
    <w:rsid w:val="007F067D"/>
    <w:rsid w:val="007F6E6D"/>
    <w:rsid w:val="0080268E"/>
    <w:rsid w:val="0080443F"/>
    <w:rsid w:val="00806F98"/>
    <w:rsid w:val="00806FE4"/>
    <w:rsid w:val="0081209C"/>
    <w:rsid w:val="008126A8"/>
    <w:rsid w:val="00814476"/>
    <w:rsid w:val="0081511F"/>
    <w:rsid w:val="00817866"/>
    <w:rsid w:val="0082102D"/>
    <w:rsid w:val="008211AB"/>
    <w:rsid w:val="00822591"/>
    <w:rsid w:val="00825297"/>
    <w:rsid w:val="00827DA8"/>
    <w:rsid w:val="00831042"/>
    <w:rsid w:val="00837A0B"/>
    <w:rsid w:val="00840C28"/>
    <w:rsid w:val="00841274"/>
    <w:rsid w:val="00842E54"/>
    <w:rsid w:val="00843527"/>
    <w:rsid w:val="0084364D"/>
    <w:rsid w:val="00850347"/>
    <w:rsid w:val="00850AB4"/>
    <w:rsid w:val="00853AD3"/>
    <w:rsid w:val="00860AA7"/>
    <w:rsid w:val="00862C19"/>
    <w:rsid w:val="00863D9F"/>
    <w:rsid w:val="00864970"/>
    <w:rsid w:val="00864B13"/>
    <w:rsid w:val="0087334D"/>
    <w:rsid w:val="00874412"/>
    <w:rsid w:val="008827C9"/>
    <w:rsid w:val="00884CC4"/>
    <w:rsid w:val="00891782"/>
    <w:rsid w:val="00895311"/>
    <w:rsid w:val="008965CA"/>
    <w:rsid w:val="008A426C"/>
    <w:rsid w:val="008B0077"/>
    <w:rsid w:val="008B70D3"/>
    <w:rsid w:val="008C11BC"/>
    <w:rsid w:val="008C5D20"/>
    <w:rsid w:val="008C5F18"/>
    <w:rsid w:val="008C6186"/>
    <w:rsid w:val="008D0750"/>
    <w:rsid w:val="008D0A82"/>
    <w:rsid w:val="008D0BAD"/>
    <w:rsid w:val="008D5D34"/>
    <w:rsid w:val="008D65B3"/>
    <w:rsid w:val="008D73FC"/>
    <w:rsid w:val="008E1AB9"/>
    <w:rsid w:val="008E28A1"/>
    <w:rsid w:val="008E4DEC"/>
    <w:rsid w:val="008E7560"/>
    <w:rsid w:val="008E79A6"/>
    <w:rsid w:val="008F2F9A"/>
    <w:rsid w:val="0090047B"/>
    <w:rsid w:val="00900CED"/>
    <w:rsid w:val="00901D93"/>
    <w:rsid w:val="00902062"/>
    <w:rsid w:val="0090415E"/>
    <w:rsid w:val="00904FE5"/>
    <w:rsid w:val="0091160B"/>
    <w:rsid w:val="009138E5"/>
    <w:rsid w:val="009142B1"/>
    <w:rsid w:val="00915B0A"/>
    <w:rsid w:val="00915D08"/>
    <w:rsid w:val="0092400C"/>
    <w:rsid w:val="00924FC3"/>
    <w:rsid w:val="00926209"/>
    <w:rsid w:val="009276AA"/>
    <w:rsid w:val="009309D2"/>
    <w:rsid w:val="00933011"/>
    <w:rsid w:val="00933D0E"/>
    <w:rsid w:val="00933D8C"/>
    <w:rsid w:val="00941EDE"/>
    <w:rsid w:val="00943C9F"/>
    <w:rsid w:val="00950B8F"/>
    <w:rsid w:val="009528E4"/>
    <w:rsid w:val="00954F11"/>
    <w:rsid w:val="00961092"/>
    <w:rsid w:val="00961341"/>
    <w:rsid w:val="0096672F"/>
    <w:rsid w:val="00967020"/>
    <w:rsid w:val="00972DBA"/>
    <w:rsid w:val="00975518"/>
    <w:rsid w:val="009769E2"/>
    <w:rsid w:val="00980CD3"/>
    <w:rsid w:val="00983E9D"/>
    <w:rsid w:val="00987249"/>
    <w:rsid w:val="00990E0F"/>
    <w:rsid w:val="0099133C"/>
    <w:rsid w:val="009913C7"/>
    <w:rsid w:val="009920C7"/>
    <w:rsid w:val="00992182"/>
    <w:rsid w:val="0099436B"/>
    <w:rsid w:val="00994642"/>
    <w:rsid w:val="00995C19"/>
    <w:rsid w:val="009A0B00"/>
    <w:rsid w:val="009A0F31"/>
    <w:rsid w:val="009A1F9D"/>
    <w:rsid w:val="009C0236"/>
    <w:rsid w:val="009C0CD9"/>
    <w:rsid w:val="009C3408"/>
    <w:rsid w:val="009C4EE3"/>
    <w:rsid w:val="009C598E"/>
    <w:rsid w:val="009C78DF"/>
    <w:rsid w:val="009D2FE6"/>
    <w:rsid w:val="009D58B0"/>
    <w:rsid w:val="009D6A05"/>
    <w:rsid w:val="009E03AF"/>
    <w:rsid w:val="009E24EC"/>
    <w:rsid w:val="009E34BE"/>
    <w:rsid w:val="009E420E"/>
    <w:rsid w:val="009E4720"/>
    <w:rsid w:val="009F1C2B"/>
    <w:rsid w:val="009F27A5"/>
    <w:rsid w:val="009F3D01"/>
    <w:rsid w:val="009F457C"/>
    <w:rsid w:val="00A00B05"/>
    <w:rsid w:val="00A047EF"/>
    <w:rsid w:val="00A05662"/>
    <w:rsid w:val="00A10A90"/>
    <w:rsid w:val="00A119AB"/>
    <w:rsid w:val="00A1413F"/>
    <w:rsid w:val="00A1430F"/>
    <w:rsid w:val="00A16B41"/>
    <w:rsid w:val="00A23D4E"/>
    <w:rsid w:val="00A40558"/>
    <w:rsid w:val="00A40823"/>
    <w:rsid w:val="00A4641C"/>
    <w:rsid w:val="00A51E37"/>
    <w:rsid w:val="00A52B18"/>
    <w:rsid w:val="00A54346"/>
    <w:rsid w:val="00A54B9A"/>
    <w:rsid w:val="00A55154"/>
    <w:rsid w:val="00A55565"/>
    <w:rsid w:val="00A556AD"/>
    <w:rsid w:val="00A57BDA"/>
    <w:rsid w:val="00A57FA3"/>
    <w:rsid w:val="00A60BD0"/>
    <w:rsid w:val="00A66A00"/>
    <w:rsid w:val="00A674B9"/>
    <w:rsid w:val="00A67B10"/>
    <w:rsid w:val="00A67CBF"/>
    <w:rsid w:val="00A71AF8"/>
    <w:rsid w:val="00A72F4B"/>
    <w:rsid w:val="00A755E5"/>
    <w:rsid w:val="00A81C51"/>
    <w:rsid w:val="00A84454"/>
    <w:rsid w:val="00A86E9F"/>
    <w:rsid w:val="00A87278"/>
    <w:rsid w:val="00A94BE0"/>
    <w:rsid w:val="00A95C8E"/>
    <w:rsid w:val="00A95ECF"/>
    <w:rsid w:val="00A96385"/>
    <w:rsid w:val="00AA02E1"/>
    <w:rsid w:val="00AA0AA7"/>
    <w:rsid w:val="00AB1900"/>
    <w:rsid w:val="00AB2E7C"/>
    <w:rsid w:val="00AC132B"/>
    <w:rsid w:val="00AC33E4"/>
    <w:rsid w:val="00AC6384"/>
    <w:rsid w:val="00AC71F3"/>
    <w:rsid w:val="00AD0B4A"/>
    <w:rsid w:val="00AD1CDD"/>
    <w:rsid w:val="00AD2C8D"/>
    <w:rsid w:val="00AD3ADB"/>
    <w:rsid w:val="00AD555F"/>
    <w:rsid w:val="00AD61D2"/>
    <w:rsid w:val="00AD707C"/>
    <w:rsid w:val="00AE4F15"/>
    <w:rsid w:val="00AE582C"/>
    <w:rsid w:val="00AE606D"/>
    <w:rsid w:val="00AE7F3B"/>
    <w:rsid w:val="00AF2986"/>
    <w:rsid w:val="00B00C36"/>
    <w:rsid w:val="00B01BE2"/>
    <w:rsid w:val="00B04215"/>
    <w:rsid w:val="00B044E9"/>
    <w:rsid w:val="00B10301"/>
    <w:rsid w:val="00B1071B"/>
    <w:rsid w:val="00B11711"/>
    <w:rsid w:val="00B1272C"/>
    <w:rsid w:val="00B127F7"/>
    <w:rsid w:val="00B13BF0"/>
    <w:rsid w:val="00B174EC"/>
    <w:rsid w:val="00B21B60"/>
    <w:rsid w:val="00B21BBC"/>
    <w:rsid w:val="00B258D5"/>
    <w:rsid w:val="00B30FA6"/>
    <w:rsid w:val="00B322ED"/>
    <w:rsid w:val="00B334BE"/>
    <w:rsid w:val="00B35F1D"/>
    <w:rsid w:val="00B367C9"/>
    <w:rsid w:val="00B37072"/>
    <w:rsid w:val="00B37461"/>
    <w:rsid w:val="00B40923"/>
    <w:rsid w:val="00B4118C"/>
    <w:rsid w:val="00B41E77"/>
    <w:rsid w:val="00B4370C"/>
    <w:rsid w:val="00B4381E"/>
    <w:rsid w:val="00B44530"/>
    <w:rsid w:val="00B46097"/>
    <w:rsid w:val="00B4781C"/>
    <w:rsid w:val="00B500C7"/>
    <w:rsid w:val="00B51C21"/>
    <w:rsid w:val="00B53FA6"/>
    <w:rsid w:val="00B54035"/>
    <w:rsid w:val="00B55D21"/>
    <w:rsid w:val="00B57071"/>
    <w:rsid w:val="00B57A62"/>
    <w:rsid w:val="00B57FF9"/>
    <w:rsid w:val="00B607DE"/>
    <w:rsid w:val="00B60A07"/>
    <w:rsid w:val="00B60C33"/>
    <w:rsid w:val="00B660A8"/>
    <w:rsid w:val="00B6690E"/>
    <w:rsid w:val="00B710AE"/>
    <w:rsid w:val="00B84C18"/>
    <w:rsid w:val="00B872F4"/>
    <w:rsid w:val="00B926CD"/>
    <w:rsid w:val="00B940AC"/>
    <w:rsid w:val="00B95FDE"/>
    <w:rsid w:val="00BA10E9"/>
    <w:rsid w:val="00BA118F"/>
    <w:rsid w:val="00BA11E7"/>
    <w:rsid w:val="00BA65ED"/>
    <w:rsid w:val="00BA68FE"/>
    <w:rsid w:val="00BB0CD9"/>
    <w:rsid w:val="00BB1335"/>
    <w:rsid w:val="00BB3F29"/>
    <w:rsid w:val="00BB53D3"/>
    <w:rsid w:val="00BC2A47"/>
    <w:rsid w:val="00BC6525"/>
    <w:rsid w:val="00BC69FD"/>
    <w:rsid w:val="00BC720F"/>
    <w:rsid w:val="00BC7574"/>
    <w:rsid w:val="00BD11C6"/>
    <w:rsid w:val="00BD166E"/>
    <w:rsid w:val="00BD18F7"/>
    <w:rsid w:val="00BD33E2"/>
    <w:rsid w:val="00BD4E77"/>
    <w:rsid w:val="00BD6A76"/>
    <w:rsid w:val="00BD7D39"/>
    <w:rsid w:val="00BE0361"/>
    <w:rsid w:val="00BE1AC4"/>
    <w:rsid w:val="00BE2AEE"/>
    <w:rsid w:val="00BE3D46"/>
    <w:rsid w:val="00BE418C"/>
    <w:rsid w:val="00BE6783"/>
    <w:rsid w:val="00BF0E73"/>
    <w:rsid w:val="00BF2272"/>
    <w:rsid w:val="00BF289D"/>
    <w:rsid w:val="00BF28BF"/>
    <w:rsid w:val="00BF29FE"/>
    <w:rsid w:val="00BF3360"/>
    <w:rsid w:val="00BF3520"/>
    <w:rsid w:val="00BF7455"/>
    <w:rsid w:val="00BF7697"/>
    <w:rsid w:val="00C06577"/>
    <w:rsid w:val="00C13998"/>
    <w:rsid w:val="00C15CF4"/>
    <w:rsid w:val="00C164FF"/>
    <w:rsid w:val="00C174B8"/>
    <w:rsid w:val="00C21670"/>
    <w:rsid w:val="00C23579"/>
    <w:rsid w:val="00C24522"/>
    <w:rsid w:val="00C24E7C"/>
    <w:rsid w:val="00C27B44"/>
    <w:rsid w:val="00C27CE9"/>
    <w:rsid w:val="00C30D1C"/>
    <w:rsid w:val="00C33E17"/>
    <w:rsid w:val="00C352C1"/>
    <w:rsid w:val="00C40E7B"/>
    <w:rsid w:val="00C414D5"/>
    <w:rsid w:val="00C42C02"/>
    <w:rsid w:val="00C42CB8"/>
    <w:rsid w:val="00C436F4"/>
    <w:rsid w:val="00C440C9"/>
    <w:rsid w:val="00C47840"/>
    <w:rsid w:val="00C50F0D"/>
    <w:rsid w:val="00C55396"/>
    <w:rsid w:val="00C56469"/>
    <w:rsid w:val="00C56BF3"/>
    <w:rsid w:val="00C60C02"/>
    <w:rsid w:val="00C633F9"/>
    <w:rsid w:val="00C6383C"/>
    <w:rsid w:val="00C65EDF"/>
    <w:rsid w:val="00C72E45"/>
    <w:rsid w:val="00C7310B"/>
    <w:rsid w:val="00C771F6"/>
    <w:rsid w:val="00C8108D"/>
    <w:rsid w:val="00C81CA1"/>
    <w:rsid w:val="00C81CB4"/>
    <w:rsid w:val="00C83C2E"/>
    <w:rsid w:val="00C850BC"/>
    <w:rsid w:val="00C856D1"/>
    <w:rsid w:val="00C87D3F"/>
    <w:rsid w:val="00C87ED4"/>
    <w:rsid w:val="00C90D4B"/>
    <w:rsid w:val="00C91245"/>
    <w:rsid w:val="00C91762"/>
    <w:rsid w:val="00C94F92"/>
    <w:rsid w:val="00C96C3D"/>
    <w:rsid w:val="00CA0D49"/>
    <w:rsid w:val="00CA176A"/>
    <w:rsid w:val="00CA2879"/>
    <w:rsid w:val="00CA30D4"/>
    <w:rsid w:val="00CA3116"/>
    <w:rsid w:val="00CA32E6"/>
    <w:rsid w:val="00CA524D"/>
    <w:rsid w:val="00CA52EF"/>
    <w:rsid w:val="00CB0A50"/>
    <w:rsid w:val="00CB0C59"/>
    <w:rsid w:val="00CB2119"/>
    <w:rsid w:val="00CB4DF2"/>
    <w:rsid w:val="00CB6436"/>
    <w:rsid w:val="00CB6C16"/>
    <w:rsid w:val="00CC0160"/>
    <w:rsid w:val="00CC221E"/>
    <w:rsid w:val="00CD1142"/>
    <w:rsid w:val="00CD7B44"/>
    <w:rsid w:val="00CE0FB1"/>
    <w:rsid w:val="00CE1389"/>
    <w:rsid w:val="00CE3339"/>
    <w:rsid w:val="00CE555B"/>
    <w:rsid w:val="00CE66DA"/>
    <w:rsid w:val="00CE7ABB"/>
    <w:rsid w:val="00CE7BF1"/>
    <w:rsid w:val="00CF0F8B"/>
    <w:rsid w:val="00CF3A85"/>
    <w:rsid w:val="00CF4066"/>
    <w:rsid w:val="00CF6519"/>
    <w:rsid w:val="00CF78BA"/>
    <w:rsid w:val="00D0037F"/>
    <w:rsid w:val="00D023AE"/>
    <w:rsid w:val="00D04412"/>
    <w:rsid w:val="00D078E4"/>
    <w:rsid w:val="00D07C18"/>
    <w:rsid w:val="00D11665"/>
    <w:rsid w:val="00D136A4"/>
    <w:rsid w:val="00D13D06"/>
    <w:rsid w:val="00D14506"/>
    <w:rsid w:val="00D14AD5"/>
    <w:rsid w:val="00D16362"/>
    <w:rsid w:val="00D16DE0"/>
    <w:rsid w:val="00D209D2"/>
    <w:rsid w:val="00D23226"/>
    <w:rsid w:val="00D23B6F"/>
    <w:rsid w:val="00D25672"/>
    <w:rsid w:val="00D26112"/>
    <w:rsid w:val="00D27101"/>
    <w:rsid w:val="00D278E7"/>
    <w:rsid w:val="00D30C22"/>
    <w:rsid w:val="00D312E9"/>
    <w:rsid w:val="00D31305"/>
    <w:rsid w:val="00D340EB"/>
    <w:rsid w:val="00D35D01"/>
    <w:rsid w:val="00D36387"/>
    <w:rsid w:val="00D40F25"/>
    <w:rsid w:val="00D417D2"/>
    <w:rsid w:val="00D422B1"/>
    <w:rsid w:val="00D44F24"/>
    <w:rsid w:val="00D4561E"/>
    <w:rsid w:val="00D468B2"/>
    <w:rsid w:val="00D50589"/>
    <w:rsid w:val="00D5223A"/>
    <w:rsid w:val="00D52B4D"/>
    <w:rsid w:val="00D53A80"/>
    <w:rsid w:val="00D60168"/>
    <w:rsid w:val="00D61965"/>
    <w:rsid w:val="00D61D5B"/>
    <w:rsid w:val="00D6411C"/>
    <w:rsid w:val="00D6461F"/>
    <w:rsid w:val="00D655D5"/>
    <w:rsid w:val="00D6599B"/>
    <w:rsid w:val="00D66AC3"/>
    <w:rsid w:val="00D671FD"/>
    <w:rsid w:val="00D72EA1"/>
    <w:rsid w:val="00D73130"/>
    <w:rsid w:val="00D76787"/>
    <w:rsid w:val="00D776AB"/>
    <w:rsid w:val="00D82AFC"/>
    <w:rsid w:val="00D82F74"/>
    <w:rsid w:val="00D836F4"/>
    <w:rsid w:val="00D879AA"/>
    <w:rsid w:val="00D94158"/>
    <w:rsid w:val="00D95E57"/>
    <w:rsid w:val="00D95FB8"/>
    <w:rsid w:val="00D963D5"/>
    <w:rsid w:val="00DA1D5A"/>
    <w:rsid w:val="00DA23FD"/>
    <w:rsid w:val="00DA4C32"/>
    <w:rsid w:val="00DA50DE"/>
    <w:rsid w:val="00DA6455"/>
    <w:rsid w:val="00DB1E97"/>
    <w:rsid w:val="00DB23E6"/>
    <w:rsid w:val="00DB2705"/>
    <w:rsid w:val="00DB2769"/>
    <w:rsid w:val="00DB2E47"/>
    <w:rsid w:val="00DB7259"/>
    <w:rsid w:val="00DC5324"/>
    <w:rsid w:val="00DD14DD"/>
    <w:rsid w:val="00DD219C"/>
    <w:rsid w:val="00DE0A81"/>
    <w:rsid w:val="00DE7259"/>
    <w:rsid w:val="00DF6F78"/>
    <w:rsid w:val="00E05B22"/>
    <w:rsid w:val="00E06460"/>
    <w:rsid w:val="00E0762D"/>
    <w:rsid w:val="00E104A8"/>
    <w:rsid w:val="00E15D76"/>
    <w:rsid w:val="00E21519"/>
    <w:rsid w:val="00E21836"/>
    <w:rsid w:val="00E22B20"/>
    <w:rsid w:val="00E22CE5"/>
    <w:rsid w:val="00E2347A"/>
    <w:rsid w:val="00E31E66"/>
    <w:rsid w:val="00E34329"/>
    <w:rsid w:val="00E34369"/>
    <w:rsid w:val="00E40FA1"/>
    <w:rsid w:val="00E422ED"/>
    <w:rsid w:val="00E47405"/>
    <w:rsid w:val="00E4762B"/>
    <w:rsid w:val="00E5038C"/>
    <w:rsid w:val="00E522C5"/>
    <w:rsid w:val="00E5332A"/>
    <w:rsid w:val="00E53C52"/>
    <w:rsid w:val="00E54F36"/>
    <w:rsid w:val="00E55DA5"/>
    <w:rsid w:val="00E57034"/>
    <w:rsid w:val="00E63564"/>
    <w:rsid w:val="00E650AA"/>
    <w:rsid w:val="00E67A03"/>
    <w:rsid w:val="00E71EED"/>
    <w:rsid w:val="00E75D6D"/>
    <w:rsid w:val="00E77CD4"/>
    <w:rsid w:val="00E77DB7"/>
    <w:rsid w:val="00E8146B"/>
    <w:rsid w:val="00E81DC0"/>
    <w:rsid w:val="00E827E7"/>
    <w:rsid w:val="00E8342C"/>
    <w:rsid w:val="00E85E86"/>
    <w:rsid w:val="00E91FC9"/>
    <w:rsid w:val="00E93FD4"/>
    <w:rsid w:val="00E96FDA"/>
    <w:rsid w:val="00EA14AE"/>
    <w:rsid w:val="00EA58A7"/>
    <w:rsid w:val="00EB5040"/>
    <w:rsid w:val="00EB57CE"/>
    <w:rsid w:val="00EB64F2"/>
    <w:rsid w:val="00EB7897"/>
    <w:rsid w:val="00EC0215"/>
    <w:rsid w:val="00EC0D63"/>
    <w:rsid w:val="00EC34A8"/>
    <w:rsid w:val="00ED00AD"/>
    <w:rsid w:val="00ED45B0"/>
    <w:rsid w:val="00ED4751"/>
    <w:rsid w:val="00EE16FB"/>
    <w:rsid w:val="00EE5ED0"/>
    <w:rsid w:val="00EF69A2"/>
    <w:rsid w:val="00F020C2"/>
    <w:rsid w:val="00F02285"/>
    <w:rsid w:val="00F04F91"/>
    <w:rsid w:val="00F06F9B"/>
    <w:rsid w:val="00F0730F"/>
    <w:rsid w:val="00F07823"/>
    <w:rsid w:val="00F1144C"/>
    <w:rsid w:val="00F12724"/>
    <w:rsid w:val="00F177DC"/>
    <w:rsid w:val="00F256D0"/>
    <w:rsid w:val="00F31621"/>
    <w:rsid w:val="00F3346D"/>
    <w:rsid w:val="00F335DE"/>
    <w:rsid w:val="00F41B9F"/>
    <w:rsid w:val="00F42817"/>
    <w:rsid w:val="00F42EC9"/>
    <w:rsid w:val="00F50071"/>
    <w:rsid w:val="00F5281F"/>
    <w:rsid w:val="00F53168"/>
    <w:rsid w:val="00F53628"/>
    <w:rsid w:val="00F55704"/>
    <w:rsid w:val="00F5779B"/>
    <w:rsid w:val="00F637CB"/>
    <w:rsid w:val="00F72A6A"/>
    <w:rsid w:val="00F74499"/>
    <w:rsid w:val="00F74B35"/>
    <w:rsid w:val="00F77A3F"/>
    <w:rsid w:val="00F82672"/>
    <w:rsid w:val="00F855EB"/>
    <w:rsid w:val="00FA1F51"/>
    <w:rsid w:val="00FA3774"/>
    <w:rsid w:val="00FA4C43"/>
    <w:rsid w:val="00FA57E0"/>
    <w:rsid w:val="00FA6E36"/>
    <w:rsid w:val="00FA6FA3"/>
    <w:rsid w:val="00FB6AA7"/>
    <w:rsid w:val="00FC2593"/>
    <w:rsid w:val="00FC4377"/>
    <w:rsid w:val="00FC5160"/>
    <w:rsid w:val="00FC591D"/>
    <w:rsid w:val="00FC6212"/>
    <w:rsid w:val="00FC704D"/>
    <w:rsid w:val="00FD0564"/>
    <w:rsid w:val="00FD2F6D"/>
    <w:rsid w:val="00FD364B"/>
    <w:rsid w:val="00FD5DD9"/>
    <w:rsid w:val="00FD5E70"/>
    <w:rsid w:val="00FD71CD"/>
    <w:rsid w:val="00FE273F"/>
    <w:rsid w:val="00FE4A68"/>
    <w:rsid w:val="00FF0F2B"/>
    <w:rsid w:val="00FF3D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E2950CC"/>
  <w15:docId w15:val="{D0EE5CC0-A19B-4A3B-AA4F-8397367E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CC3"/>
    <w:rPr>
      <w:rFonts w:ascii="Arial" w:hAnsi="Arial"/>
      <w:sz w:val="24"/>
      <w:lang w:eastAsia="en-US"/>
    </w:rPr>
  </w:style>
  <w:style w:type="paragraph" w:styleId="Heading1">
    <w:name w:val="heading 1"/>
    <w:aliases w:val="Outline1"/>
    <w:basedOn w:val="Normal"/>
    <w:next w:val="Normal"/>
    <w:link w:val="Heading1Char"/>
    <w:uiPriority w:val="9"/>
    <w:qFormat/>
    <w:rsid w:val="00162A91"/>
    <w:pPr>
      <w:keepNext/>
      <w:outlineLvl w:val="0"/>
    </w:pPr>
    <w:rPr>
      <w:b/>
      <w:lang w:eastAsia="en-GB"/>
    </w:rPr>
  </w:style>
  <w:style w:type="paragraph" w:styleId="Heading2">
    <w:name w:val="heading 2"/>
    <w:basedOn w:val="Normal"/>
    <w:next w:val="Normal"/>
    <w:link w:val="Heading2Char"/>
    <w:uiPriority w:val="9"/>
    <w:unhideWhenUsed/>
    <w:qFormat/>
    <w:rsid w:val="00E474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47405"/>
    <w:pPr>
      <w:keepNext/>
      <w:keepLines/>
      <w:spacing w:before="200" w:line="276" w:lineRule="auto"/>
      <w:ind w:left="720" w:hanging="720"/>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9"/>
    <w:unhideWhenUsed/>
    <w:qFormat/>
    <w:rsid w:val="00E47405"/>
    <w:pPr>
      <w:keepNext/>
      <w:keepLines/>
      <w:spacing w:before="200" w:line="276" w:lineRule="auto"/>
      <w:ind w:left="864" w:hanging="864"/>
      <w:outlineLvl w:val="3"/>
    </w:pPr>
    <w:rPr>
      <w:rFonts w:asciiTheme="majorHAnsi" w:eastAsiaTheme="majorEastAsia" w:hAnsiTheme="majorHAnsi" w:cstheme="majorBidi"/>
      <w:b/>
      <w:bCs/>
      <w:i/>
      <w:iCs/>
      <w:color w:val="5B9BD5" w:themeColor="accent1"/>
      <w:szCs w:val="24"/>
    </w:rPr>
  </w:style>
  <w:style w:type="paragraph" w:styleId="Heading5">
    <w:name w:val="heading 5"/>
    <w:basedOn w:val="Normal"/>
    <w:next w:val="Normal"/>
    <w:link w:val="Heading5Char"/>
    <w:uiPriority w:val="9"/>
    <w:semiHidden/>
    <w:unhideWhenUsed/>
    <w:qFormat/>
    <w:rsid w:val="00E47405"/>
    <w:pPr>
      <w:keepNext/>
      <w:keepLines/>
      <w:spacing w:before="200" w:line="276" w:lineRule="auto"/>
      <w:ind w:left="1008" w:hanging="1008"/>
      <w:outlineLvl w:val="4"/>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uiPriority w:val="9"/>
    <w:semiHidden/>
    <w:unhideWhenUsed/>
    <w:qFormat/>
    <w:rsid w:val="00E47405"/>
    <w:pPr>
      <w:keepNext/>
      <w:keepLines/>
      <w:spacing w:before="200" w:line="276" w:lineRule="auto"/>
      <w:ind w:left="1152" w:hanging="1152"/>
      <w:outlineLvl w:val="5"/>
    </w:pPr>
    <w:rPr>
      <w:rFonts w:asciiTheme="majorHAnsi" w:eastAsiaTheme="majorEastAsia" w:hAnsiTheme="majorHAnsi" w:cstheme="majorBidi"/>
      <w:i/>
      <w:iCs/>
      <w:color w:val="1F4D78" w:themeColor="accent1" w:themeShade="7F"/>
      <w:szCs w:val="24"/>
    </w:rPr>
  </w:style>
  <w:style w:type="paragraph" w:styleId="Heading7">
    <w:name w:val="heading 7"/>
    <w:basedOn w:val="Normal"/>
    <w:next w:val="Normal"/>
    <w:link w:val="Heading7Char"/>
    <w:uiPriority w:val="9"/>
    <w:semiHidden/>
    <w:unhideWhenUsed/>
    <w:qFormat/>
    <w:rsid w:val="00E47405"/>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E47405"/>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47405"/>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52CC3"/>
    <w:pPr>
      <w:jc w:val="center"/>
    </w:pPr>
    <w:rPr>
      <w:rFonts w:ascii="Times New Roman" w:hAnsi="Times New Roman"/>
      <w:b/>
    </w:rPr>
  </w:style>
  <w:style w:type="paragraph" w:styleId="BodyTextIndent2">
    <w:name w:val="Body Text Indent 2"/>
    <w:basedOn w:val="Normal"/>
    <w:rsid w:val="00552CC3"/>
    <w:pPr>
      <w:ind w:left="720" w:hanging="720"/>
    </w:pPr>
  </w:style>
  <w:style w:type="character" w:styleId="Hyperlink">
    <w:name w:val="Hyperlink"/>
    <w:uiPriority w:val="99"/>
    <w:rsid w:val="008D73FC"/>
    <w:rPr>
      <w:color w:val="0000FF"/>
      <w:u w:val="single"/>
    </w:rPr>
  </w:style>
  <w:style w:type="character" w:customStyle="1" w:styleId="04-Normalcharacter">
    <w:name w:val="04-Normal character"/>
    <w:rsid w:val="00561B4C"/>
    <w:rPr>
      <w:rFonts w:ascii="Arial" w:hAnsi="Arial"/>
      <w:sz w:val="24"/>
    </w:rPr>
  </w:style>
  <w:style w:type="paragraph" w:styleId="PlainText">
    <w:name w:val="Plain Text"/>
    <w:basedOn w:val="Normal"/>
    <w:link w:val="PlainTextChar"/>
    <w:unhideWhenUsed/>
    <w:rsid w:val="0032030A"/>
    <w:rPr>
      <w:rFonts w:ascii="Consolas" w:eastAsia="Calibri" w:hAnsi="Consolas"/>
      <w:sz w:val="21"/>
      <w:szCs w:val="21"/>
    </w:rPr>
  </w:style>
  <w:style w:type="character" w:customStyle="1" w:styleId="PlainTextChar">
    <w:name w:val="Plain Text Char"/>
    <w:link w:val="PlainText"/>
    <w:rsid w:val="0032030A"/>
    <w:rPr>
      <w:rFonts w:ascii="Consolas" w:eastAsia="Calibri" w:hAnsi="Consolas"/>
      <w:sz w:val="21"/>
      <w:szCs w:val="21"/>
      <w:lang w:val="en-GB" w:eastAsia="en-US" w:bidi="ar-SA"/>
    </w:rPr>
  </w:style>
  <w:style w:type="character" w:styleId="FootnoteReference">
    <w:name w:val="footnote reference"/>
    <w:uiPriority w:val="99"/>
    <w:rsid w:val="00162A91"/>
    <w:rPr>
      <w:vertAlign w:val="superscript"/>
    </w:rPr>
  </w:style>
  <w:style w:type="paragraph" w:styleId="FootnoteText">
    <w:name w:val="footnote text"/>
    <w:basedOn w:val="Normal"/>
    <w:link w:val="FootnoteTextChar"/>
    <w:uiPriority w:val="99"/>
    <w:rsid w:val="00162A91"/>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sz w:val="20"/>
      <w:lang w:eastAsia="en-GB"/>
    </w:rPr>
  </w:style>
  <w:style w:type="paragraph" w:styleId="ListParagraph">
    <w:name w:val="List Paragraph"/>
    <w:basedOn w:val="Normal"/>
    <w:uiPriority w:val="34"/>
    <w:qFormat/>
    <w:rsid w:val="00162A91"/>
    <w:pPr>
      <w:tabs>
        <w:tab w:val="left" w:pos="720"/>
        <w:tab w:val="left" w:pos="1440"/>
        <w:tab w:val="left" w:pos="2160"/>
        <w:tab w:val="left" w:pos="2880"/>
        <w:tab w:val="left" w:pos="4680"/>
        <w:tab w:val="left" w:pos="5400"/>
        <w:tab w:val="right" w:pos="9000"/>
      </w:tabs>
      <w:spacing w:line="240" w:lineRule="atLeast"/>
      <w:ind w:left="720"/>
      <w:contextualSpacing/>
      <w:jc w:val="both"/>
    </w:pPr>
  </w:style>
  <w:style w:type="character" w:customStyle="1" w:styleId="FootnoteTextChar">
    <w:name w:val="Footnote Text Char"/>
    <w:link w:val="FootnoteText"/>
    <w:uiPriority w:val="99"/>
    <w:rsid w:val="00162A91"/>
    <w:rPr>
      <w:lang w:val="en-GB" w:eastAsia="en-GB" w:bidi="ar-SA"/>
    </w:rPr>
  </w:style>
  <w:style w:type="paragraph" w:customStyle="1" w:styleId="BodyText1">
    <w:name w:val="Body Text1"/>
    <w:rsid w:val="008211AB"/>
    <w:pPr>
      <w:tabs>
        <w:tab w:val="left" w:pos="567"/>
        <w:tab w:val="left" w:pos="1134"/>
        <w:tab w:val="left" w:pos="1701"/>
        <w:tab w:val="left" w:pos="2268"/>
        <w:tab w:val="left" w:pos="2835"/>
      </w:tabs>
      <w:ind w:left="566"/>
      <w:jc w:val="both"/>
    </w:pPr>
    <w:rPr>
      <w:rFonts w:ascii="GillSans" w:hAnsi="GillSans"/>
      <w:noProof/>
      <w:sz w:val="24"/>
      <w:lang w:eastAsia="en-US"/>
    </w:rPr>
  </w:style>
  <w:style w:type="paragraph" w:customStyle="1" w:styleId="Default">
    <w:name w:val="Default"/>
    <w:rsid w:val="00AE606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rsid w:val="00B710AE"/>
    <w:rPr>
      <w:rFonts w:ascii="Tahoma" w:hAnsi="Tahoma" w:cs="Tahoma"/>
      <w:sz w:val="16"/>
      <w:szCs w:val="16"/>
    </w:rPr>
  </w:style>
  <w:style w:type="paragraph" w:styleId="Header">
    <w:name w:val="header"/>
    <w:basedOn w:val="Normal"/>
    <w:link w:val="HeaderChar"/>
    <w:uiPriority w:val="99"/>
    <w:rsid w:val="00F3346D"/>
    <w:pPr>
      <w:tabs>
        <w:tab w:val="center" w:pos="4513"/>
        <w:tab w:val="right" w:pos="9026"/>
      </w:tabs>
    </w:pPr>
  </w:style>
  <w:style w:type="character" w:customStyle="1" w:styleId="HeaderChar">
    <w:name w:val="Header Char"/>
    <w:link w:val="Header"/>
    <w:uiPriority w:val="99"/>
    <w:rsid w:val="00F3346D"/>
    <w:rPr>
      <w:rFonts w:ascii="Arial" w:hAnsi="Arial"/>
      <w:sz w:val="24"/>
      <w:lang w:eastAsia="en-US"/>
    </w:rPr>
  </w:style>
  <w:style w:type="paragraph" w:styleId="Footer">
    <w:name w:val="footer"/>
    <w:basedOn w:val="Normal"/>
    <w:link w:val="FooterChar"/>
    <w:uiPriority w:val="99"/>
    <w:rsid w:val="00F3346D"/>
    <w:pPr>
      <w:tabs>
        <w:tab w:val="center" w:pos="4513"/>
        <w:tab w:val="right" w:pos="9026"/>
      </w:tabs>
    </w:pPr>
  </w:style>
  <w:style w:type="character" w:customStyle="1" w:styleId="FooterChar">
    <w:name w:val="Footer Char"/>
    <w:link w:val="Footer"/>
    <w:uiPriority w:val="99"/>
    <w:rsid w:val="00F3346D"/>
    <w:rPr>
      <w:rFonts w:ascii="Arial" w:hAnsi="Arial"/>
      <w:sz w:val="24"/>
      <w:lang w:eastAsia="en-US"/>
    </w:rPr>
  </w:style>
  <w:style w:type="paragraph" w:styleId="NormalWeb">
    <w:name w:val="Normal (Web)"/>
    <w:basedOn w:val="Normal"/>
    <w:uiPriority w:val="99"/>
    <w:unhideWhenUsed/>
    <w:rsid w:val="00605978"/>
    <w:pPr>
      <w:spacing w:before="100" w:beforeAutospacing="1" w:after="100" w:afterAutospacing="1" w:line="360" w:lineRule="atLeast"/>
    </w:pPr>
    <w:rPr>
      <w:rFonts w:ascii="Times New Roman" w:eastAsia="Calibri" w:hAnsi="Times New Roman"/>
      <w:szCs w:val="24"/>
      <w:lang w:eastAsia="en-GB"/>
    </w:rPr>
  </w:style>
  <w:style w:type="paragraph" w:styleId="BodyText">
    <w:name w:val="Body Text"/>
    <w:basedOn w:val="Normal"/>
    <w:link w:val="BodyTextChar"/>
    <w:uiPriority w:val="1"/>
    <w:qFormat/>
    <w:rsid w:val="00F5779B"/>
    <w:pPr>
      <w:spacing w:after="120"/>
    </w:pPr>
  </w:style>
  <w:style w:type="character" w:customStyle="1" w:styleId="BodyTextChar">
    <w:name w:val="Body Text Char"/>
    <w:basedOn w:val="DefaultParagraphFont"/>
    <w:link w:val="BodyText"/>
    <w:uiPriority w:val="1"/>
    <w:rsid w:val="00F5779B"/>
    <w:rPr>
      <w:rFonts w:ascii="Arial" w:hAnsi="Arial"/>
      <w:sz w:val="24"/>
      <w:lang w:eastAsia="en-US"/>
    </w:rPr>
  </w:style>
  <w:style w:type="table" w:customStyle="1" w:styleId="GridTable41">
    <w:name w:val="Grid Table 41"/>
    <w:basedOn w:val="TableNormal"/>
    <w:uiPriority w:val="49"/>
    <w:rsid w:val="00C94F92"/>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E47405"/>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rsid w:val="00E47405"/>
    <w:rPr>
      <w:rFonts w:asciiTheme="majorHAnsi" w:eastAsiaTheme="majorEastAsia" w:hAnsiTheme="majorHAnsi" w:cstheme="majorBidi"/>
      <w:sz w:val="24"/>
      <w:szCs w:val="24"/>
      <w:lang w:eastAsia="en-US"/>
    </w:rPr>
  </w:style>
  <w:style w:type="character" w:customStyle="1" w:styleId="Heading4Char">
    <w:name w:val="Heading 4 Char"/>
    <w:basedOn w:val="DefaultParagraphFont"/>
    <w:link w:val="Heading4"/>
    <w:uiPriority w:val="9"/>
    <w:rsid w:val="00E47405"/>
    <w:rPr>
      <w:rFonts w:asciiTheme="majorHAnsi" w:eastAsiaTheme="majorEastAsia" w:hAnsiTheme="majorHAnsi" w:cstheme="majorBidi"/>
      <w:b/>
      <w:bCs/>
      <w:i/>
      <w:iCs/>
      <w:color w:val="5B9BD5" w:themeColor="accent1"/>
      <w:sz w:val="24"/>
      <w:szCs w:val="24"/>
      <w:lang w:eastAsia="en-US"/>
    </w:rPr>
  </w:style>
  <w:style w:type="character" w:customStyle="1" w:styleId="Heading5Char">
    <w:name w:val="Heading 5 Char"/>
    <w:basedOn w:val="DefaultParagraphFont"/>
    <w:link w:val="Heading5"/>
    <w:uiPriority w:val="9"/>
    <w:semiHidden/>
    <w:rsid w:val="00E47405"/>
    <w:rPr>
      <w:rFonts w:asciiTheme="majorHAnsi" w:eastAsiaTheme="majorEastAsia" w:hAnsiTheme="majorHAnsi" w:cstheme="majorBidi"/>
      <w:color w:val="1F4D78" w:themeColor="accent1" w:themeShade="7F"/>
      <w:sz w:val="24"/>
      <w:szCs w:val="24"/>
      <w:lang w:eastAsia="en-US"/>
    </w:rPr>
  </w:style>
  <w:style w:type="character" w:customStyle="1" w:styleId="Heading6Char">
    <w:name w:val="Heading 6 Char"/>
    <w:basedOn w:val="DefaultParagraphFont"/>
    <w:link w:val="Heading6"/>
    <w:uiPriority w:val="9"/>
    <w:semiHidden/>
    <w:rsid w:val="00E47405"/>
    <w:rPr>
      <w:rFonts w:asciiTheme="majorHAnsi" w:eastAsiaTheme="majorEastAsia" w:hAnsiTheme="majorHAnsi" w:cstheme="majorBidi"/>
      <w:i/>
      <w:iCs/>
      <w:color w:val="1F4D78" w:themeColor="accent1" w:themeShade="7F"/>
      <w:sz w:val="24"/>
      <w:szCs w:val="24"/>
      <w:lang w:eastAsia="en-US"/>
    </w:rPr>
  </w:style>
  <w:style w:type="character" w:customStyle="1" w:styleId="Heading7Char">
    <w:name w:val="Heading 7 Char"/>
    <w:basedOn w:val="DefaultParagraphFont"/>
    <w:link w:val="Heading7"/>
    <w:uiPriority w:val="9"/>
    <w:semiHidden/>
    <w:rsid w:val="00E47405"/>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semiHidden/>
    <w:rsid w:val="00E47405"/>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E47405"/>
    <w:rPr>
      <w:rFonts w:asciiTheme="majorHAnsi" w:eastAsiaTheme="majorEastAsia" w:hAnsiTheme="majorHAnsi" w:cstheme="majorBidi"/>
      <w:i/>
      <w:iCs/>
      <w:color w:val="404040" w:themeColor="text1" w:themeTint="BF"/>
      <w:lang w:eastAsia="en-US"/>
    </w:rPr>
  </w:style>
  <w:style w:type="character" w:customStyle="1" w:styleId="BalloonTextChar">
    <w:name w:val="Balloon Text Char"/>
    <w:basedOn w:val="DefaultParagraphFont"/>
    <w:link w:val="BalloonText"/>
    <w:uiPriority w:val="99"/>
    <w:semiHidden/>
    <w:rsid w:val="00E47405"/>
    <w:rPr>
      <w:rFonts w:ascii="Tahoma" w:hAnsi="Tahoma" w:cs="Tahoma"/>
      <w:sz w:val="16"/>
      <w:szCs w:val="16"/>
      <w:lang w:eastAsia="en-US"/>
    </w:rPr>
  </w:style>
  <w:style w:type="character" w:customStyle="1" w:styleId="Heading1Char">
    <w:name w:val="Heading 1 Char"/>
    <w:aliases w:val="Outline1 Char"/>
    <w:basedOn w:val="DefaultParagraphFont"/>
    <w:link w:val="Heading1"/>
    <w:uiPriority w:val="9"/>
    <w:rsid w:val="00E47405"/>
    <w:rPr>
      <w:rFonts w:ascii="Arial" w:hAnsi="Arial"/>
      <w:b/>
      <w:sz w:val="24"/>
    </w:rPr>
  </w:style>
  <w:style w:type="character" w:styleId="CommentReference">
    <w:name w:val="annotation reference"/>
    <w:basedOn w:val="DefaultParagraphFont"/>
    <w:uiPriority w:val="99"/>
    <w:unhideWhenUsed/>
    <w:rsid w:val="00E47405"/>
    <w:rPr>
      <w:sz w:val="16"/>
      <w:szCs w:val="16"/>
    </w:rPr>
  </w:style>
  <w:style w:type="paragraph" w:styleId="CommentText">
    <w:name w:val="annotation text"/>
    <w:basedOn w:val="Normal"/>
    <w:link w:val="CommentTextChar"/>
    <w:uiPriority w:val="99"/>
    <w:unhideWhenUsed/>
    <w:rsid w:val="00E47405"/>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E4740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rsid w:val="00E47405"/>
    <w:rPr>
      <w:b/>
      <w:bCs/>
    </w:rPr>
  </w:style>
  <w:style w:type="character" w:customStyle="1" w:styleId="CommentSubjectChar">
    <w:name w:val="Comment Subject Char"/>
    <w:basedOn w:val="CommentTextChar"/>
    <w:link w:val="CommentSubject"/>
    <w:uiPriority w:val="99"/>
    <w:rsid w:val="00E47405"/>
    <w:rPr>
      <w:rFonts w:asciiTheme="minorHAnsi" w:eastAsiaTheme="minorHAnsi" w:hAnsiTheme="minorHAnsi" w:cstheme="minorBidi"/>
      <w:b/>
      <w:bCs/>
      <w:lang w:eastAsia="en-US"/>
    </w:rPr>
  </w:style>
  <w:style w:type="paragraph" w:styleId="TOCHeading">
    <w:name w:val="TOC Heading"/>
    <w:basedOn w:val="Heading1"/>
    <w:next w:val="Normal"/>
    <w:uiPriority w:val="39"/>
    <w:semiHidden/>
    <w:unhideWhenUsed/>
    <w:qFormat/>
    <w:rsid w:val="00E474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ja-JP"/>
    </w:rPr>
  </w:style>
  <w:style w:type="paragraph" w:styleId="TOC1">
    <w:name w:val="toc 1"/>
    <w:basedOn w:val="Normal"/>
    <w:next w:val="Normal"/>
    <w:autoRedefine/>
    <w:uiPriority w:val="39"/>
    <w:unhideWhenUsed/>
    <w:qFormat/>
    <w:rsid w:val="00E47405"/>
    <w:pPr>
      <w:spacing w:after="100" w:line="276" w:lineRule="auto"/>
    </w:pPr>
    <w:rPr>
      <w:rFonts w:asciiTheme="minorHAnsi" w:eastAsiaTheme="minorHAnsi" w:hAnsiTheme="minorHAnsi" w:cstheme="minorBidi"/>
      <w:szCs w:val="24"/>
    </w:rPr>
  </w:style>
  <w:style w:type="paragraph" w:styleId="TOC2">
    <w:name w:val="toc 2"/>
    <w:basedOn w:val="Normal"/>
    <w:next w:val="Normal"/>
    <w:autoRedefine/>
    <w:uiPriority w:val="39"/>
    <w:unhideWhenUsed/>
    <w:rsid w:val="00E47405"/>
    <w:pPr>
      <w:spacing w:after="100" w:line="276" w:lineRule="auto"/>
      <w:ind w:left="240"/>
    </w:pPr>
    <w:rPr>
      <w:rFonts w:asciiTheme="minorHAnsi" w:eastAsiaTheme="minorHAnsi" w:hAnsiTheme="minorHAnsi" w:cstheme="minorBidi"/>
      <w:szCs w:val="24"/>
    </w:rPr>
  </w:style>
  <w:style w:type="paragraph" w:styleId="TOC3">
    <w:name w:val="toc 3"/>
    <w:basedOn w:val="Normal"/>
    <w:next w:val="Normal"/>
    <w:autoRedefine/>
    <w:uiPriority w:val="39"/>
    <w:unhideWhenUsed/>
    <w:rsid w:val="00E47405"/>
    <w:pPr>
      <w:spacing w:after="100" w:line="276" w:lineRule="auto"/>
      <w:ind w:left="480"/>
    </w:pPr>
    <w:rPr>
      <w:rFonts w:asciiTheme="minorHAnsi" w:eastAsiaTheme="minorHAnsi" w:hAnsiTheme="minorHAnsi" w:cstheme="minorBidi"/>
      <w:szCs w:val="24"/>
    </w:rPr>
  </w:style>
  <w:style w:type="character" w:styleId="FollowedHyperlink">
    <w:name w:val="FollowedHyperlink"/>
    <w:basedOn w:val="DefaultParagraphFont"/>
    <w:uiPriority w:val="99"/>
    <w:unhideWhenUsed/>
    <w:rsid w:val="00E47405"/>
    <w:rPr>
      <w:color w:val="954F72" w:themeColor="followedHyperlink"/>
      <w:u w:val="single"/>
    </w:rPr>
  </w:style>
  <w:style w:type="character" w:styleId="HTMLAcronym">
    <w:name w:val="HTML Acronym"/>
    <w:basedOn w:val="DefaultParagraphFont"/>
    <w:uiPriority w:val="99"/>
    <w:unhideWhenUsed/>
    <w:rsid w:val="00E47405"/>
  </w:style>
  <w:style w:type="character" w:styleId="Emphasis">
    <w:name w:val="Emphasis"/>
    <w:basedOn w:val="DefaultParagraphFont"/>
    <w:uiPriority w:val="20"/>
    <w:qFormat/>
    <w:rsid w:val="00E47405"/>
    <w:rPr>
      <w:i/>
      <w:iCs/>
    </w:rPr>
  </w:style>
  <w:style w:type="table" w:styleId="TableGrid">
    <w:name w:val="Table Grid"/>
    <w:basedOn w:val="TableNormal"/>
    <w:uiPriority w:val="59"/>
    <w:rsid w:val="00E474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1">
    <w:name w:val="Medium Shading 11"/>
    <w:basedOn w:val="TableNormal"/>
    <w:uiPriority w:val="63"/>
    <w:rsid w:val="00E47405"/>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EndnoteText">
    <w:name w:val="endnote text"/>
    <w:basedOn w:val="Normal"/>
    <w:link w:val="EndnoteTextChar"/>
    <w:uiPriority w:val="99"/>
    <w:unhideWhenUsed/>
    <w:rsid w:val="00E47405"/>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rsid w:val="00E47405"/>
    <w:rPr>
      <w:rFonts w:asciiTheme="minorHAnsi" w:eastAsiaTheme="minorHAnsi" w:hAnsiTheme="minorHAnsi" w:cstheme="minorBidi"/>
      <w:lang w:eastAsia="en-US"/>
    </w:rPr>
  </w:style>
  <w:style w:type="character" w:styleId="EndnoteReference">
    <w:name w:val="endnote reference"/>
    <w:basedOn w:val="DefaultParagraphFont"/>
    <w:uiPriority w:val="99"/>
    <w:unhideWhenUsed/>
    <w:rsid w:val="00E47405"/>
    <w:rPr>
      <w:vertAlign w:val="superscript"/>
    </w:rPr>
  </w:style>
  <w:style w:type="paragraph" w:customStyle="1" w:styleId="xmsonormal">
    <w:name w:val="x_msonormal"/>
    <w:basedOn w:val="Normal"/>
    <w:uiPriority w:val="99"/>
    <w:rsid w:val="00435E19"/>
    <w:rPr>
      <w:rFonts w:ascii="Calibri" w:eastAsiaTheme="minorHAnsi" w:hAnsi="Calibri" w:cs="Calibri"/>
      <w:sz w:val="22"/>
      <w:szCs w:val="22"/>
      <w:lang w:eastAsia="en-GB"/>
    </w:rPr>
  </w:style>
  <w:style w:type="paragraph" w:customStyle="1" w:styleId="xmsolistparagraph">
    <w:name w:val="x_msolistparagraph"/>
    <w:basedOn w:val="Normal"/>
    <w:uiPriority w:val="99"/>
    <w:rsid w:val="00435E19"/>
    <w:pPr>
      <w:ind w:left="720"/>
    </w:pPr>
    <w:rPr>
      <w:rFonts w:ascii="Calibri" w:eastAsiaTheme="minorHAnsi" w:hAnsi="Calibri" w:cs="Calibri"/>
      <w:sz w:val="22"/>
      <w:szCs w:val="22"/>
      <w:lang w:eastAsia="en-GB"/>
    </w:rPr>
  </w:style>
  <w:style w:type="character" w:customStyle="1" w:styleId="xui-provider">
    <w:name w:val="x_ui-provider"/>
    <w:basedOn w:val="DefaultParagraphFont"/>
    <w:rsid w:val="00435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635489">
      <w:bodyDiv w:val="1"/>
      <w:marLeft w:val="0"/>
      <w:marRight w:val="0"/>
      <w:marTop w:val="0"/>
      <w:marBottom w:val="0"/>
      <w:divBdr>
        <w:top w:val="none" w:sz="0" w:space="0" w:color="auto"/>
        <w:left w:val="none" w:sz="0" w:space="0" w:color="auto"/>
        <w:bottom w:val="none" w:sz="0" w:space="0" w:color="auto"/>
        <w:right w:val="none" w:sz="0" w:space="0" w:color="auto"/>
      </w:divBdr>
    </w:div>
    <w:div w:id="314376310">
      <w:bodyDiv w:val="1"/>
      <w:marLeft w:val="0"/>
      <w:marRight w:val="0"/>
      <w:marTop w:val="0"/>
      <w:marBottom w:val="0"/>
      <w:divBdr>
        <w:top w:val="none" w:sz="0" w:space="0" w:color="auto"/>
        <w:left w:val="none" w:sz="0" w:space="0" w:color="auto"/>
        <w:bottom w:val="none" w:sz="0" w:space="0" w:color="auto"/>
        <w:right w:val="none" w:sz="0" w:space="0" w:color="auto"/>
      </w:divBdr>
    </w:div>
    <w:div w:id="1239831300">
      <w:bodyDiv w:val="1"/>
      <w:marLeft w:val="0"/>
      <w:marRight w:val="0"/>
      <w:marTop w:val="0"/>
      <w:marBottom w:val="0"/>
      <w:divBdr>
        <w:top w:val="none" w:sz="0" w:space="0" w:color="auto"/>
        <w:left w:val="none" w:sz="0" w:space="0" w:color="auto"/>
        <w:bottom w:val="none" w:sz="0" w:space="0" w:color="auto"/>
        <w:right w:val="none" w:sz="0" w:space="0" w:color="auto"/>
      </w:divBdr>
    </w:div>
    <w:div w:id="1798714674">
      <w:bodyDiv w:val="1"/>
      <w:marLeft w:val="0"/>
      <w:marRight w:val="0"/>
      <w:marTop w:val="0"/>
      <w:marBottom w:val="0"/>
      <w:divBdr>
        <w:top w:val="none" w:sz="0" w:space="0" w:color="auto"/>
        <w:left w:val="none" w:sz="0" w:space="0" w:color="auto"/>
        <w:bottom w:val="none" w:sz="0" w:space="0" w:color="auto"/>
        <w:right w:val="none" w:sz="0" w:space="0" w:color="auto"/>
      </w:divBdr>
    </w:div>
    <w:div w:id="20191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asp/2016/9/contents/enacted" TargetMode="External"/><Relationship Id="rId18" Type="http://schemas.openxmlformats.org/officeDocument/2006/relationships/hyperlink" Target="https://www.legislation.gov.uk/asp/2002/5/contents" TargetMode="External"/><Relationship Id="rId26" Type="http://schemas.openxmlformats.org/officeDocument/2006/relationships/footer" Target="footer1.xml"/><Relationship Id="rId39" Type="http://schemas.openxmlformats.org/officeDocument/2006/relationships/hyperlink" Target="http://www.socialsecurity.gov.scot/terminal-illness" TargetMode="External"/><Relationship Id="rId21" Type="http://schemas.openxmlformats.org/officeDocument/2006/relationships/hyperlink" Target="https://www.legislation.gov.uk/asp/2003/7/contents" TargetMode="External"/><Relationship Id="rId34" Type="http://schemas.openxmlformats.org/officeDocument/2006/relationships/hyperlink" Target="https://www.socialsecurity.gov.scot/guidance-resources/guidance/requesting-a-basris-form" TargetMode="External"/><Relationship Id="rId42" Type="http://schemas.openxmlformats.org/officeDocument/2006/relationships/hyperlink" Target="https://www.cosla.gov.uk/about-cosla/our-teams/health-and-social-care/social-care-charging-information" TargetMode="External"/><Relationship Id="rId47" Type="http://schemas.openxmlformats.org/officeDocument/2006/relationships/hyperlink" Target="http://www.sehd.scot.nhs.uk/publications/CC2019_02.pdf" TargetMode="External"/><Relationship Id="rId50" Type="http://schemas.openxmlformats.org/officeDocument/2006/relationships/hyperlink" Target="https://www.linkupwestdunbartonshire.org/" TargetMode="External"/><Relationship Id="rId55" Type="http://schemas.openxmlformats.org/officeDocument/2006/relationships/hyperlink" Target="https://eur01.safelinks.protection.outlook.com/?url=https%3A%2F%2Fintranet.west-dunbarton.gov.uk%2Fhscp%2Fmy-life-assessment-resources-mla%2Fmy-life-assessment-screening%2F&amp;data=05%7C01%7Cjoyce.habo2%40ggc.scot.nhs.uk%7C6bdb8fd38434499200b808db31f4c960%7C10efe0bda0304bca809cb5e6745e499a%7C0%7C0%7C638158699636733386%7CUnknown%7CTWFpbGZsb3d8eyJWIjoiMC4wLjAwMDAiLCJQIjoiV2luMzIiLCJBTiI6Ik1haWwiLCJXVCI6Mn0%3D%7C3000%7C%7C%7C&amp;sdata=%2BD25AqlUelyZCHSQphdORBoN02CmDx2CmL84UTSWkWo%3D&amp;reserved=0"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gov.uk/ssi/2018/200/introduction/made" TargetMode="External"/><Relationship Id="rId20" Type="http://schemas.openxmlformats.org/officeDocument/2006/relationships/hyperlink" Target="http://www.wdhscp.org.uk/carers/local-carers-strategy/" TargetMode="External"/><Relationship Id="rId29" Type="http://schemas.openxmlformats.org/officeDocument/2006/relationships/hyperlink" Target="http://www.legislation.gov.uk/asp/2007/10/contents" TargetMode="External"/><Relationship Id="rId41" Type="http://schemas.openxmlformats.org/officeDocument/2006/relationships/hyperlink" Target="https://intranet.west-dunbarton.gov.uk/resources/audit-fraud/fraud" TargetMode="External"/><Relationship Id="rId54" Type="http://schemas.openxmlformats.org/officeDocument/2006/relationships/hyperlink" Target="https://eur01.safelinks.protection.outlook.com/?url=https%3A%2F%2Fintranet.west-dunbarton.gov.uk%2Fhscp%2Fmy-life-assessment-resources-mla%2Fmy-life-assessment%2F&amp;data=05%7C01%7Cjoyce.habo2%40ggc.scot.nhs.uk%7C6bdb8fd38434499200b808db31f4c960%7C10efe0bda0304bca809cb5e6745e499a%7C0%7C0%7C638158699636733386%7CUnknown%7CTWFpbGZsb3d8eyJWIjoiMC4wLjAwMDAiLCJQIjoiV2luMzIiLCJBTiI6Ik1haWwiLCJXVCI6Mn0%3D%7C3000%7C%7C%7C&amp;sdata=TiJf%2Fn%2FeDzbK%2B%2FhlB%2BveIiZzilqf2Q0zq1hGIQzZ1q0%3D&amp;reserved=0" TargetMode="External"/><Relationship Id="rId62" Type="http://schemas.openxmlformats.org/officeDocument/2006/relationships/hyperlink" Target="http://www.wdhscp.org.uk/adults-with-disabilities/service-defini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asp/2013/1/contents/enacted" TargetMode="External"/><Relationship Id="rId24" Type="http://schemas.openxmlformats.org/officeDocument/2006/relationships/header" Target="header1.xml"/><Relationship Id="rId32" Type="http://schemas.openxmlformats.org/officeDocument/2006/relationships/hyperlink" Target="https://www.sehd.scot.nhs.uk/cmo/CMO(2021)15.pdf" TargetMode="External"/><Relationship Id="rId37" Type="http://schemas.openxmlformats.org/officeDocument/2006/relationships/hyperlink" Target="https://www.socialsecurity.gov.scot/guidance-resources/guidance/special-rules-for-terminal-illness-leaflet-for-patients" TargetMode="External"/><Relationship Id="rId40" Type="http://schemas.openxmlformats.org/officeDocument/2006/relationships/hyperlink" Target="https://intranet.west-dunbarton.gov.uk/hscp/my-life-assessment-resources-mla/sds-irf-completion-guide/" TargetMode="External"/><Relationship Id="rId45" Type="http://schemas.openxmlformats.org/officeDocument/2006/relationships/hyperlink" Target="https://www.gov.scot/publications/carers-scotland-act-2016-statutory-guidance/pages/1/" TargetMode="External"/><Relationship Id="rId53" Type="http://schemas.openxmlformats.org/officeDocument/2006/relationships/hyperlink" Target="http://www.wdhscp.org.uk/" TargetMode="External"/><Relationship Id="rId58" Type="http://schemas.openxmlformats.org/officeDocument/2006/relationships/hyperlink" Target="https://eur01.safelinks.protection.outlook.com/?url=https%3A%2F%2Fintranet.west-dunbarton.gov.uk%2Fhscp%2Fmy-life-assessment-resources-mla%2Fsds-irf-completion-guide%2F&amp;data=05%7C01%7Cjoyce.habo2%40ggc.scot.nhs.uk%7C6bdb8fd38434499200b808db31f4c960%7C10efe0bda0304bca809cb5e6745e499a%7C0%7C0%7C638158699636889625%7CUnknown%7CTWFpbGZsb3d8eyJWIjoiMC4wLjAwMDAiLCJQIjoiV2luMzIiLCJBTiI6Ik1haWwiLCJXVCI6Mn0%3D%7C3000%7C%7C%7C&amp;sdata=wXwt3NDA1arROfRFnAaxe5kuBkguhCD%2Ba9Qp90SDshE%3D&amp;reserved=0" TargetMode="External"/><Relationship Id="rId5" Type="http://schemas.openxmlformats.org/officeDocument/2006/relationships/webSettings" Target="webSettings.xml"/><Relationship Id="rId15" Type="http://schemas.openxmlformats.org/officeDocument/2006/relationships/hyperlink" Target="https://www.legislation.gov.uk/ukpga/1998/42/contents" TargetMode="External"/><Relationship Id="rId23" Type="http://schemas.openxmlformats.org/officeDocument/2006/relationships/hyperlink" Target="http://www.wdhscp.org.uk/carers/local-carers-strategy/" TargetMode="External"/><Relationship Id="rId28" Type="http://schemas.openxmlformats.org/officeDocument/2006/relationships/hyperlink" Target="http://www.legislation.gov.uk/asp/2003/13/contents" TargetMode="External"/><Relationship Id="rId36" Type="http://schemas.openxmlformats.org/officeDocument/2006/relationships/hyperlink" Target="https://www.socialsecurity.gov.scot/guidance-resources/guidance/special-rules-for-terminal-illness-factsheet-for-clinicians" TargetMode="External"/><Relationship Id="rId49" Type="http://schemas.openxmlformats.org/officeDocument/2006/relationships/hyperlink" Target="https://www.nhsinform.scot/scotlands-service-directory/health-and-wellbeing-services?locpt=55.94509249999999%2c-4.5646259&amp;q=.scot/" TargetMode="External"/><Relationship Id="rId57" Type="http://schemas.openxmlformats.org/officeDocument/2006/relationships/hyperlink" Target="https://eur01.safelinks.protection.outlook.com/?url=https%3A%2F%2Fintranet.west-dunbarton.gov.uk%2Fhscp%2Fmy-life-assessment-resources-mla%2Fmy-life-assessment-review%2F&amp;data=05%7C01%7Cjoyce.habo2%40ggc.scot.nhs.uk%7C6bdb8fd38434499200b808db31f4c960%7C10efe0bda0304bca809cb5e6745e499a%7C0%7C0%7C638158699636889625%7CUnknown%7CTWFpbGZsb3d8eyJWIjoiMC4wLjAwMDAiLCJQIjoiV2luMzIiLCJBTiI6Ik1haWwiLCJXVCI6Mn0%3D%7C3000%7C%7C%7C&amp;sdata=L7Uf7GtauN6CYK%2FneoKGBQJ62vDhHnXd5wnU5%2BxamLQ%3D&amp;reserved=0" TargetMode="External"/><Relationship Id="rId61" Type="http://schemas.openxmlformats.org/officeDocument/2006/relationships/hyperlink" Target="mailto:SDS@west-dunbarton.gov.uk" TargetMode="External"/><Relationship Id="rId10" Type="http://schemas.openxmlformats.org/officeDocument/2006/relationships/hyperlink" Target="file:///C:\Users\levans\Documents\Charging%20Policy\Social%20Work%20(Scotland)%20Act%201968%20Section%2087" TargetMode="External"/><Relationship Id="rId19" Type="http://schemas.openxmlformats.org/officeDocument/2006/relationships/hyperlink" Target="http://www.legislation.gov.uk/asp/2003/13/contents" TargetMode="External"/><Relationship Id="rId31" Type="http://schemas.openxmlformats.org/officeDocument/2006/relationships/hyperlink" Target="http://www.wdhscp.org.uk/carers/respite/" TargetMode="External"/><Relationship Id="rId44" Type="http://schemas.openxmlformats.org/officeDocument/2006/relationships/hyperlink" Target="http://www.wdhscp.org.uk/carers/respite/" TargetMode="External"/><Relationship Id="rId52" Type="http://schemas.openxmlformats.org/officeDocument/2006/relationships/hyperlink" Target="https://www.mygov.scot/benefits/" TargetMode="External"/><Relationship Id="rId60" Type="http://schemas.openxmlformats.org/officeDocument/2006/relationships/hyperlink" Target="mailto:carefirsttraining@west-dunbarton.gov.uk" TargetMode="External"/><Relationship Id="rId4" Type="http://schemas.openxmlformats.org/officeDocument/2006/relationships/settings" Target="settings.xml"/><Relationship Id="rId9" Type="http://schemas.openxmlformats.org/officeDocument/2006/relationships/hyperlink" Target="https://www.cosla.gov.uk/about-cosla/our-teams/health-and-social-care/social-care-charging-information" TargetMode="External"/><Relationship Id="rId14" Type="http://schemas.openxmlformats.org/officeDocument/2006/relationships/hyperlink" Target="https://www.gov.uk/guidance/equality-act-2010-guidance" TargetMode="External"/><Relationship Id="rId22" Type="http://schemas.openxmlformats.org/officeDocument/2006/relationships/hyperlink" Target="http://www.wdhscp.org.uk/carers/respite/" TargetMode="External"/><Relationship Id="rId27" Type="http://schemas.openxmlformats.org/officeDocument/2006/relationships/header" Target="header3.xml"/><Relationship Id="rId30" Type="http://schemas.openxmlformats.org/officeDocument/2006/relationships/hyperlink" Target="http://www.wdhscp.org.uk/carers/local-carers-strategy/" TargetMode="External"/><Relationship Id="rId35" Type="http://schemas.openxmlformats.org/officeDocument/2006/relationships/hyperlink" Target="https://www.socialsecurity.gov.scot/guidance-resources/guidance/special-rules-for-terminal-illness-frequently-asked-questions" TargetMode="External"/><Relationship Id="rId43" Type="http://schemas.openxmlformats.org/officeDocument/2006/relationships/hyperlink" Target="https://www.cosla.gov.uk/__data/assets/pdf_file/0016/17521/2020-21-COSLA-Charging-Policy-for-Social-Care-Support.pdf" TargetMode="External"/><Relationship Id="rId48" Type="http://schemas.openxmlformats.org/officeDocument/2006/relationships/hyperlink" Target="https://www.nhsinform" TargetMode="External"/><Relationship Id="rId56" Type="http://schemas.openxmlformats.org/officeDocument/2006/relationships/hyperlink" Target="https://eur01.safelinks.protection.outlook.com/?url=https%3A%2F%2Fintranet.west-dunbarton.gov.uk%2Fhscp%2Fmy-life-assessment-resources-mla%2Fmy-life-assessment-training%2F&amp;data=05%7C01%7Cjoyce.habo2%40ggc.scot.nhs.uk%7C6bdb8fd38434499200b808db31f4c960%7C10efe0bda0304bca809cb5e6745e499a%7C0%7C0%7C638158699636733386%7CUnknown%7CTWFpbGZsb3d8eyJWIjoiMC4wLjAwMDAiLCJQIjoiV2luMzIiLCJBTiI6Ik1haWwiLCJXVCI6Mn0%3D%7C3000%7C%7C%7C&amp;sdata=NWeifK3EVG%2FrFaD66r3TdTbu8Cc9ZAev7Snmt%2BzHRUY%3D&amp;reserved=0"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wdcvs.com/wellbeing/link-up/" TargetMode="External"/><Relationship Id="rId3" Type="http://schemas.openxmlformats.org/officeDocument/2006/relationships/styles" Target="styles.xml"/><Relationship Id="rId12" Type="http://schemas.openxmlformats.org/officeDocument/2006/relationships/hyperlink" Target="http://www.legislation.gov.uk/asp/2013/1/contents/enacted" TargetMode="External"/><Relationship Id="rId17" Type="http://schemas.openxmlformats.org/officeDocument/2006/relationships/hyperlink" Target="http://www.legislation.gov.uk/ukpga/1968/49/contents" TargetMode="External"/><Relationship Id="rId25" Type="http://schemas.openxmlformats.org/officeDocument/2006/relationships/header" Target="header2.xml"/><Relationship Id="rId33" Type="http://schemas.openxmlformats.org/officeDocument/2006/relationships/hyperlink" Target="https://www.socialsecurity.gov.scot/guidance-resources/guidance/chief-medical-officers-guidance-for-clinicians-completing-a-basris-form-for-terminal-illness" TargetMode="External"/><Relationship Id="rId38" Type="http://schemas.openxmlformats.org/officeDocument/2006/relationships/hyperlink" Target="https://www.socialsecurity.gov.scot/guidance-resources/guidance/special-rules-for-terminal-illness-contacting-the-clinicians-helpline" TargetMode="External"/><Relationship Id="rId46" Type="http://schemas.openxmlformats.org/officeDocument/2006/relationships/hyperlink" Target="http://www.sehd.scot.nhs.uk/publications/CC2019_02.pdf" TargetMode="External"/><Relationship Id="rId59" Type="http://schemas.openxmlformats.org/officeDocument/2006/relationships/hyperlink" Target="https://eur01.safelinks.protection.outlook.com/?url=https%3A%2F%2Fintranet.west-dunbarton.gov.uk%2Fhscp%2Fcarefirst%2F&amp;data=05%7C01%7Cjoyce.habo2%40ggc.scot.nhs.uk%7C6bdb8fd38434499200b808db31f4c960%7C10efe0bda0304bca809cb5e6745e499a%7C0%7C0%7C638158699636889625%7CUnknown%7CTWFpbGZsb3d8eyJWIjoiMC4wLjAwMDAiLCJQIjoiV2luMzIiLCJBTiI6Ik1haWwiLCJXVCI6Mn0%3D%7C3000%7C%7C%7C&amp;sdata=%2FjQS%2Ff16mUfP6FTpLXX%2BHAHIoyYWa5VOLFTum4g%2Bh%2B4%3D&amp;reserved=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uk/asp/2003/7/contents" TargetMode="External"/><Relationship Id="rId1" Type="http://schemas.openxmlformats.org/officeDocument/2006/relationships/hyperlink" Target="http://www.legislation.gov.uk/asp/2013/1/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B9DF32-FCC2-4B44-914C-0EA4F156D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5710</Words>
  <Characters>42233</Characters>
  <Application>Microsoft Office Word</Application>
  <DocSecurity>0</DocSecurity>
  <Lines>351</Lines>
  <Paragraphs>95</Paragraphs>
  <ScaleCrop>false</ScaleCrop>
  <HeadingPairs>
    <vt:vector size="2" baseType="variant">
      <vt:variant>
        <vt:lpstr>Title</vt:lpstr>
      </vt:variant>
      <vt:variant>
        <vt:i4>1</vt:i4>
      </vt:variant>
    </vt:vector>
  </HeadingPairs>
  <TitlesOfParts>
    <vt:vector size="1" baseType="lpstr">
      <vt:lpstr/>
    </vt:vector>
  </TitlesOfParts>
  <Company>West Dunbartonshire Council</Company>
  <LinksUpToDate>false</LinksUpToDate>
  <CharactersWithSpaces>47848</CharactersWithSpaces>
  <SharedDoc>false</SharedDoc>
  <HLinks>
    <vt:vector size="6" baseType="variant">
      <vt:variant>
        <vt:i4>786556</vt:i4>
      </vt:variant>
      <vt:variant>
        <vt:i4>0</vt:i4>
      </vt:variant>
      <vt:variant>
        <vt:i4>0</vt:i4>
      </vt:variant>
      <vt:variant>
        <vt:i4>5</vt:i4>
      </vt:variant>
      <vt:variant>
        <vt:lpwstr>mailto:julie.slavin@ggc.scot.nhs.uk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Evans</dc:creator>
  <cp:lastModifiedBy>Laura Evans</cp:lastModifiedBy>
  <cp:revision>3</cp:revision>
  <cp:lastPrinted>2022-04-06T14:05:00Z</cp:lastPrinted>
  <dcterms:created xsi:type="dcterms:W3CDTF">2023-09-27T10:58:00Z</dcterms:created>
  <dcterms:modified xsi:type="dcterms:W3CDTF">2023-09-27T10:59:00Z</dcterms:modified>
</cp:coreProperties>
</file>