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A9" w:rsidRDefault="008A007E" w:rsidP="00D91C4A">
      <w:pPr>
        <w:rPr>
          <w:rFonts w:asciiTheme="minorHAnsi" w:hAnsiTheme="minorHAnsi" w:cstheme="minorHAnsi"/>
        </w:rPr>
      </w:pPr>
      <w:bookmarkStart w:id="0" w:name="_GoBack"/>
      <w:bookmarkEnd w:id="0"/>
      <w:r>
        <w:rPr>
          <w:rFonts w:asciiTheme="minorHAnsi" w:hAnsiTheme="minorHAnsi" w:cstheme="minorHAnsi"/>
        </w:rPr>
        <w:tab/>
      </w:r>
      <w:r w:rsidR="00AD219F">
        <w:rPr>
          <w:rFonts w:asciiTheme="minorHAnsi" w:hAnsiTheme="minorHAnsi" w:cstheme="minorHAnsi"/>
        </w:rPr>
        <w:t xml:space="preserve">                                                  </w:t>
      </w:r>
    </w:p>
    <w:p w:rsidR="005705A9" w:rsidRDefault="005705A9">
      <w:pPr>
        <w:spacing w:before="0" w:after="200" w:line="276" w:lineRule="auto"/>
        <w:rPr>
          <w:rFonts w:asciiTheme="minorHAnsi" w:hAnsiTheme="minorHAnsi" w:cstheme="minorHAnsi"/>
        </w:rPr>
      </w:pPr>
    </w:p>
    <w:p w:rsidR="006D5FC6" w:rsidRPr="000C21C6" w:rsidRDefault="006D5FC6" w:rsidP="007D5A01">
      <w:pPr>
        <w:spacing w:before="0" w:after="200" w:line="276" w:lineRule="auto"/>
        <w:jc w:val="center"/>
        <w:rPr>
          <w:rFonts w:ascii="Arial" w:hAnsi="Arial" w:cs="Arial"/>
          <w:b/>
          <w:sz w:val="40"/>
          <w:szCs w:val="40"/>
        </w:rPr>
      </w:pPr>
      <w:r w:rsidRPr="000C21C6">
        <w:rPr>
          <w:rFonts w:ascii="Arial" w:hAnsi="Arial" w:cs="Arial"/>
          <w:b/>
          <w:sz w:val="40"/>
          <w:szCs w:val="40"/>
        </w:rPr>
        <w:t>ANNUAL ACCOUNTS</w:t>
      </w:r>
    </w:p>
    <w:p w:rsidR="005705A9" w:rsidRPr="000C21C6" w:rsidRDefault="006D5FC6" w:rsidP="006D5FC6">
      <w:pPr>
        <w:spacing w:before="0" w:after="200" w:line="276" w:lineRule="auto"/>
        <w:jc w:val="center"/>
        <w:rPr>
          <w:rFonts w:ascii="Arial" w:hAnsi="Arial" w:cs="Arial"/>
          <w:b/>
          <w:sz w:val="40"/>
          <w:szCs w:val="40"/>
        </w:rPr>
      </w:pPr>
      <w:r w:rsidRPr="000C21C6">
        <w:rPr>
          <w:rFonts w:ascii="Arial" w:hAnsi="Arial" w:cs="Arial"/>
          <w:b/>
          <w:sz w:val="40"/>
          <w:szCs w:val="40"/>
        </w:rPr>
        <w:t>FOR THE YEAR ENDED</w:t>
      </w:r>
    </w:p>
    <w:p w:rsidR="006D5FC6" w:rsidRDefault="00FA043F" w:rsidP="006D5FC6">
      <w:pPr>
        <w:spacing w:before="0" w:after="200" w:line="276" w:lineRule="auto"/>
        <w:jc w:val="center"/>
        <w:rPr>
          <w:rFonts w:ascii="Arial" w:hAnsi="Arial" w:cs="Arial"/>
          <w:b/>
          <w:sz w:val="40"/>
          <w:szCs w:val="40"/>
        </w:rPr>
      </w:pPr>
      <w:r>
        <w:rPr>
          <w:rFonts w:ascii="Arial" w:hAnsi="Arial" w:cs="Arial"/>
          <w:b/>
          <w:sz w:val="40"/>
          <w:szCs w:val="40"/>
        </w:rPr>
        <w:t>31 MARCH 2020</w:t>
      </w:r>
    </w:p>
    <w:p w:rsidR="005705A9" w:rsidRDefault="005705A9" w:rsidP="00373996">
      <w:pPr>
        <w:tabs>
          <w:tab w:val="left" w:pos="7488"/>
        </w:tabs>
        <w:spacing w:before="0" w:after="200" w:line="276" w:lineRule="auto"/>
        <w:rPr>
          <w:rFonts w:asciiTheme="minorHAnsi" w:hAnsiTheme="minorHAnsi" w:cstheme="minorHAnsi"/>
        </w:rPr>
      </w:pPr>
    </w:p>
    <w:p w:rsidR="005705A9" w:rsidRDefault="006D5FC6">
      <w:pPr>
        <w:spacing w:before="0" w:after="200" w:line="276" w:lineRule="auto"/>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5731200" cy="3816000"/>
            <wp:effectExtent l="0" t="0" r="3175" b="0"/>
            <wp:wrapSquare wrapText="bothSides"/>
            <wp:docPr id="17" name="Picture 17" descr="title page photo of levengrove park" title="photo on 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cneilly\AppData\Local\Microsoft\Windows\Temporary Internet Files\Content.Outlook\TV9MDMNC\levengrov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200" cy="38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05A9" w:rsidRDefault="00E84633">
      <w:pPr>
        <w:spacing w:before="0" w:after="200" w:line="276" w:lineRule="auto"/>
        <w:rPr>
          <w:rFonts w:asciiTheme="minorHAnsi" w:hAnsiTheme="minorHAnsi" w:cstheme="minorHAnsi"/>
        </w:rPr>
      </w:pPr>
      <w:r>
        <w:rPr>
          <w:noProof/>
          <w:lang w:eastAsia="en-GB"/>
        </w:rPr>
        <w:drawing>
          <wp:anchor distT="0" distB="0" distL="114300" distR="114300" simplePos="0" relativeHeight="251656192" behindDoc="0" locked="0" layoutInCell="1" allowOverlap="1">
            <wp:simplePos x="0" y="0"/>
            <wp:positionH relativeFrom="column">
              <wp:posOffset>4330700</wp:posOffset>
            </wp:positionH>
            <wp:positionV relativeFrom="page">
              <wp:posOffset>7499350</wp:posOffset>
            </wp:positionV>
            <wp:extent cx="1558290" cy="935990"/>
            <wp:effectExtent l="0" t="0" r="3810" b="0"/>
            <wp:wrapNone/>
            <wp:docPr id="43" name="Picture 43" descr="http://intranet.west-dunbarton.gov.uk/media/3009/wdc-logo-black.jpg" title="west dunbar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tranet.west-dunbarton.gov.uk/media/3009/wdc-logo-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290"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48BA" w:rsidRDefault="008648BA">
      <w:pPr>
        <w:spacing w:before="0" w:after="200" w:line="276" w:lineRule="auto"/>
        <w:rPr>
          <w:rFonts w:asciiTheme="minorHAnsi" w:hAnsiTheme="minorHAnsi" w:cstheme="minorHAnsi"/>
        </w:rPr>
      </w:pPr>
      <w:r>
        <w:rPr>
          <w:rFonts w:asciiTheme="minorHAnsi" w:hAnsiTheme="minorHAnsi" w:cstheme="minorHAnsi"/>
        </w:rPr>
        <w:br w:type="page"/>
      </w:r>
    </w:p>
    <w:p w:rsidR="00F43F6A" w:rsidRDefault="00F43F6A" w:rsidP="00CF691B">
      <w:pPr>
        <w:pStyle w:val="Heading1"/>
        <w:spacing w:before="0"/>
        <w:rPr>
          <w:sz w:val="24"/>
          <w:szCs w:val="24"/>
        </w:rPr>
        <w:sectPr w:rsidR="00F43F6A">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F43F6A" w:rsidRDefault="00A73F79" w:rsidP="00E11F03">
      <w:pPr>
        <w:spacing w:before="0" w:after="200" w:line="276" w:lineRule="auto"/>
        <w:rPr>
          <w:rFonts w:ascii="Arial" w:hAnsi="Arial" w:cs="Arial"/>
          <w:b/>
          <w:sz w:val="24"/>
          <w:szCs w:val="24"/>
        </w:rPr>
      </w:pPr>
      <w:r>
        <w:rPr>
          <w:rFonts w:ascii="Arial" w:hAnsi="Arial" w:cs="Arial"/>
          <w:b/>
          <w:sz w:val="24"/>
          <w:szCs w:val="24"/>
        </w:rPr>
        <w:lastRenderedPageBreak/>
        <w:t>Table of Contents</w:t>
      </w:r>
    </w:p>
    <w:p w:rsidR="00A73F79" w:rsidRDefault="000D6DD2" w:rsidP="00E11F03">
      <w:pPr>
        <w:spacing w:before="0" w:after="200" w:line="276" w:lineRule="auto"/>
        <w:rPr>
          <w:rFonts w:ascii="Arial" w:hAnsi="Arial" w:cs="Arial"/>
          <w:b/>
          <w:sz w:val="24"/>
          <w:szCs w:val="24"/>
        </w:rPr>
      </w:pPr>
      <w:r w:rsidRPr="000D6DD2">
        <w:rPr>
          <w:noProof/>
          <w:lang w:eastAsia="en-GB"/>
        </w:rPr>
        <w:drawing>
          <wp:inline distT="0" distB="0" distL="0" distR="0">
            <wp:extent cx="5899150" cy="5237730"/>
            <wp:effectExtent l="0" t="0" r="6350" b="1270"/>
            <wp:docPr id="239" name="Picture 239" descr="contents page - showing page numbers" title="content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1583" cy="5239890"/>
                    </a:xfrm>
                    <a:prstGeom prst="rect">
                      <a:avLst/>
                    </a:prstGeom>
                    <a:noFill/>
                    <a:ln>
                      <a:noFill/>
                    </a:ln>
                  </pic:spPr>
                </pic:pic>
              </a:graphicData>
            </a:graphic>
          </wp:inline>
        </w:drawing>
      </w:r>
    </w:p>
    <w:p w:rsidR="00927DCB" w:rsidRDefault="00927DCB">
      <w:pPr>
        <w:spacing w:before="0" w:after="200" w:line="276" w:lineRule="auto"/>
        <w:rPr>
          <w:rFonts w:ascii="Arial" w:hAnsi="Arial" w:cs="Arial"/>
          <w:b/>
          <w:sz w:val="24"/>
          <w:szCs w:val="24"/>
        </w:rPr>
      </w:pPr>
      <w:r>
        <w:rPr>
          <w:rFonts w:ascii="Arial" w:hAnsi="Arial" w:cs="Arial"/>
          <w:b/>
          <w:sz w:val="24"/>
          <w:szCs w:val="24"/>
        </w:rPr>
        <w:br w:type="page"/>
      </w:r>
    </w:p>
    <w:p w:rsidR="0021497B" w:rsidRPr="00617BAE" w:rsidRDefault="0021497B" w:rsidP="0021497B">
      <w:pPr>
        <w:keepNext/>
        <w:keepLines/>
        <w:spacing w:before="0" w:after="0"/>
        <w:outlineLvl w:val="0"/>
        <w:rPr>
          <w:rFonts w:ascii="Arial" w:eastAsiaTheme="majorEastAsia" w:hAnsi="Arial" w:cs="Arial"/>
          <w:b/>
          <w:bCs/>
          <w:sz w:val="24"/>
          <w:szCs w:val="24"/>
        </w:rPr>
      </w:pPr>
      <w:bookmarkStart w:id="1" w:name="OLE_LINK1"/>
      <w:r w:rsidRPr="00617BAE">
        <w:rPr>
          <w:rFonts w:ascii="Arial" w:eastAsiaTheme="majorEastAsia" w:hAnsi="Arial" w:cs="Arial"/>
          <w:b/>
          <w:bCs/>
          <w:sz w:val="24"/>
          <w:szCs w:val="24"/>
        </w:rPr>
        <w:lastRenderedPageBreak/>
        <w:t>Management Commentary</w:t>
      </w:r>
    </w:p>
    <w:p w:rsidR="0021497B" w:rsidRPr="00617BAE" w:rsidRDefault="0021497B" w:rsidP="0021497B">
      <w:pPr>
        <w:spacing w:before="0" w:after="0"/>
        <w:rPr>
          <w:rFonts w:ascii="Arial" w:hAnsi="Arial" w:cs="Arial"/>
          <w:color w:val="000000"/>
          <w:lang w:val="en-US"/>
        </w:rPr>
      </w:pPr>
      <w:r w:rsidRPr="00617BAE">
        <w:rPr>
          <w:rFonts w:ascii="Arial" w:hAnsi="Arial" w:cs="Arial"/>
          <w:color w:val="000000"/>
          <w:lang w:val="en-US"/>
        </w:rPr>
        <w:t>  </w:t>
      </w:r>
    </w:p>
    <w:p w:rsidR="0021497B" w:rsidRPr="00617BAE" w:rsidRDefault="0021497B" w:rsidP="0021497B">
      <w:pPr>
        <w:keepNext/>
        <w:spacing w:before="0" w:after="0" w:line="276" w:lineRule="auto"/>
        <w:outlineLvl w:val="1"/>
        <w:rPr>
          <w:rFonts w:ascii="Arial" w:hAnsi="Arial" w:cs="Arial"/>
          <w:b/>
          <w:bCs/>
          <w:i/>
          <w:iCs/>
          <w:color w:val="000000"/>
          <w:u w:val="single"/>
          <w:lang w:val="en-US"/>
        </w:rPr>
      </w:pPr>
      <w:r w:rsidRPr="00617BAE">
        <w:rPr>
          <w:rFonts w:ascii="Arial" w:hAnsi="Arial" w:cs="Arial"/>
          <w:b/>
          <w:bCs/>
          <w:color w:val="000000"/>
          <w:u w:val="single"/>
        </w:rPr>
        <w:t>1. Introduction</w:t>
      </w:r>
    </w:p>
    <w:p w:rsidR="0021497B" w:rsidRPr="00617BAE" w:rsidRDefault="0021497B" w:rsidP="00D376A2">
      <w:pPr>
        <w:spacing w:before="0" w:after="0"/>
        <w:rPr>
          <w:rFonts w:ascii="Arial" w:hAnsi="Arial" w:cs="Arial"/>
        </w:rPr>
      </w:pPr>
      <w:r w:rsidRPr="00617BAE">
        <w:rPr>
          <w:rFonts w:ascii="Arial" w:hAnsi="Arial" w:cs="Arial"/>
        </w:rPr>
        <w:t xml:space="preserve">This publication contains the financial statements of both </w:t>
      </w:r>
      <w:r w:rsidR="00D376A2">
        <w:rPr>
          <w:rFonts w:ascii="Arial" w:hAnsi="Arial" w:cs="Arial"/>
        </w:rPr>
        <w:t>West Dunbartonshire</w:t>
      </w:r>
      <w:r w:rsidRPr="00617BAE">
        <w:rPr>
          <w:rFonts w:ascii="Arial" w:hAnsi="Arial" w:cs="Arial"/>
        </w:rPr>
        <w:t xml:space="preserve"> Council and its group for the financial year ended 31 March 2020 and its main purpose is to demonstrate the stewardship of public funds entrusted to the Council. This Management Commentary aims to provide clear information about the council’s performance during the financial year 2019/20 and the financial position as at the financial year end 31 March 2020. The Management Commentary is intended to give an easy to understand guide to the most significant matters of the Council’s business during the year - including progress against key performance indicators, a description of the principal risks and uncertainties facing the council and the likely impact of the actions to mitigate these risks. In addition, it provides some detail on the council’s future plans.</w:t>
      </w:r>
    </w:p>
    <w:p w:rsidR="0021497B" w:rsidRPr="00617BAE" w:rsidRDefault="0021497B" w:rsidP="0021497B">
      <w:pPr>
        <w:spacing w:before="0" w:after="0"/>
        <w:jc w:val="both"/>
        <w:rPr>
          <w:rFonts w:ascii="Arial" w:hAnsi="Arial" w:cs="Arial"/>
          <w:color w:val="000000"/>
        </w:rPr>
      </w:pPr>
    </w:p>
    <w:p w:rsidR="0021497B" w:rsidRPr="00617BAE" w:rsidRDefault="0021497B" w:rsidP="0021497B">
      <w:pPr>
        <w:spacing w:before="0" w:after="0"/>
        <w:jc w:val="both"/>
        <w:rPr>
          <w:rFonts w:ascii="Arial" w:hAnsi="Arial" w:cs="Arial"/>
          <w:b/>
          <w:color w:val="000000"/>
        </w:rPr>
      </w:pPr>
      <w:r w:rsidRPr="00617BAE">
        <w:rPr>
          <w:rFonts w:ascii="Arial" w:hAnsi="Arial" w:cs="Arial"/>
          <w:b/>
          <w:color w:val="000000"/>
        </w:rPr>
        <w:t>The Council</w:t>
      </w:r>
    </w:p>
    <w:p w:rsidR="0021497B" w:rsidRPr="00617BAE" w:rsidRDefault="0021497B" w:rsidP="0021497B">
      <w:pPr>
        <w:spacing w:before="0" w:after="0"/>
        <w:rPr>
          <w:rFonts w:ascii="Arial" w:hAnsi="Arial" w:cs="Arial"/>
        </w:rPr>
      </w:pPr>
      <w:r w:rsidRPr="00617BAE">
        <w:rPr>
          <w:rFonts w:ascii="Arial" w:hAnsi="Arial" w:cs="Arial"/>
        </w:rPr>
        <w:t xml:space="preserve">Following local government reorganisation in Scotland, under the Local Government (Scotland) Act 1994, West Dunbartonshire Council was established in 1996. It is an average sized </w:t>
      </w:r>
      <w:r w:rsidR="003B3F05">
        <w:rPr>
          <w:rFonts w:ascii="Arial" w:hAnsi="Arial" w:cs="Arial"/>
        </w:rPr>
        <w:t>Council in Scotland at around 71</w:t>
      </w:r>
      <w:r w:rsidRPr="00617BAE">
        <w:rPr>
          <w:rFonts w:ascii="Arial" w:hAnsi="Arial" w:cs="Arial"/>
        </w:rPr>
        <w:t xml:space="preserve"> square miles and has many strengths; including significant sites of natural beauty and heritage, good transport links and close proximity to Glasgow and its airport. The area has a rich past, shaped by its world-famous shipyards along the Clyde, and boasts many attractions ranging from the iconic Dumbarton Rock and the Titan Crane, to the beauty of Loch Lomond.</w:t>
      </w:r>
    </w:p>
    <w:p w:rsidR="0021497B" w:rsidRPr="00617BAE" w:rsidRDefault="0021497B" w:rsidP="0021497B">
      <w:pPr>
        <w:spacing w:before="0" w:after="0"/>
        <w:rPr>
          <w:rFonts w:ascii="Arial" w:hAnsi="Arial" w:cs="Arial"/>
        </w:rPr>
      </w:pPr>
    </w:p>
    <w:p w:rsidR="0021497B" w:rsidRPr="00617BAE" w:rsidRDefault="0021497B" w:rsidP="0021497B">
      <w:pPr>
        <w:spacing w:before="0" w:after="0"/>
        <w:rPr>
          <w:rFonts w:ascii="Arial" w:hAnsi="Arial" w:cs="Arial"/>
        </w:rPr>
      </w:pPr>
      <w:r w:rsidRPr="00617BAE">
        <w:rPr>
          <w:rFonts w:ascii="Arial" w:hAnsi="Arial" w:cs="Arial"/>
        </w:rPr>
        <w:t xml:space="preserve">The Council is responsible for providing a wide range of local authority services (including education, housing, environmental health, environmental services, planning, economic development, employment, highways and transport) to residents within the West Dunbartonshire area. </w:t>
      </w:r>
    </w:p>
    <w:p w:rsidR="0021497B" w:rsidRPr="00617BAE" w:rsidRDefault="0021497B" w:rsidP="0021497B">
      <w:pPr>
        <w:spacing w:before="0" w:after="0"/>
        <w:rPr>
          <w:rFonts w:ascii="Arial" w:hAnsi="Arial" w:cs="Arial"/>
          <w:color w:val="000000"/>
        </w:rPr>
      </w:pPr>
    </w:p>
    <w:p w:rsidR="0021497B" w:rsidRPr="00617BAE" w:rsidRDefault="0021497B" w:rsidP="009755C6">
      <w:pPr>
        <w:spacing w:before="0" w:after="0"/>
        <w:rPr>
          <w:rFonts w:ascii="Arial" w:hAnsi="Arial" w:cs="Arial"/>
        </w:rPr>
      </w:pPr>
      <w:r w:rsidRPr="00617BAE">
        <w:rPr>
          <w:rFonts w:ascii="Arial" w:hAnsi="Arial" w:cs="Arial"/>
        </w:rPr>
        <w:t>Excluding casual staff, the council employed (as at 1st April 2020) a headcount of 5,871 employees (or 4,994 full time equivalent employees). These figures comprise a combination of permanent and fixed-term employees as well as apprentices, serving a populat</w:t>
      </w:r>
      <w:r w:rsidR="009755C6">
        <w:rPr>
          <w:rFonts w:ascii="Arial" w:hAnsi="Arial" w:cs="Arial"/>
        </w:rPr>
        <w:t>ion of approximately 88,930 (1.7</w:t>
      </w:r>
      <w:r w:rsidRPr="00617BAE">
        <w:rPr>
          <w:rFonts w:ascii="Arial" w:hAnsi="Arial" w:cs="Arial"/>
        </w:rPr>
        <w:t>% of overall Scotland population) from the 2019 mid-year estimates –</w:t>
      </w:r>
      <w:r w:rsidR="00A40F8F">
        <w:rPr>
          <w:rFonts w:ascii="Arial" w:hAnsi="Arial" w:cs="Arial"/>
        </w:rPr>
        <w:t xml:space="preserve"> a reduction of 200 from 89,130</w:t>
      </w:r>
      <w:r w:rsidRPr="00617BAE">
        <w:rPr>
          <w:rFonts w:ascii="Arial" w:hAnsi="Arial" w:cs="Arial"/>
        </w:rPr>
        <w:t xml:space="preserve"> from the 2018 figures, being a year-on-year reduction of 0.2% compared to a Scottish average of an increase of 0.5%. The council is generally accepted to suffer from economic deprivation, for example, the percentage of economically active people at a w</w:t>
      </w:r>
      <w:r w:rsidR="009755C6">
        <w:rPr>
          <w:rFonts w:ascii="Arial" w:hAnsi="Arial" w:cs="Arial"/>
        </w:rPr>
        <w:t>orking age in employment is 73.9</w:t>
      </w:r>
      <w:r w:rsidRPr="00617BAE">
        <w:rPr>
          <w:rFonts w:ascii="Arial" w:hAnsi="Arial" w:cs="Arial"/>
        </w:rPr>
        <w:t>% (Scotland 74.8%); and life expectancy at birth is 75 years (males) and 79.2 years (females) (Scotland 77</w:t>
      </w:r>
      <w:r w:rsidR="009755C6">
        <w:rPr>
          <w:rFonts w:ascii="Arial" w:hAnsi="Arial" w:cs="Arial"/>
        </w:rPr>
        <w:t>.1</w:t>
      </w:r>
      <w:r w:rsidRPr="00617BAE">
        <w:rPr>
          <w:rFonts w:ascii="Arial" w:hAnsi="Arial" w:cs="Arial"/>
        </w:rPr>
        <w:t xml:space="preserve"> years (male) and 81.1 years (female)).</w:t>
      </w:r>
    </w:p>
    <w:p w:rsidR="0021497B" w:rsidRPr="00617BAE" w:rsidRDefault="0021497B" w:rsidP="0021497B">
      <w:pPr>
        <w:spacing w:before="0" w:after="0"/>
        <w:rPr>
          <w:rFonts w:ascii="Arial" w:hAnsi="Arial" w:cs="Arial"/>
        </w:rPr>
      </w:pPr>
    </w:p>
    <w:p w:rsidR="0021497B" w:rsidRPr="00617BAE" w:rsidRDefault="0021497B" w:rsidP="0021497B">
      <w:pPr>
        <w:spacing w:before="0" w:after="0"/>
        <w:rPr>
          <w:rFonts w:ascii="Arial" w:hAnsi="Arial" w:cs="Arial"/>
        </w:rPr>
      </w:pPr>
      <w:r w:rsidRPr="00617BAE">
        <w:rPr>
          <w:rFonts w:ascii="Arial" w:hAnsi="Arial" w:cs="Arial"/>
        </w:rPr>
        <w:t>The Council is led by 22 councillors, elected every five years to represent the residents within the area. Following the Local Government elections in May 2017, the Council has a minority SNP administration with Councillor Jonathan McColl as its Leader. The senior management structure consists of the Chief Executive, Joyce White, with two Strategic Directors and eight Strategic Leads, including the Section 95 Officer (Strategic Lead - Resources), with the Integration Joint Board (referred to as Health and Social Care Partnership or HSCP) being managed at a senior level by the Chief Officer (Beth Culshaw) and four Heads of Service. The council has one Arms’ Length Organisation – West Dunbartonshire Leisure Trust – which operates certain services on the council’s behalf. The council also owns a regeneration company: Clydebank Property Company.</w:t>
      </w:r>
    </w:p>
    <w:p w:rsidR="0021497B" w:rsidRPr="00617BAE" w:rsidRDefault="0021497B" w:rsidP="0021497B">
      <w:pPr>
        <w:spacing w:before="0" w:after="0"/>
        <w:jc w:val="both"/>
        <w:rPr>
          <w:rFonts w:ascii="Arial" w:hAnsi="Arial" w:cs="Arial"/>
          <w:b/>
          <w:color w:val="000000"/>
        </w:rPr>
      </w:pPr>
      <w:r w:rsidRPr="00617BAE">
        <w:rPr>
          <w:rFonts w:ascii="Arial" w:hAnsi="Arial" w:cs="Arial"/>
          <w:b/>
          <w:noProof/>
          <w:color w:val="000000"/>
          <w:lang w:eastAsia="en-GB"/>
        </w:rPr>
        <w:drawing>
          <wp:inline distT="0" distB="0" distL="0" distR="0" wp14:anchorId="16950934" wp14:editId="6E8EBE59">
            <wp:extent cx="5486400" cy="1552575"/>
            <wp:effectExtent l="38100" t="0" r="19050" b="0"/>
            <wp:docPr id="2" name="Diagram 2" descr="chief executive and strategic directors structure of council" title="strategic structure of council"/>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1497B" w:rsidRPr="00617BAE" w:rsidRDefault="0021497B" w:rsidP="0021497B">
      <w:pPr>
        <w:spacing w:before="0" w:after="0" w:line="276" w:lineRule="auto"/>
        <w:contextualSpacing/>
        <w:jc w:val="both"/>
        <w:rPr>
          <w:rFonts w:ascii="Arial" w:hAnsi="Arial" w:cs="Arial"/>
          <w:b/>
          <w:color w:val="000000"/>
          <w:u w:val="single"/>
        </w:rPr>
      </w:pPr>
    </w:p>
    <w:p w:rsidR="0021497B" w:rsidRPr="00617BAE" w:rsidRDefault="0021497B" w:rsidP="0021497B">
      <w:pPr>
        <w:spacing w:before="0" w:after="0" w:line="276" w:lineRule="auto"/>
        <w:contextualSpacing/>
        <w:jc w:val="both"/>
        <w:rPr>
          <w:rFonts w:ascii="Arial" w:hAnsi="Arial" w:cs="Arial"/>
          <w:b/>
          <w:color w:val="000000"/>
          <w:u w:val="single"/>
        </w:rPr>
      </w:pPr>
    </w:p>
    <w:p w:rsidR="0021497B" w:rsidRPr="00617BAE" w:rsidRDefault="0021497B" w:rsidP="0021497B">
      <w:pPr>
        <w:spacing w:before="0" w:after="0" w:line="276" w:lineRule="auto"/>
        <w:contextualSpacing/>
        <w:jc w:val="both"/>
        <w:rPr>
          <w:rFonts w:ascii="Arial" w:hAnsi="Arial" w:cs="Arial"/>
          <w:b/>
          <w:color w:val="000000"/>
          <w:u w:val="single"/>
        </w:rPr>
      </w:pPr>
    </w:p>
    <w:p w:rsidR="0021497B" w:rsidRPr="00617BAE" w:rsidRDefault="0021497B" w:rsidP="0021497B">
      <w:pPr>
        <w:spacing w:before="0" w:after="0" w:line="276" w:lineRule="auto"/>
        <w:contextualSpacing/>
        <w:jc w:val="both"/>
        <w:rPr>
          <w:rFonts w:ascii="Arial" w:hAnsi="Arial" w:cs="Arial"/>
          <w:b/>
          <w:color w:val="000000"/>
          <w:u w:val="single"/>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spacing w:before="0" w:after="0" w:line="276" w:lineRule="auto"/>
        <w:contextualSpacing/>
        <w:jc w:val="both"/>
        <w:rPr>
          <w:rFonts w:ascii="Arial" w:hAnsi="Arial" w:cs="Arial"/>
          <w:b/>
          <w:color w:val="000000"/>
          <w:u w:val="single"/>
        </w:rPr>
      </w:pPr>
    </w:p>
    <w:p w:rsidR="0021497B" w:rsidRPr="00617BAE" w:rsidRDefault="0021497B" w:rsidP="0021497B">
      <w:pPr>
        <w:spacing w:before="0" w:after="0" w:line="276" w:lineRule="auto"/>
        <w:contextualSpacing/>
        <w:jc w:val="both"/>
        <w:rPr>
          <w:rFonts w:ascii="Arial" w:hAnsi="Arial" w:cs="Arial"/>
          <w:b/>
          <w:color w:val="000000"/>
          <w:u w:val="single"/>
        </w:rPr>
      </w:pPr>
      <w:r w:rsidRPr="00617BAE">
        <w:rPr>
          <w:rFonts w:ascii="Arial" w:hAnsi="Arial" w:cs="Arial"/>
          <w:b/>
          <w:color w:val="000000"/>
          <w:u w:val="single"/>
        </w:rPr>
        <w:t>2. The Strategic Plan</w:t>
      </w:r>
    </w:p>
    <w:p w:rsidR="0021497B" w:rsidRPr="00617BAE" w:rsidRDefault="0021497B" w:rsidP="0021497B">
      <w:pPr>
        <w:autoSpaceDE w:val="0"/>
        <w:autoSpaceDN w:val="0"/>
        <w:adjustRightInd w:val="0"/>
        <w:spacing w:before="0" w:after="0"/>
        <w:rPr>
          <w:rFonts w:ascii="Arial" w:hAnsi="Arial" w:cs="Arial"/>
          <w:lang w:val="en-US"/>
        </w:rPr>
      </w:pPr>
      <w:r w:rsidRPr="00617BAE">
        <w:rPr>
          <w:rFonts w:ascii="Arial" w:hAnsi="Arial" w:cs="Arial"/>
          <w:lang w:val="en-US"/>
        </w:rPr>
        <w:t xml:space="preserve">Nationally, the Scottish Government sets out its joint priorities and local authorities, together with their community planning partners agree a planned approach aligned to these through the Local Outcome Improvement Plan (LOIP). The council’s LOIP, covering the period from 2017 to 2027, feeds through into its Strategic Plan. Within the council’s 2017 to 2022 Strategic Plan, the council committed to improving outcomes in key areas in order to deliver on its vision that: </w:t>
      </w:r>
    </w:p>
    <w:p w:rsidR="0021497B" w:rsidRPr="00617BAE" w:rsidRDefault="0021497B" w:rsidP="0021497B">
      <w:pPr>
        <w:autoSpaceDE w:val="0"/>
        <w:autoSpaceDN w:val="0"/>
        <w:adjustRightInd w:val="0"/>
        <w:spacing w:before="0" w:after="0"/>
        <w:rPr>
          <w:rFonts w:ascii="Arial" w:eastAsiaTheme="minorHAnsi" w:hAnsi="Arial" w:cs="Arial"/>
          <w:color w:val="008FFF"/>
          <w:sz w:val="16"/>
          <w:szCs w:val="16"/>
        </w:rPr>
      </w:pPr>
    </w:p>
    <w:p w:rsidR="0021497B" w:rsidRPr="00617BAE" w:rsidRDefault="0021497B" w:rsidP="0021497B">
      <w:pPr>
        <w:autoSpaceDE w:val="0"/>
        <w:autoSpaceDN w:val="0"/>
        <w:adjustRightInd w:val="0"/>
        <w:spacing w:before="0" w:after="0"/>
        <w:rPr>
          <w:rFonts w:ascii="Arial" w:hAnsi="Arial" w:cs="Arial"/>
          <w:i/>
          <w:color w:val="1F497D" w:themeColor="text2"/>
          <w:sz w:val="22"/>
          <w:szCs w:val="22"/>
        </w:rPr>
      </w:pPr>
      <w:r w:rsidRPr="00617BAE">
        <w:rPr>
          <w:rFonts w:ascii="Arial" w:hAnsi="Arial" w:cs="Arial"/>
          <w:i/>
          <w:color w:val="1F497D" w:themeColor="text2"/>
          <w:sz w:val="22"/>
          <w:szCs w:val="22"/>
        </w:rPr>
        <w:t>West Dunbartonshire Council will deliver high quality services, led by priorities identified by the communities of West Dunbartonshire, in an open and transparent way</w:t>
      </w:r>
    </w:p>
    <w:p w:rsidR="0021497B" w:rsidRPr="00617BAE" w:rsidRDefault="0021497B" w:rsidP="0021497B">
      <w:pPr>
        <w:spacing w:before="0" w:after="0"/>
        <w:rPr>
          <w:rFonts w:ascii="Arial" w:hAnsi="Arial" w:cs="Arial"/>
          <w:b/>
        </w:rPr>
      </w:pPr>
    </w:p>
    <w:p w:rsidR="0021497B" w:rsidRPr="00617BAE" w:rsidRDefault="0021497B" w:rsidP="0021497B">
      <w:pPr>
        <w:spacing w:before="0" w:after="0"/>
        <w:rPr>
          <w:rFonts w:ascii="Arial" w:hAnsi="Arial" w:cs="Arial"/>
        </w:rPr>
      </w:pPr>
      <w:r w:rsidRPr="00617BAE">
        <w:rPr>
          <w:rFonts w:ascii="Arial" w:hAnsi="Arial" w:cs="Arial"/>
        </w:rPr>
        <w:t xml:space="preserve">Supporting the </w:t>
      </w:r>
      <w:hyperlink r:id="rId19" w:tooltip="Strategic Plan" w:history="1">
        <w:r w:rsidRPr="00617BAE">
          <w:rPr>
            <w:rFonts w:ascii="Arial" w:hAnsi="Arial" w:cs="Arial"/>
            <w:color w:val="0000FF"/>
            <w:u w:val="single"/>
          </w:rPr>
          <w:t>Strategic Plan</w:t>
        </w:r>
      </w:hyperlink>
      <w:r w:rsidRPr="00617BAE">
        <w:t xml:space="preserve"> </w:t>
      </w:r>
      <w:r w:rsidRPr="00617BAE">
        <w:rPr>
          <w:rFonts w:ascii="Arial" w:hAnsi="Arial" w:cs="Arial"/>
        </w:rPr>
        <w:t>and following the implementation of the new management structure at the start of 2016/17 each Strategic Lead has developed service Delivery Plans, each highlighting priorities and objectives which are set out and designed to support the delivery of the council’s Strategic objectives. These plans are refreshed annually and progress reported to relevant Committees every 6 months. On 1 July 2015 the HSCP was formed and generated its own Strategic Plan, linked to the council’s and to the LOIP.</w:t>
      </w:r>
    </w:p>
    <w:p w:rsidR="0021497B" w:rsidRPr="00617BAE" w:rsidRDefault="0021497B" w:rsidP="0021497B">
      <w:pPr>
        <w:spacing w:before="0" w:after="0"/>
        <w:rPr>
          <w:rFonts w:ascii="Arial" w:hAnsi="Arial" w:cs="Arial"/>
        </w:rPr>
      </w:pPr>
    </w:p>
    <w:p w:rsidR="0021497B" w:rsidRPr="00617BAE" w:rsidRDefault="0021497B" w:rsidP="0021497B">
      <w:pPr>
        <w:spacing w:before="0" w:after="0"/>
        <w:rPr>
          <w:rFonts w:ascii="Arial" w:hAnsi="Arial" w:cs="Arial"/>
        </w:rPr>
      </w:pPr>
      <w:r w:rsidRPr="00617BAE">
        <w:rPr>
          <w:rFonts w:ascii="Arial" w:hAnsi="Arial" w:cs="Arial"/>
        </w:rPr>
        <w:t xml:space="preserve">The Strategic Plan identified 5 priorities aligned to the council’s vision, as follows: </w:t>
      </w:r>
    </w:p>
    <w:p w:rsidR="0021497B" w:rsidRPr="00617BAE" w:rsidRDefault="0021497B" w:rsidP="0021497B">
      <w:pPr>
        <w:spacing w:before="0" w:after="0"/>
        <w:rPr>
          <w:rFonts w:ascii="Arial" w:hAnsi="Arial" w:cs="Arial"/>
        </w:rPr>
      </w:pPr>
    </w:p>
    <w:p w:rsidR="0021497B" w:rsidRPr="00617BAE" w:rsidRDefault="0021497B" w:rsidP="0021497B">
      <w:pPr>
        <w:numPr>
          <w:ilvl w:val="0"/>
          <w:numId w:val="39"/>
        </w:numPr>
        <w:spacing w:before="0" w:after="0" w:line="276" w:lineRule="auto"/>
        <w:ind w:left="426" w:hanging="426"/>
        <w:contextualSpacing/>
        <w:rPr>
          <w:rFonts w:ascii="Arial" w:hAnsi="Arial" w:cs="Arial"/>
        </w:rPr>
      </w:pPr>
      <w:r w:rsidRPr="00617BAE">
        <w:rPr>
          <w:rFonts w:ascii="Arial" w:hAnsi="Arial" w:cs="Arial"/>
        </w:rPr>
        <w:t>A strong local economy and improved job opportunities;</w:t>
      </w:r>
    </w:p>
    <w:p w:rsidR="0021497B" w:rsidRPr="00617BAE" w:rsidRDefault="0021497B" w:rsidP="0021497B">
      <w:pPr>
        <w:numPr>
          <w:ilvl w:val="0"/>
          <w:numId w:val="39"/>
        </w:numPr>
        <w:spacing w:before="0" w:after="0" w:line="276" w:lineRule="auto"/>
        <w:ind w:left="426" w:hanging="426"/>
        <w:contextualSpacing/>
        <w:rPr>
          <w:rFonts w:ascii="Arial" w:hAnsi="Arial" w:cs="Arial"/>
        </w:rPr>
      </w:pPr>
      <w:r w:rsidRPr="00617BAE">
        <w:rPr>
          <w:rFonts w:ascii="Arial" w:hAnsi="Arial" w:cs="Arial"/>
        </w:rPr>
        <w:t>Supporting individuals, families and carers living independently and with dignity;</w:t>
      </w:r>
    </w:p>
    <w:p w:rsidR="0021497B" w:rsidRPr="00617BAE" w:rsidRDefault="0021497B" w:rsidP="0021497B">
      <w:pPr>
        <w:numPr>
          <w:ilvl w:val="0"/>
          <w:numId w:val="39"/>
        </w:numPr>
        <w:spacing w:before="0" w:after="0" w:line="276" w:lineRule="auto"/>
        <w:ind w:left="426" w:hanging="426"/>
        <w:contextualSpacing/>
        <w:rPr>
          <w:rFonts w:ascii="Arial" w:hAnsi="Arial" w:cs="Arial"/>
        </w:rPr>
      </w:pPr>
      <w:r w:rsidRPr="00617BAE">
        <w:rPr>
          <w:rFonts w:ascii="Arial" w:hAnsi="Arial" w:cs="Arial"/>
        </w:rPr>
        <w:t>Meaningful engagement with active, empowered and informed citizens who feel safe and engaged;</w:t>
      </w:r>
    </w:p>
    <w:p w:rsidR="0021497B" w:rsidRPr="00617BAE" w:rsidRDefault="0021497B" w:rsidP="0021497B">
      <w:pPr>
        <w:numPr>
          <w:ilvl w:val="0"/>
          <w:numId w:val="39"/>
        </w:numPr>
        <w:spacing w:before="0" w:after="0" w:line="276" w:lineRule="auto"/>
        <w:ind w:left="426" w:hanging="426"/>
        <w:contextualSpacing/>
        <w:rPr>
          <w:rFonts w:ascii="Arial" w:hAnsi="Arial" w:cs="Arial"/>
        </w:rPr>
      </w:pPr>
      <w:r w:rsidRPr="00617BAE">
        <w:rPr>
          <w:rFonts w:ascii="Arial" w:hAnsi="Arial" w:cs="Arial"/>
        </w:rPr>
        <w:t>Open, accountable &amp; accessible local government; and</w:t>
      </w:r>
    </w:p>
    <w:p w:rsidR="0021497B" w:rsidRPr="00617BAE" w:rsidRDefault="0021497B" w:rsidP="0021497B">
      <w:pPr>
        <w:numPr>
          <w:ilvl w:val="0"/>
          <w:numId w:val="39"/>
        </w:numPr>
        <w:spacing w:before="0" w:after="0" w:line="276" w:lineRule="auto"/>
        <w:ind w:left="426" w:hanging="426"/>
        <w:contextualSpacing/>
        <w:rPr>
          <w:rFonts w:ascii="Arial" w:hAnsi="Arial" w:cs="Arial"/>
        </w:rPr>
      </w:pPr>
      <w:r w:rsidRPr="00617BAE">
        <w:rPr>
          <w:rFonts w:ascii="Arial" w:hAnsi="Arial" w:cs="Arial"/>
        </w:rPr>
        <w:t>Efficient and effective frontline services that improve the everyday lives of residents.</w:t>
      </w:r>
    </w:p>
    <w:p w:rsidR="0021497B" w:rsidRPr="00617BAE" w:rsidRDefault="0021497B" w:rsidP="0021497B">
      <w:pPr>
        <w:spacing w:before="0" w:after="0"/>
        <w:jc w:val="both"/>
        <w:rPr>
          <w:rFonts w:ascii="Arial" w:hAnsi="Arial" w:cs="Arial"/>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Performance Reporting</w:t>
      </w:r>
    </w:p>
    <w:p w:rsidR="0021497B" w:rsidRPr="00617BAE" w:rsidRDefault="0021497B" w:rsidP="0021497B">
      <w:pPr>
        <w:spacing w:before="0" w:after="0"/>
        <w:rPr>
          <w:rFonts w:ascii="Arial" w:hAnsi="Arial" w:cs="Arial"/>
          <w:lang w:val="en-US"/>
        </w:rPr>
      </w:pPr>
      <w:r w:rsidRPr="00617BAE">
        <w:rPr>
          <w:rFonts w:ascii="Arial" w:hAnsi="Arial" w:cs="Arial"/>
          <w:lang w:val="en-US"/>
        </w:rPr>
        <w:t>The council monitors and reports its performance against these priorities through the Strategic Plan Scorecard (SPS); where planned performance targets are monitored through a suite of key performance indicators. Performance is reported to Council and Committees for scrutiny and identification of any required remedial action. The council also publishes an annual Public Performance Report which provides residents with a summary of progress being made.</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In conjunction with this internal SPS, the council (together with all Scottish local authorities) measures a common set of performance indicators called the Local Government Benchmarking Framework. Using the same indicators across all councils allows comparisons of performance, identification of best practice and enables councils to learn from each other. Full details of the most up to date performance information are available on the council’s website at: </w:t>
      </w:r>
      <w:hyperlink r:id="rId20" w:tooltip="Performance Information" w:history="1">
        <w:r w:rsidRPr="00617BAE">
          <w:rPr>
            <w:rFonts w:ascii="Arial" w:hAnsi="Arial" w:cs="Arial"/>
            <w:u w:val="single"/>
            <w:lang w:val="en-US"/>
          </w:rPr>
          <w:t>www.west-dunbarton.gov.uk/council/performance-and-spending/</w:t>
        </w:r>
      </w:hyperlink>
    </w:p>
    <w:p w:rsidR="0021497B" w:rsidRPr="00617BAE" w:rsidRDefault="0021497B" w:rsidP="0021497B">
      <w:pPr>
        <w:spacing w:before="0" w:after="0"/>
        <w:rPr>
          <w:rFonts w:ascii="Arial" w:hAnsi="Arial" w:cs="Arial"/>
          <w:b/>
          <w:bCs/>
        </w:rPr>
      </w:pPr>
    </w:p>
    <w:p w:rsidR="0021497B" w:rsidRPr="00617BAE" w:rsidRDefault="0021497B" w:rsidP="0021497B">
      <w:pPr>
        <w:spacing w:before="0" w:after="0"/>
        <w:rPr>
          <w:rFonts w:ascii="Arial" w:hAnsi="Arial" w:cs="Arial"/>
          <w:b/>
          <w:bCs/>
        </w:rPr>
      </w:pPr>
      <w:r w:rsidRPr="00617BAE">
        <w:rPr>
          <w:rFonts w:ascii="Arial" w:hAnsi="Arial" w:cs="Arial"/>
          <w:b/>
          <w:bCs/>
        </w:rPr>
        <w:t>The Council’s Budgets in 2019/20</w:t>
      </w:r>
    </w:p>
    <w:p w:rsidR="0021497B" w:rsidRPr="00617BAE" w:rsidRDefault="0021497B" w:rsidP="0021497B">
      <w:pPr>
        <w:spacing w:before="0" w:after="0"/>
        <w:rPr>
          <w:rFonts w:ascii="Arial" w:hAnsi="Arial" w:cs="Arial"/>
          <w:bCs/>
        </w:rPr>
      </w:pPr>
      <w:r w:rsidRPr="00617BAE">
        <w:rPr>
          <w:rFonts w:ascii="Arial" w:hAnsi="Arial" w:cs="Arial"/>
          <w:bCs/>
        </w:rPr>
        <w:t xml:space="preserve">The Council approved the 2019/20 budget on 27 March 2019 based on band D council tax at £1,234, agreed by Council at its meeting on 14 February 2019. The revenue budget was set at £219.079m (as detailed in the table below) to be funded by Scottish Government Grant (£183.307m); council tax (£34.797m), with a net contribution from reserves for the remainder (£0.975m).  </w:t>
      </w:r>
    </w:p>
    <w:p w:rsidR="0021497B" w:rsidRPr="00617BAE" w:rsidRDefault="0021497B" w:rsidP="0021497B">
      <w:pPr>
        <w:spacing w:before="0" w:after="0"/>
        <w:rPr>
          <w:noProof/>
          <w:lang w:eastAsia="en-GB"/>
        </w:rPr>
      </w:pPr>
    </w:p>
    <w:p w:rsidR="0021497B" w:rsidRPr="00617BAE" w:rsidRDefault="0021497B" w:rsidP="0021497B">
      <w:pPr>
        <w:spacing w:before="0" w:after="0"/>
        <w:rPr>
          <w:noProof/>
          <w:lang w:eastAsia="en-GB"/>
        </w:rPr>
      </w:pPr>
      <w:r w:rsidRPr="00617BAE">
        <w:rPr>
          <w:noProof/>
          <w:lang w:eastAsia="en-GB"/>
        </w:rPr>
        <w:drawing>
          <wp:inline distT="0" distB="0" distL="0" distR="0" wp14:anchorId="75293E7C" wp14:editId="4A4F194D">
            <wp:extent cx="4286885" cy="1472565"/>
            <wp:effectExtent l="0" t="0" r="0" b="0"/>
            <wp:docPr id="234" name="Picture 234" descr="budget 2019/20 of council by committee structure" title="budget of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885" cy="1472565"/>
                    </a:xfrm>
                    <a:prstGeom prst="rect">
                      <a:avLst/>
                    </a:prstGeom>
                    <a:noFill/>
                    <a:ln>
                      <a:noFill/>
                    </a:ln>
                  </pic:spPr>
                </pic:pic>
              </a:graphicData>
            </a:graphic>
          </wp:inline>
        </w:drawing>
      </w: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spacing w:before="0" w:after="0"/>
        <w:rPr>
          <w:rFonts w:ascii="Arial" w:hAnsi="Arial" w:cs="Arial"/>
          <w:bCs/>
        </w:rPr>
      </w:pPr>
    </w:p>
    <w:p w:rsidR="0021497B" w:rsidRPr="00617BAE" w:rsidRDefault="0021497B" w:rsidP="0021497B">
      <w:pPr>
        <w:spacing w:before="0" w:after="0"/>
        <w:jc w:val="both"/>
        <w:rPr>
          <w:rFonts w:ascii="Arial" w:hAnsi="Arial" w:cs="Arial"/>
          <w:b/>
          <w:color w:val="000000"/>
          <w:u w:val="single"/>
        </w:rPr>
      </w:pPr>
      <w:r w:rsidRPr="00617BAE">
        <w:rPr>
          <w:rFonts w:ascii="Arial" w:hAnsi="Arial" w:cs="Arial"/>
          <w:b/>
          <w:color w:val="000000"/>
          <w:u w:val="single"/>
        </w:rPr>
        <w:t>2. The Strategic Plan (Cont’d)</w:t>
      </w:r>
    </w:p>
    <w:p w:rsidR="0021497B" w:rsidRPr="00617BAE" w:rsidRDefault="0021497B" w:rsidP="0021497B">
      <w:pPr>
        <w:spacing w:before="0" w:after="0"/>
        <w:rPr>
          <w:rFonts w:ascii="Arial" w:hAnsi="Arial" w:cs="Arial"/>
          <w:bCs/>
        </w:rPr>
      </w:pPr>
    </w:p>
    <w:p w:rsidR="0021497B" w:rsidRPr="00617BAE" w:rsidRDefault="0021497B" w:rsidP="0021497B">
      <w:pPr>
        <w:spacing w:before="0" w:after="0"/>
        <w:rPr>
          <w:rFonts w:ascii="Arial" w:hAnsi="Arial" w:cs="Arial"/>
          <w:bCs/>
        </w:rPr>
      </w:pPr>
      <w:r w:rsidRPr="00617BAE">
        <w:rPr>
          <w:rFonts w:ascii="Arial" w:hAnsi="Arial" w:cs="Arial"/>
          <w:bCs/>
        </w:rPr>
        <w:t>The budget was updated during the year for a number of variables, resulting in a final planned net expenditure to £223.433m. The year end budgetary position is detailed on page 6 of this commentary.</w:t>
      </w:r>
    </w:p>
    <w:p w:rsidR="0021497B" w:rsidRPr="00617BAE" w:rsidRDefault="0021497B" w:rsidP="0021497B">
      <w:pPr>
        <w:spacing w:before="0" w:after="0"/>
        <w:rPr>
          <w:rFonts w:ascii="Arial" w:hAnsi="Arial" w:cs="Arial"/>
          <w:bCs/>
        </w:rPr>
      </w:pPr>
    </w:p>
    <w:p w:rsidR="0021497B" w:rsidRPr="00617BAE" w:rsidRDefault="0021497B" w:rsidP="0021497B">
      <w:pPr>
        <w:spacing w:before="0" w:after="0"/>
        <w:rPr>
          <w:rFonts w:ascii="Arial" w:hAnsi="Arial" w:cs="Arial"/>
          <w:bCs/>
        </w:rPr>
      </w:pPr>
      <w:r w:rsidRPr="00617BAE">
        <w:rPr>
          <w:rFonts w:ascii="Arial" w:hAnsi="Arial" w:cs="Arial"/>
          <w:bCs/>
        </w:rPr>
        <w:t>Council also approved the revised capital plan with a planned General Services spend in 2019/20 of £62.714m, prior to 2018/19 re-phased capital and in-year additional projects being included increasing the planned spend to £77.722m. This investment is funded from a range of sources including: government grants and council ongoing revenue. Major areas of investment are economic regeneration, schools modernisation, roads and infrastructure and a range of other council assets.</w:t>
      </w:r>
    </w:p>
    <w:p w:rsidR="0021497B" w:rsidRPr="00617BAE" w:rsidRDefault="0021497B" w:rsidP="0021497B">
      <w:pPr>
        <w:spacing w:before="0" w:after="0"/>
        <w:rPr>
          <w:rFonts w:ascii="Arial" w:hAnsi="Arial" w:cs="Arial"/>
          <w:bCs/>
        </w:rPr>
      </w:pPr>
    </w:p>
    <w:p w:rsidR="0021497B" w:rsidRPr="00617BAE" w:rsidRDefault="0021497B" w:rsidP="0021497B">
      <w:pPr>
        <w:spacing w:before="0" w:after="0"/>
        <w:rPr>
          <w:rFonts w:ascii="Arial" w:hAnsi="Arial" w:cs="Arial"/>
          <w:bCs/>
        </w:rPr>
      </w:pPr>
      <w:r w:rsidRPr="00617BAE">
        <w:rPr>
          <w:rFonts w:ascii="Arial" w:hAnsi="Arial" w:cs="Arial"/>
          <w:bCs/>
        </w:rPr>
        <w:t>Council approved the Housing Revenue Account budget at its meeting on 14 February 2019 and agreed an increase in council house rents of 2% and a capit</w:t>
      </w:r>
      <w:r w:rsidR="00B502D9">
        <w:rPr>
          <w:rFonts w:ascii="Arial" w:hAnsi="Arial" w:cs="Arial"/>
          <w:bCs/>
        </w:rPr>
        <w:t>al investment for 2019/20 of £58.3</w:t>
      </w:r>
      <w:r w:rsidRPr="00617BAE">
        <w:rPr>
          <w:rFonts w:ascii="Arial" w:hAnsi="Arial" w:cs="Arial"/>
          <w:bCs/>
        </w:rPr>
        <w:t>02m, prior to some 2018/19 re-phased capital being included, which increased the pl</w:t>
      </w:r>
      <w:r w:rsidR="00B502D9">
        <w:rPr>
          <w:rFonts w:ascii="Arial" w:hAnsi="Arial" w:cs="Arial"/>
          <w:bCs/>
        </w:rPr>
        <w:t>anned spend for 2019/20 to £62.7</w:t>
      </w:r>
      <w:r w:rsidRPr="00617BAE">
        <w:rPr>
          <w:rFonts w:ascii="Arial" w:hAnsi="Arial" w:cs="Arial"/>
          <w:bCs/>
        </w:rPr>
        <w:t>16m. The year end budgetary position is detailed on page 7 of this commentary.</w:t>
      </w:r>
    </w:p>
    <w:p w:rsidR="0021497B" w:rsidRPr="00617BAE" w:rsidRDefault="0021497B" w:rsidP="0021497B">
      <w:pPr>
        <w:spacing w:before="0" w:after="0"/>
        <w:rPr>
          <w:rFonts w:ascii="Arial" w:hAnsi="Arial" w:cs="Arial"/>
          <w:bCs/>
        </w:rPr>
      </w:pPr>
    </w:p>
    <w:p w:rsidR="0021497B" w:rsidRPr="00617BAE" w:rsidRDefault="0021497B" w:rsidP="0021497B">
      <w:pPr>
        <w:keepNext/>
        <w:spacing w:before="0" w:after="0" w:line="276" w:lineRule="auto"/>
        <w:outlineLvl w:val="1"/>
        <w:rPr>
          <w:rFonts w:ascii="Arial" w:hAnsi="Arial" w:cs="Arial"/>
          <w:b/>
          <w:bCs/>
          <w:color w:val="000000"/>
          <w:u w:val="single"/>
        </w:rPr>
      </w:pPr>
      <w:r w:rsidRPr="00617BAE">
        <w:rPr>
          <w:rFonts w:ascii="Arial" w:hAnsi="Arial" w:cs="Arial"/>
          <w:b/>
          <w:bCs/>
          <w:color w:val="000000"/>
          <w:u w:val="single"/>
        </w:rPr>
        <w:t>3. Overview of Core Financial Statements</w:t>
      </w:r>
    </w:p>
    <w:p w:rsidR="0021497B" w:rsidRPr="00617BAE" w:rsidRDefault="0021497B" w:rsidP="0021497B">
      <w:pPr>
        <w:spacing w:before="0" w:after="0"/>
        <w:rPr>
          <w:rFonts w:ascii="Arial" w:hAnsi="Arial" w:cs="Arial"/>
        </w:rPr>
      </w:pPr>
      <w:r w:rsidRPr="00617BAE">
        <w:rPr>
          <w:rFonts w:ascii="Arial" w:hAnsi="Arial" w:cs="Arial"/>
        </w:rPr>
        <w:t>The Statement of Accounts contains the Financial Statements of the council and its group for the year ended 31 March 2020. The council operates two main Funds in running its services:</w:t>
      </w:r>
    </w:p>
    <w:p w:rsidR="0021497B" w:rsidRPr="00617BAE" w:rsidRDefault="0021497B" w:rsidP="0021497B">
      <w:pPr>
        <w:spacing w:before="0" w:after="0"/>
        <w:jc w:val="both"/>
        <w:rPr>
          <w:rFonts w:ascii="Arial" w:hAnsi="Arial" w:cs="Arial"/>
          <w:color w:val="000000"/>
        </w:rPr>
      </w:pPr>
    </w:p>
    <w:p w:rsidR="0021497B" w:rsidRPr="00617BAE" w:rsidRDefault="0021497B" w:rsidP="0021497B">
      <w:pPr>
        <w:spacing w:before="0" w:after="0"/>
        <w:ind w:left="270" w:hanging="270"/>
        <w:rPr>
          <w:rFonts w:ascii="Arial" w:hAnsi="Arial" w:cs="Arial"/>
        </w:rPr>
      </w:pPr>
      <w:r w:rsidRPr="00617BAE">
        <w:rPr>
          <w:rFonts w:ascii="Arial" w:hAnsi="Arial" w:cs="Arial"/>
          <w:color w:val="000000"/>
        </w:rPr>
        <w:t>1.</w:t>
      </w:r>
      <w:r w:rsidRPr="00617BAE">
        <w:rPr>
          <w:rFonts w:ascii="Arial" w:hAnsi="Arial" w:cs="Arial"/>
          <w:color w:val="000000"/>
        </w:rPr>
        <w:tab/>
      </w:r>
      <w:r w:rsidRPr="00617BAE">
        <w:rPr>
          <w:rFonts w:ascii="Arial" w:hAnsi="Arial" w:cs="Arial"/>
          <w:u w:val="single"/>
        </w:rPr>
        <w:t>The General Fund</w:t>
      </w:r>
      <w:r w:rsidRPr="00617BAE">
        <w:rPr>
          <w:rFonts w:ascii="Arial" w:hAnsi="Arial" w:cs="Arial"/>
        </w:rPr>
        <w:t xml:space="preserve"> - for all expenditure and income associated with running of all council services except the provision of council houses.  This fund is funded mainly from Scottish Government grant and council tax; and</w:t>
      </w:r>
    </w:p>
    <w:p w:rsidR="0021497B" w:rsidRPr="00617BAE" w:rsidRDefault="0021497B" w:rsidP="0021497B">
      <w:pPr>
        <w:tabs>
          <w:tab w:val="left" w:pos="270"/>
        </w:tabs>
        <w:spacing w:before="0" w:after="0"/>
        <w:ind w:left="270" w:hanging="270"/>
        <w:rPr>
          <w:rFonts w:ascii="Arial" w:hAnsi="Arial" w:cs="Arial"/>
          <w:color w:val="000000"/>
        </w:rPr>
      </w:pPr>
      <w:r w:rsidRPr="00617BAE">
        <w:rPr>
          <w:rFonts w:ascii="Arial" w:hAnsi="Arial" w:cs="Arial"/>
          <w:color w:val="000000"/>
        </w:rPr>
        <w:t xml:space="preserve">2. </w:t>
      </w:r>
      <w:r w:rsidRPr="00617BAE">
        <w:rPr>
          <w:rFonts w:ascii="Arial" w:hAnsi="Arial" w:cs="Arial"/>
          <w:color w:val="000000"/>
        </w:rPr>
        <w:tab/>
      </w:r>
      <w:r w:rsidRPr="00617BAE">
        <w:rPr>
          <w:rFonts w:ascii="Arial" w:hAnsi="Arial" w:cs="Arial"/>
          <w:u w:val="single"/>
        </w:rPr>
        <w:t>The Housing Revenue Account</w:t>
      </w:r>
      <w:r w:rsidRPr="00617BAE">
        <w:rPr>
          <w:rFonts w:ascii="Arial" w:hAnsi="Arial" w:cs="Arial"/>
        </w:rPr>
        <w:t xml:space="preserve"> - all expenditure and income associated with the provision of council housing and is funded primarily through rental income from tenants</w:t>
      </w:r>
      <w:r w:rsidRPr="00617BAE">
        <w:rPr>
          <w:rFonts w:ascii="Arial" w:hAnsi="Arial" w:cs="Arial"/>
          <w:color w:val="000000"/>
        </w:rPr>
        <w:t>.</w:t>
      </w:r>
    </w:p>
    <w:p w:rsidR="0021497B" w:rsidRPr="00617BAE" w:rsidRDefault="0021497B" w:rsidP="0021497B">
      <w:pPr>
        <w:spacing w:before="0" w:after="0"/>
        <w:jc w:val="both"/>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color w:val="000000"/>
        </w:rPr>
        <w:t xml:space="preserve">The Financial </w:t>
      </w:r>
      <w:r w:rsidRPr="00617BAE">
        <w:rPr>
          <w:rFonts w:ascii="Arial" w:hAnsi="Arial" w:cs="Arial"/>
        </w:rPr>
        <w:t xml:space="preserve">Statements comply with the Code of Practice on Local Authority Accounting in United Kingdom. Two major categories of expenditure are included in the financial statements, as follows:  </w:t>
      </w:r>
    </w:p>
    <w:p w:rsidR="0021497B" w:rsidRPr="00617BAE" w:rsidRDefault="0021497B" w:rsidP="0021497B">
      <w:pPr>
        <w:spacing w:before="0" w:after="0"/>
        <w:jc w:val="both"/>
        <w:rPr>
          <w:rFonts w:ascii="Arial" w:hAnsi="Arial" w:cs="Arial"/>
          <w:lang w:val="en-US"/>
        </w:rPr>
      </w:pPr>
      <w:r w:rsidRPr="00617BAE">
        <w:rPr>
          <w:rFonts w:ascii="Arial" w:hAnsi="Arial" w:cs="Arial"/>
          <w:lang w:val="en-US"/>
        </w:rPr>
        <w:t> </w:t>
      </w:r>
    </w:p>
    <w:p w:rsidR="0021497B" w:rsidRPr="00617BAE" w:rsidRDefault="0021497B" w:rsidP="0021497B">
      <w:pPr>
        <w:numPr>
          <w:ilvl w:val="0"/>
          <w:numId w:val="1"/>
        </w:numPr>
        <w:spacing w:before="0" w:after="0" w:line="276" w:lineRule="auto"/>
        <w:ind w:left="284" w:hanging="284"/>
        <w:rPr>
          <w:rFonts w:ascii="Arial" w:hAnsi="Arial" w:cs="Arial"/>
          <w:lang w:val="en-US"/>
        </w:rPr>
      </w:pPr>
      <w:r w:rsidRPr="00617BAE">
        <w:rPr>
          <w:rFonts w:ascii="Arial" w:hAnsi="Arial" w:cs="Arial"/>
          <w:u w:val="single"/>
        </w:rPr>
        <w:t>Revenue expenditure</w:t>
      </w:r>
      <w:r w:rsidRPr="00617BAE">
        <w:rPr>
          <w:rFonts w:ascii="Arial" w:hAnsi="Arial" w:cs="Arial"/>
        </w:rPr>
        <w:t xml:space="preserve"> - represents the day to day running costs incurred to provide services; and</w:t>
      </w:r>
    </w:p>
    <w:p w:rsidR="0021497B" w:rsidRPr="00617BAE" w:rsidRDefault="0021497B" w:rsidP="0021497B">
      <w:pPr>
        <w:numPr>
          <w:ilvl w:val="0"/>
          <w:numId w:val="1"/>
        </w:numPr>
        <w:spacing w:before="0" w:after="0" w:line="276" w:lineRule="auto"/>
        <w:ind w:left="284" w:hanging="284"/>
        <w:rPr>
          <w:rFonts w:ascii="Arial" w:hAnsi="Arial" w:cs="Arial"/>
          <w:lang w:val="en-US"/>
        </w:rPr>
      </w:pPr>
      <w:r w:rsidRPr="00617BAE">
        <w:rPr>
          <w:rFonts w:ascii="Arial" w:hAnsi="Arial" w:cs="Arial"/>
          <w:u w:val="single"/>
        </w:rPr>
        <w:t>Capital expenditure</w:t>
      </w:r>
      <w:r w:rsidRPr="00617BAE">
        <w:rPr>
          <w:rFonts w:ascii="Arial" w:hAnsi="Arial" w:cs="Arial"/>
        </w:rPr>
        <w:t xml:space="preserve"> - is the cost of buying, constructing and improving the assets which the council uses to provide services. </w:t>
      </w: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rPr>
          <w:rFonts w:ascii="Arial" w:hAnsi="Arial" w:cs="Arial"/>
          <w:lang w:val="en-US"/>
        </w:rPr>
      </w:pPr>
      <w:r w:rsidRPr="00617BAE">
        <w:rPr>
          <w:rFonts w:ascii="Arial" w:hAnsi="Arial" w:cs="Arial"/>
          <w:b/>
          <w:bCs/>
          <w:i/>
          <w:iCs/>
          <w:lang w:val="en-US"/>
        </w:rPr>
        <w:t>Revenue expenditure</w:t>
      </w:r>
      <w:r w:rsidRPr="00617BAE">
        <w:rPr>
          <w:rFonts w:ascii="Arial" w:hAnsi="Arial" w:cs="Arial"/>
          <w:lang w:val="en-US"/>
        </w:rPr>
        <w:t xml:space="preserve"> is recorded in a number of the main statements in these accounts with the purposes of these main statements being as follows:</w:t>
      </w:r>
    </w:p>
    <w:p w:rsidR="0021497B" w:rsidRPr="00617BAE" w:rsidRDefault="0021497B" w:rsidP="0021497B">
      <w:pPr>
        <w:spacing w:before="0" w:after="0"/>
        <w:rPr>
          <w:rFonts w:ascii="Arial" w:hAnsi="Arial" w:cs="Arial"/>
          <w:lang w:val="en-US"/>
        </w:rPr>
      </w:pPr>
    </w:p>
    <w:p w:rsidR="0021497B" w:rsidRPr="00617BAE" w:rsidRDefault="0021497B" w:rsidP="0021497B">
      <w:pPr>
        <w:numPr>
          <w:ilvl w:val="0"/>
          <w:numId w:val="3"/>
        </w:numPr>
        <w:spacing w:before="0" w:after="0" w:line="276" w:lineRule="auto"/>
        <w:ind w:left="284"/>
        <w:rPr>
          <w:rFonts w:ascii="Arial" w:hAnsi="Arial" w:cs="Arial"/>
          <w:lang w:val="en-US"/>
        </w:rPr>
      </w:pPr>
      <w:r w:rsidRPr="00617BAE">
        <w:rPr>
          <w:rFonts w:ascii="Arial" w:hAnsi="Arial" w:cs="Arial"/>
          <w:b/>
          <w:bCs/>
          <w:i/>
          <w:iCs/>
          <w:lang w:val="en-US"/>
        </w:rPr>
        <w:t>the Comprehensive Income and Expenditure Statement</w:t>
      </w:r>
      <w:r w:rsidRPr="00617BAE">
        <w:rPr>
          <w:rFonts w:ascii="Arial" w:hAnsi="Arial" w:cs="Arial"/>
          <w:lang w:val="en-US"/>
        </w:rPr>
        <w:t xml:space="preserve"> - shows the income and expenditure for all council </w:t>
      </w:r>
      <w:r w:rsidR="00942D0E">
        <w:rPr>
          <w:rFonts w:ascii="Arial" w:hAnsi="Arial" w:cs="Arial"/>
          <w:lang w:val="en-US"/>
        </w:rPr>
        <w:t>services. It is shown on page 36</w:t>
      </w:r>
      <w:r w:rsidRPr="00617BAE">
        <w:rPr>
          <w:rFonts w:ascii="Arial" w:hAnsi="Arial" w:cs="Arial"/>
          <w:lang w:val="en-US"/>
        </w:rPr>
        <w:t>;</w:t>
      </w:r>
    </w:p>
    <w:p w:rsidR="0021497B" w:rsidRPr="00617BAE" w:rsidRDefault="0021497B" w:rsidP="00942D0E">
      <w:pPr>
        <w:numPr>
          <w:ilvl w:val="0"/>
          <w:numId w:val="3"/>
        </w:numPr>
        <w:spacing w:before="0" w:after="0" w:line="276" w:lineRule="auto"/>
        <w:ind w:left="284"/>
        <w:rPr>
          <w:rFonts w:ascii="Arial" w:hAnsi="Arial" w:cs="Arial"/>
          <w:lang w:val="en-US"/>
        </w:rPr>
      </w:pPr>
      <w:r w:rsidRPr="00617BAE">
        <w:rPr>
          <w:rFonts w:ascii="Arial" w:hAnsi="Arial" w:cs="Arial"/>
          <w:b/>
          <w:i/>
          <w:lang w:val="en-US"/>
        </w:rPr>
        <w:t>the Movement in Reserves Statement</w:t>
      </w:r>
      <w:r w:rsidRPr="00617BAE">
        <w:rPr>
          <w:rFonts w:ascii="Arial" w:hAnsi="Arial" w:cs="Arial"/>
          <w:lang w:val="en-US"/>
        </w:rPr>
        <w:t xml:space="preserve"> - shows how the Income and Expenditure Account surplus or deficit for the year reconciles to the movement on the General Fund for the year. It also highlights movement on all other reserves held on the council’s Balance Sheet (including the Housing Revenue </w:t>
      </w:r>
      <w:r w:rsidR="00942D0E">
        <w:rPr>
          <w:rFonts w:ascii="Arial" w:hAnsi="Arial" w:cs="Arial"/>
          <w:lang w:val="en-US"/>
        </w:rPr>
        <w:t>Account). It is shown on page 37</w:t>
      </w:r>
      <w:r w:rsidRPr="00617BAE">
        <w:rPr>
          <w:rFonts w:ascii="Arial" w:hAnsi="Arial" w:cs="Arial"/>
          <w:lang w:val="en-US"/>
        </w:rPr>
        <w:t>. Further information on each of the reserves held and how it may be used is also detailed within notes 2</w:t>
      </w:r>
      <w:r w:rsidR="00942D0E">
        <w:rPr>
          <w:rFonts w:ascii="Arial" w:hAnsi="Arial" w:cs="Arial"/>
          <w:lang w:val="en-US"/>
        </w:rPr>
        <w:t>8 and 29 on pages 81</w:t>
      </w:r>
      <w:r w:rsidRPr="00617BAE">
        <w:rPr>
          <w:rFonts w:ascii="Arial" w:hAnsi="Arial" w:cs="Arial"/>
          <w:lang w:val="en-US"/>
        </w:rPr>
        <w:t xml:space="preserve"> </w:t>
      </w:r>
      <w:r w:rsidR="00942D0E">
        <w:rPr>
          <w:rFonts w:ascii="Arial" w:hAnsi="Arial" w:cs="Arial"/>
          <w:lang w:val="en-US"/>
        </w:rPr>
        <w:t>to 85</w:t>
      </w:r>
      <w:r w:rsidRPr="00617BAE">
        <w:rPr>
          <w:rFonts w:ascii="Arial" w:hAnsi="Arial" w:cs="Arial"/>
          <w:lang w:val="en-US"/>
        </w:rPr>
        <w:t>; and</w:t>
      </w:r>
    </w:p>
    <w:p w:rsidR="0021497B" w:rsidRPr="00617BAE" w:rsidRDefault="0021497B" w:rsidP="0021497B">
      <w:pPr>
        <w:numPr>
          <w:ilvl w:val="0"/>
          <w:numId w:val="3"/>
        </w:numPr>
        <w:spacing w:before="0" w:after="0" w:line="276" w:lineRule="auto"/>
        <w:ind w:left="284"/>
        <w:rPr>
          <w:rFonts w:ascii="Arial" w:hAnsi="Arial" w:cs="Arial"/>
          <w:lang w:val="en-US"/>
        </w:rPr>
      </w:pPr>
      <w:r w:rsidRPr="00617BAE">
        <w:rPr>
          <w:rFonts w:ascii="Arial" w:hAnsi="Arial" w:cs="Arial"/>
          <w:b/>
          <w:bCs/>
          <w:i/>
          <w:iCs/>
          <w:lang w:val="en-US"/>
        </w:rPr>
        <w:t>the Housing Revenue Account</w:t>
      </w:r>
      <w:r w:rsidRPr="00617BAE">
        <w:rPr>
          <w:rFonts w:ascii="Arial" w:hAnsi="Arial" w:cs="Arial"/>
          <w:bCs/>
          <w:iCs/>
          <w:lang w:val="en-US"/>
        </w:rPr>
        <w:t> -</w:t>
      </w:r>
      <w:r w:rsidRPr="00617BAE">
        <w:rPr>
          <w:rFonts w:ascii="Arial" w:hAnsi="Arial" w:cs="Arial"/>
          <w:b/>
          <w:bCs/>
          <w:i/>
          <w:iCs/>
          <w:lang w:val="en-US"/>
        </w:rPr>
        <w:t xml:space="preserve"> </w:t>
      </w:r>
      <w:r w:rsidRPr="00617BAE">
        <w:rPr>
          <w:rFonts w:ascii="Arial" w:hAnsi="Arial" w:cs="Arial"/>
          <w:lang w:val="en-US"/>
        </w:rPr>
        <w:t>shows the income and expenditure for council housing services for t</w:t>
      </w:r>
      <w:r w:rsidR="00942D0E">
        <w:rPr>
          <w:rFonts w:ascii="Arial" w:hAnsi="Arial" w:cs="Arial"/>
          <w:lang w:val="en-US"/>
        </w:rPr>
        <w:t>he year. It is shown on pages 87 to 89</w:t>
      </w:r>
      <w:r w:rsidRPr="00617BAE">
        <w:rPr>
          <w:rFonts w:ascii="Arial" w:hAnsi="Arial" w:cs="Arial"/>
          <w:lang w:val="en-US"/>
        </w:rPr>
        <w:t xml:space="preserve"> which also includes the Statement of Movement on the Housing Revenue Account Balance.</w:t>
      </w:r>
    </w:p>
    <w:p w:rsidR="0021497B" w:rsidRPr="00617BAE" w:rsidRDefault="0021497B" w:rsidP="0021497B">
      <w:pPr>
        <w:numPr>
          <w:ilvl w:val="0"/>
          <w:numId w:val="3"/>
        </w:numPr>
        <w:spacing w:before="0" w:after="0"/>
        <w:ind w:left="284"/>
        <w:contextualSpacing/>
        <w:rPr>
          <w:rFonts w:ascii="Arial" w:hAnsi="Arial" w:cs="Arial"/>
          <w:lang w:val="en-US"/>
        </w:rPr>
      </w:pPr>
      <w:r w:rsidRPr="00617BAE">
        <w:rPr>
          <w:rFonts w:ascii="Arial" w:hAnsi="Arial" w:cs="Arial"/>
          <w:b/>
          <w:i/>
          <w:lang w:val="en-US"/>
        </w:rPr>
        <w:t>Capital expenditure</w:t>
      </w:r>
      <w:r w:rsidR="00942D0E">
        <w:rPr>
          <w:rFonts w:ascii="Arial" w:hAnsi="Arial" w:cs="Arial"/>
          <w:lang w:val="en-US"/>
        </w:rPr>
        <w:t xml:space="preserve"> is analysed in note 18 on page 69</w:t>
      </w:r>
      <w:r w:rsidRPr="00617BAE">
        <w:rPr>
          <w:rFonts w:ascii="Arial" w:hAnsi="Arial" w:cs="Arial"/>
          <w:lang w:val="en-US"/>
        </w:rPr>
        <w:t xml:space="preserve"> which details the capital expenditure and the sources of finance used to fund the</w:t>
      </w:r>
      <w:r w:rsidR="00942D0E">
        <w:rPr>
          <w:rFonts w:ascii="Arial" w:hAnsi="Arial" w:cs="Arial"/>
          <w:lang w:val="en-US"/>
        </w:rPr>
        <w:t xml:space="preserve"> capital plan investment in 2019/20</w:t>
      </w:r>
      <w:r w:rsidRPr="00617BAE">
        <w:rPr>
          <w:rFonts w:ascii="Arial" w:hAnsi="Arial" w:cs="Arial"/>
          <w:lang w:val="en-US"/>
        </w:rPr>
        <w:t>.</w:t>
      </w:r>
    </w:p>
    <w:p w:rsidR="0021497B" w:rsidRPr="00617BAE" w:rsidRDefault="0021497B" w:rsidP="0021497B">
      <w:pPr>
        <w:numPr>
          <w:ilvl w:val="0"/>
          <w:numId w:val="3"/>
        </w:numPr>
        <w:spacing w:before="0" w:after="0"/>
        <w:ind w:left="284"/>
        <w:contextualSpacing/>
        <w:rPr>
          <w:rFonts w:ascii="Arial" w:hAnsi="Arial" w:cs="Arial"/>
          <w:lang w:val="en-US"/>
        </w:rPr>
      </w:pPr>
      <w:r w:rsidRPr="00617BAE">
        <w:rPr>
          <w:rFonts w:ascii="Arial" w:hAnsi="Arial" w:cs="Arial"/>
          <w:b/>
          <w:i/>
          <w:lang w:val="en-US"/>
        </w:rPr>
        <w:t xml:space="preserve">the </w:t>
      </w:r>
      <w:r w:rsidRPr="00617BAE">
        <w:rPr>
          <w:rFonts w:ascii="Arial" w:hAnsi="Arial" w:cs="Arial"/>
          <w:b/>
          <w:bCs/>
          <w:i/>
          <w:iCs/>
          <w:lang w:val="en-US"/>
        </w:rPr>
        <w:t>Balance Sheet</w:t>
      </w:r>
      <w:r w:rsidR="00942D0E">
        <w:rPr>
          <w:rFonts w:ascii="Arial" w:hAnsi="Arial" w:cs="Arial"/>
          <w:lang w:val="en-US"/>
        </w:rPr>
        <w:t xml:space="preserve"> on page 38</w:t>
      </w:r>
      <w:r w:rsidRPr="00617BAE">
        <w:rPr>
          <w:rFonts w:ascii="Arial" w:hAnsi="Arial" w:cs="Arial"/>
          <w:lang w:val="en-US"/>
        </w:rPr>
        <w:t xml:space="preserve"> summarises the assets and liabilities of the council. It is a statement of the resources of the council and the means by which they have been financed.  It is also a report on the council’s financial position at one particular point in time, a snapshot of its financial affairs at the close of the year expressed in accounting terms.</w:t>
      </w:r>
    </w:p>
    <w:p w:rsidR="0021497B" w:rsidRPr="00617BAE" w:rsidRDefault="0021497B" w:rsidP="0021497B">
      <w:pPr>
        <w:spacing w:before="0" w:after="0"/>
        <w:ind w:left="284"/>
        <w:contextualSpacing/>
        <w:rPr>
          <w:rFonts w:ascii="Arial" w:hAnsi="Arial" w:cs="Arial"/>
          <w:b/>
          <w:i/>
          <w:lang w:val="en-US"/>
        </w:rPr>
      </w:pPr>
    </w:p>
    <w:p w:rsidR="0021497B" w:rsidRPr="00617BAE" w:rsidRDefault="0021497B" w:rsidP="0021497B">
      <w:pPr>
        <w:spacing w:before="0" w:after="0"/>
        <w:ind w:left="284"/>
        <w:contextualSpacing/>
        <w:rPr>
          <w:rFonts w:ascii="Arial" w:hAnsi="Arial" w:cs="Arial"/>
          <w:b/>
          <w:i/>
          <w:lang w:val="en-US"/>
        </w:rPr>
      </w:pPr>
    </w:p>
    <w:p w:rsidR="0021497B" w:rsidRPr="00617BAE" w:rsidRDefault="0021497B" w:rsidP="0021497B">
      <w:pPr>
        <w:spacing w:before="0" w:after="0"/>
        <w:ind w:left="284"/>
        <w:contextualSpacing/>
        <w:rPr>
          <w:rFonts w:ascii="Arial" w:hAnsi="Arial" w:cs="Arial"/>
          <w:b/>
          <w:i/>
          <w:lang w:val="en-US"/>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Pr="00617BAE" w:rsidRDefault="0021497B" w:rsidP="0021497B">
      <w:pPr>
        <w:spacing w:before="0" w:after="0"/>
        <w:ind w:left="284"/>
        <w:contextualSpacing/>
        <w:rPr>
          <w:rFonts w:ascii="Arial" w:hAnsi="Arial" w:cs="Arial"/>
        </w:rPr>
      </w:pPr>
    </w:p>
    <w:p w:rsidR="0021497B" w:rsidRPr="00617BAE" w:rsidRDefault="0021497B" w:rsidP="0021497B">
      <w:pPr>
        <w:numPr>
          <w:ilvl w:val="0"/>
          <w:numId w:val="40"/>
        </w:numPr>
        <w:spacing w:before="0" w:after="0"/>
        <w:ind w:left="284"/>
        <w:contextualSpacing/>
        <w:rPr>
          <w:rFonts w:ascii="Arial" w:hAnsi="Arial" w:cs="Arial"/>
          <w:lang w:val="en-US"/>
        </w:rPr>
      </w:pPr>
      <w:r w:rsidRPr="00617BAE">
        <w:rPr>
          <w:rFonts w:ascii="Arial" w:hAnsi="Arial" w:cs="Arial"/>
          <w:b/>
          <w:i/>
          <w:lang w:val="en-US"/>
        </w:rPr>
        <w:t>the</w:t>
      </w:r>
      <w:r w:rsidRPr="00617BAE">
        <w:rPr>
          <w:rFonts w:ascii="Arial" w:hAnsi="Arial" w:cs="Arial"/>
          <w:lang w:val="en-US"/>
        </w:rPr>
        <w:t xml:space="preserve"> </w:t>
      </w:r>
      <w:r w:rsidRPr="00617BAE">
        <w:rPr>
          <w:rFonts w:ascii="Arial" w:hAnsi="Arial" w:cs="Arial"/>
          <w:b/>
          <w:bCs/>
          <w:i/>
          <w:iCs/>
          <w:lang w:val="en-US"/>
        </w:rPr>
        <w:t>Cash Flow Statement</w:t>
      </w:r>
      <w:r w:rsidR="00942D0E">
        <w:rPr>
          <w:rFonts w:ascii="Arial" w:hAnsi="Arial" w:cs="Arial"/>
          <w:lang w:val="en-US"/>
        </w:rPr>
        <w:t xml:space="preserve"> on page 39</w:t>
      </w:r>
      <w:r w:rsidRPr="00617BAE">
        <w:rPr>
          <w:rFonts w:ascii="Arial" w:hAnsi="Arial" w:cs="Arial"/>
          <w:lang w:val="en-US"/>
        </w:rPr>
        <w:t xml:space="preserve"> shows the inflows and outflows of cash arising from transactions with third parties on both day to day revenue transactions and on capital activities.  Cash is defined for the purpose of the statement as cash-in-hand and deposits repayable on demand less overdrafts repayable on demand.</w:t>
      </w:r>
    </w:p>
    <w:p w:rsidR="0021497B" w:rsidRPr="00617BAE" w:rsidRDefault="0021497B" w:rsidP="0021497B">
      <w:pPr>
        <w:numPr>
          <w:ilvl w:val="0"/>
          <w:numId w:val="40"/>
        </w:numPr>
        <w:spacing w:before="0" w:after="0"/>
        <w:ind w:left="284"/>
        <w:contextualSpacing/>
        <w:rPr>
          <w:rFonts w:ascii="Arial" w:hAnsi="Arial" w:cs="Arial"/>
          <w:lang w:val="en-US"/>
        </w:rPr>
      </w:pPr>
      <w:r w:rsidRPr="00617BAE">
        <w:rPr>
          <w:rFonts w:ascii="Arial" w:hAnsi="Arial" w:cs="Arial"/>
          <w:b/>
          <w:bCs/>
          <w:i/>
          <w:iCs/>
          <w:lang w:val="en-US"/>
        </w:rPr>
        <w:t>Notes to the Core Financial Statements</w:t>
      </w:r>
      <w:r w:rsidR="00ED16F1">
        <w:rPr>
          <w:rFonts w:ascii="Arial" w:hAnsi="Arial" w:cs="Arial"/>
          <w:lang w:val="en-US"/>
        </w:rPr>
        <w:t xml:space="preserve"> are provided on pages 40 to 86</w:t>
      </w:r>
      <w:r w:rsidRPr="00617BAE">
        <w:rPr>
          <w:rFonts w:ascii="Arial" w:hAnsi="Arial" w:cs="Arial"/>
          <w:lang w:val="en-US"/>
        </w:rPr>
        <w:t xml:space="preserve"> and give fur</w:t>
      </w:r>
      <w:r w:rsidR="00A40F8F">
        <w:rPr>
          <w:rFonts w:ascii="Arial" w:hAnsi="Arial" w:cs="Arial"/>
          <w:lang w:val="en-US"/>
        </w:rPr>
        <w:t xml:space="preserve">ther information and analysis of </w:t>
      </w:r>
      <w:r w:rsidRPr="00617BAE">
        <w:rPr>
          <w:rFonts w:ascii="Arial" w:hAnsi="Arial" w:cs="Arial"/>
          <w:lang w:val="en-US"/>
        </w:rPr>
        <w:t>each statement, with the main accountin</w:t>
      </w:r>
      <w:r w:rsidR="00ED16F1">
        <w:rPr>
          <w:rFonts w:ascii="Arial" w:hAnsi="Arial" w:cs="Arial"/>
          <w:lang w:val="en-US"/>
        </w:rPr>
        <w:t>g policies detailed on pages 102</w:t>
      </w:r>
      <w:r w:rsidR="00942D0E">
        <w:rPr>
          <w:rFonts w:ascii="Arial" w:hAnsi="Arial" w:cs="Arial"/>
          <w:lang w:val="en-US"/>
        </w:rPr>
        <w:t xml:space="preserve"> to 115</w:t>
      </w:r>
      <w:r w:rsidRPr="00617BAE">
        <w:rPr>
          <w:rFonts w:ascii="Arial" w:hAnsi="Arial" w:cs="Arial"/>
          <w:lang w:val="en-US"/>
        </w:rPr>
        <w:t>.</w:t>
      </w:r>
    </w:p>
    <w:p w:rsidR="0021497B" w:rsidRPr="00617BAE" w:rsidRDefault="0021497B" w:rsidP="0021497B">
      <w:pPr>
        <w:keepNext/>
        <w:spacing w:before="0" w:after="0"/>
        <w:outlineLvl w:val="1"/>
        <w:rPr>
          <w:rFonts w:ascii="Arial" w:hAnsi="Arial" w:cs="Arial"/>
          <w:b/>
          <w:bCs/>
          <w:color w:val="000000"/>
          <w:u w:val="single"/>
        </w:rPr>
      </w:pPr>
    </w:p>
    <w:p w:rsidR="0021497B" w:rsidRPr="00617BAE" w:rsidRDefault="0021497B" w:rsidP="0021497B">
      <w:pPr>
        <w:keepNext/>
        <w:spacing w:before="0" w:after="0"/>
        <w:outlineLvl w:val="1"/>
        <w:rPr>
          <w:rFonts w:ascii="Arial" w:hAnsi="Arial" w:cs="Arial"/>
          <w:b/>
          <w:bCs/>
          <w:i/>
          <w:iCs/>
          <w:color w:val="000000"/>
          <w:u w:val="single"/>
          <w:lang w:val="en-US"/>
        </w:rPr>
      </w:pPr>
      <w:r w:rsidRPr="00617BAE">
        <w:rPr>
          <w:rFonts w:ascii="Arial" w:hAnsi="Arial" w:cs="Arial"/>
          <w:b/>
          <w:bCs/>
          <w:color w:val="000000"/>
          <w:u w:val="single"/>
        </w:rPr>
        <w:t>Comprehensive Income and Expenditure Statement</w:t>
      </w:r>
    </w:p>
    <w:p w:rsidR="0021497B" w:rsidRPr="00617BAE" w:rsidRDefault="0021497B" w:rsidP="0021497B">
      <w:pPr>
        <w:spacing w:before="0" w:after="0"/>
        <w:jc w:val="both"/>
        <w:rPr>
          <w:rFonts w:ascii="Arial" w:hAnsi="Arial" w:cs="Arial"/>
          <w:b/>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General Fund</w:t>
      </w:r>
    </w:p>
    <w:p w:rsidR="0021497B" w:rsidRPr="00617BAE" w:rsidRDefault="0021497B" w:rsidP="0021497B">
      <w:pPr>
        <w:spacing w:before="0" w:after="0"/>
        <w:jc w:val="both"/>
        <w:rPr>
          <w:rFonts w:ascii="Arial" w:hAnsi="Arial" w:cs="Arial"/>
          <w:lang w:val="en-US"/>
        </w:rPr>
      </w:pPr>
      <w:r w:rsidRPr="00617BAE">
        <w:rPr>
          <w:rFonts w:ascii="Arial" w:hAnsi="Arial" w:cs="Arial"/>
          <w:color w:val="000000"/>
          <w:lang w:val="en-US"/>
        </w:rPr>
        <w:t xml:space="preserve">This account covers the day to day operational </w:t>
      </w:r>
      <w:r w:rsidRPr="00617BAE">
        <w:rPr>
          <w:rFonts w:ascii="Arial" w:hAnsi="Arial" w:cs="Arial"/>
          <w:lang w:val="en-US"/>
        </w:rPr>
        <w:t>income</w:t>
      </w:r>
      <w:r w:rsidRPr="00617BAE">
        <w:rPr>
          <w:rFonts w:ascii="Arial" w:hAnsi="Arial" w:cs="Arial"/>
          <w:color w:val="000000"/>
          <w:lang w:val="en-US"/>
        </w:rPr>
        <w:t xml:space="preserve"> and </w:t>
      </w:r>
      <w:r w:rsidRPr="00617BAE">
        <w:rPr>
          <w:rFonts w:ascii="Arial" w:hAnsi="Arial" w:cs="Arial"/>
          <w:lang w:val="en-US"/>
        </w:rPr>
        <w:t>expenditure for each service of the council and is reported in line with the council’s committee structure.</w:t>
      </w:r>
    </w:p>
    <w:p w:rsidR="0021497B" w:rsidRPr="00617BAE" w:rsidRDefault="0021497B" w:rsidP="0021497B">
      <w:pPr>
        <w:spacing w:before="0" w:after="0"/>
        <w:jc w:val="both"/>
        <w:rPr>
          <w:rFonts w:ascii="Arial" w:hAnsi="Arial" w:cs="Arial"/>
          <w:lang w:val="en-US"/>
        </w:rPr>
      </w:pPr>
    </w:p>
    <w:p w:rsidR="0021497B" w:rsidRPr="00617BAE" w:rsidRDefault="0021497B" w:rsidP="0021497B">
      <w:pPr>
        <w:spacing w:before="0" w:after="0"/>
        <w:jc w:val="both"/>
        <w:rPr>
          <w:rFonts w:ascii="Arial" w:hAnsi="Arial" w:cs="Arial"/>
          <w:lang w:val="en-US"/>
        </w:rPr>
      </w:pPr>
      <w:r w:rsidRPr="00617BAE">
        <w:rPr>
          <w:rFonts w:ascii="Arial" w:hAnsi="Arial" w:cs="Arial"/>
          <w:lang w:val="en-US"/>
        </w:rPr>
        <w:t>Income from council tax, non-domestic rates, capital and revenue support grants was £251.590m with a net expenditure on services for the yea</w:t>
      </w:r>
      <w:r w:rsidR="000C689B">
        <w:rPr>
          <w:rFonts w:ascii="Arial" w:hAnsi="Arial" w:cs="Arial"/>
          <w:lang w:val="en-US"/>
        </w:rPr>
        <w:t>r of £234.013</w:t>
      </w:r>
      <w:r w:rsidR="00942D0E">
        <w:rPr>
          <w:rFonts w:ascii="Arial" w:hAnsi="Arial" w:cs="Arial"/>
          <w:lang w:val="en-US"/>
        </w:rPr>
        <w:t>m (shown on page 36</w:t>
      </w:r>
      <w:r w:rsidRPr="00617BAE">
        <w:rPr>
          <w:rFonts w:ascii="Arial" w:hAnsi="Arial" w:cs="Arial"/>
          <w:lang w:val="en-US"/>
        </w:rPr>
        <w:t xml:space="preserve"> - Net Cost of Services).</w:t>
      </w:r>
    </w:p>
    <w:p w:rsidR="0021497B" w:rsidRPr="00617BAE" w:rsidRDefault="0021497B" w:rsidP="0021497B">
      <w:pPr>
        <w:spacing w:before="0" w:after="0"/>
        <w:jc w:val="both"/>
        <w:rPr>
          <w:rFonts w:ascii="Arial" w:hAnsi="Arial" w:cs="Arial"/>
          <w:color w:val="000000"/>
          <w:lang w:val="en-US"/>
        </w:rPr>
      </w:pPr>
    </w:p>
    <w:p w:rsidR="0021497B" w:rsidRPr="00617BAE" w:rsidRDefault="0021497B" w:rsidP="0021497B">
      <w:pPr>
        <w:spacing w:before="0" w:after="0"/>
        <w:rPr>
          <w:rFonts w:ascii="Arial" w:hAnsi="Arial" w:cs="Arial"/>
          <w:lang w:val="en-US"/>
        </w:rPr>
      </w:pPr>
      <w:r w:rsidRPr="00617BAE">
        <w:rPr>
          <w:rFonts w:ascii="Arial" w:hAnsi="Arial" w:cs="Arial"/>
          <w:color w:val="000000"/>
          <w:lang w:val="en-US"/>
        </w:rPr>
        <w:t xml:space="preserve">Due to tight financial control over service spending, the council was able to return an in year surplus from services </w:t>
      </w:r>
      <w:r w:rsidR="000C689B">
        <w:rPr>
          <w:rFonts w:ascii="Arial" w:hAnsi="Arial" w:cs="Arial"/>
          <w:lang w:val="en-US"/>
        </w:rPr>
        <w:t>of £0.586</w:t>
      </w:r>
      <w:r w:rsidRPr="00617BAE">
        <w:rPr>
          <w:rFonts w:ascii="Arial" w:hAnsi="Arial" w:cs="Arial"/>
          <w:lang w:val="en-US"/>
        </w:rPr>
        <w:t>m against</w:t>
      </w:r>
      <w:r w:rsidRPr="00617BAE">
        <w:rPr>
          <w:rFonts w:ascii="Arial" w:hAnsi="Arial" w:cs="Arial"/>
          <w:color w:val="000000"/>
          <w:lang w:val="en-US"/>
        </w:rPr>
        <w:t xml:space="preserve"> budget (2018/19 £0.675m surplus). </w:t>
      </w:r>
      <w:r w:rsidRPr="00617BAE">
        <w:rPr>
          <w:rFonts w:ascii="Arial" w:hAnsi="Arial" w:cs="Arial"/>
          <w:lang w:val="en-US"/>
        </w:rPr>
        <w:t>A number of favourable variances (particularly within Corporate Services and Infrastructure, Regeneration and Economic development service areas) are due to specific management action in areas such as: control of vacancies and staff cover; general process and efficiency reviews; specific restructuring of service delivery; spending control; and implementation of agreed savings targets. Although, there is an element of demand led favourable variances, the level of favourable variance has been partially offset due to spend pressures, particularly within Teacher Probationer costs and Additional Specialist Needs and Secondary Schools within Educational Services. During the Council’s annual budget process, efficiencies are identified and agreed for action. These savings are monitored monthly as part of the budgetary control process. For 2019/20 the savings monitored total</w:t>
      </w:r>
      <w:r w:rsidR="00A40F8F">
        <w:rPr>
          <w:rFonts w:ascii="Arial" w:hAnsi="Arial" w:cs="Arial"/>
          <w:lang w:val="en-US"/>
        </w:rPr>
        <w:t>l</w:t>
      </w:r>
      <w:r w:rsidRPr="00617BAE">
        <w:rPr>
          <w:rFonts w:ascii="Arial" w:hAnsi="Arial" w:cs="Arial"/>
          <w:lang w:val="en-US"/>
        </w:rPr>
        <w:t xml:space="preserve">ed £2.739m, with £2.244m being achieved. </w:t>
      </w:r>
    </w:p>
    <w:p w:rsidR="0021497B" w:rsidRPr="00617BAE" w:rsidRDefault="0021497B" w:rsidP="0021497B">
      <w:pPr>
        <w:spacing w:before="0" w:after="0"/>
        <w:rPr>
          <w:rFonts w:ascii="Arial" w:hAnsi="Arial" w:cs="Arial"/>
          <w:highlight w:val="yellow"/>
          <w:lang w:val="en-US"/>
        </w:rPr>
      </w:pPr>
      <w:r w:rsidRPr="00617BAE">
        <w:rPr>
          <w:rFonts w:ascii="Arial" w:hAnsi="Arial" w:cs="Arial"/>
          <w:lang w:val="en-US"/>
        </w:rPr>
        <w:t xml:space="preserve"> </w:t>
      </w:r>
    </w:p>
    <w:p w:rsidR="0021497B" w:rsidRPr="00617BAE" w:rsidRDefault="0021497B" w:rsidP="0021497B">
      <w:pPr>
        <w:spacing w:before="0" w:after="0"/>
        <w:rPr>
          <w:rFonts w:ascii="Arial" w:hAnsi="Arial" w:cs="Arial"/>
          <w:lang w:val="en-US"/>
        </w:rPr>
      </w:pPr>
      <w:r w:rsidRPr="00617BAE">
        <w:rPr>
          <w:rFonts w:ascii="Arial" w:hAnsi="Arial" w:cs="Arial"/>
          <w:lang w:val="en-US"/>
        </w:rPr>
        <w:t>The council's in-year collection of council tax decreased slightly from 95.55% in 2018/19 to 95.15% in 2019/20. Uncollected council tax is pursued for collection after the end of the financial year.</w:t>
      </w:r>
    </w:p>
    <w:p w:rsidR="0021497B" w:rsidRPr="00617BAE" w:rsidRDefault="0021497B" w:rsidP="0021497B">
      <w:pPr>
        <w:spacing w:before="0" w:after="0"/>
        <w:rPr>
          <w:rFonts w:ascii="Arial" w:hAnsi="Arial" w:cs="Arial"/>
          <w:lang w:val="en-US"/>
        </w:rPr>
      </w:pPr>
    </w:p>
    <w:p w:rsidR="0021497B" w:rsidRPr="00617BAE" w:rsidRDefault="00942D0E" w:rsidP="00942D0E">
      <w:pPr>
        <w:keepNext/>
        <w:spacing w:before="0" w:after="0"/>
        <w:outlineLvl w:val="1"/>
        <w:rPr>
          <w:rFonts w:ascii="Arial" w:hAnsi="Arial" w:cs="Arial"/>
          <w:lang w:val="en-US"/>
        </w:rPr>
      </w:pPr>
      <w:r>
        <w:rPr>
          <w:rFonts w:ascii="Arial" w:hAnsi="Arial" w:cs="Arial"/>
          <w:lang w:val="en-US"/>
        </w:rPr>
        <w:t>After taking account of the in</w:t>
      </w:r>
      <w:r w:rsidR="0021497B" w:rsidRPr="00617BAE">
        <w:rPr>
          <w:rFonts w:ascii="Arial" w:hAnsi="Arial" w:cs="Arial"/>
          <w:lang w:val="en-US"/>
        </w:rPr>
        <w:t>crease in general earmarked balan</w:t>
      </w:r>
      <w:r>
        <w:rPr>
          <w:rFonts w:ascii="Arial" w:hAnsi="Arial" w:cs="Arial"/>
          <w:lang w:val="en-US"/>
        </w:rPr>
        <w:t>ces since 31 March 2019 (£0.474</w:t>
      </w:r>
      <w:r w:rsidR="0021497B" w:rsidRPr="00617BAE">
        <w:rPr>
          <w:rFonts w:ascii="Arial" w:hAnsi="Arial" w:cs="Arial"/>
          <w:lang w:val="en-US"/>
        </w:rPr>
        <w:t>m</w:t>
      </w:r>
      <w:r>
        <w:rPr>
          <w:rFonts w:ascii="Arial" w:hAnsi="Arial" w:cs="Arial"/>
          <w:lang w:val="en-US"/>
        </w:rPr>
        <w:t>)</w:t>
      </w:r>
      <w:r w:rsidR="0021497B" w:rsidRPr="00617BAE">
        <w:rPr>
          <w:rFonts w:ascii="Arial" w:hAnsi="Arial" w:cs="Arial"/>
          <w:lang w:val="en-US"/>
        </w:rPr>
        <w:t>, the net comm</w:t>
      </w:r>
      <w:r>
        <w:rPr>
          <w:rFonts w:ascii="Arial" w:hAnsi="Arial" w:cs="Arial"/>
          <w:lang w:val="en-US"/>
        </w:rPr>
        <w:t>itment to future budgets (£2.663</w:t>
      </w:r>
      <w:r w:rsidR="0021497B" w:rsidRPr="00617BAE">
        <w:rPr>
          <w:rFonts w:ascii="Arial" w:hAnsi="Arial" w:cs="Arial"/>
          <w:lang w:val="en-US"/>
        </w:rPr>
        <w:t>m</w:t>
      </w:r>
      <w:r w:rsidR="00A744E9">
        <w:rPr>
          <w:rFonts w:ascii="Arial" w:hAnsi="Arial" w:cs="Arial"/>
          <w:lang w:val="en-US"/>
        </w:rPr>
        <w:t>, included within the overall earmarked balance</w:t>
      </w:r>
      <w:r w:rsidR="0021497B" w:rsidRPr="00617BAE">
        <w:rPr>
          <w:rFonts w:ascii="Arial" w:hAnsi="Arial" w:cs="Arial"/>
          <w:lang w:val="en-US"/>
        </w:rPr>
        <w:t>) and the in</w:t>
      </w:r>
      <w:r w:rsidR="000C689B">
        <w:rPr>
          <w:rFonts w:ascii="Arial" w:hAnsi="Arial" w:cs="Arial"/>
          <w:lang w:val="en-US"/>
        </w:rPr>
        <w:t>-year budgetary position (£0.586</w:t>
      </w:r>
      <w:r w:rsidR="0021497B" w:rsidRPr="00617BAE">
        <w:rPr>
          <w:rFonts w:ascii="Arial" w:hAnsi="Arial" w:cs="Arial"/>
          <w:lang w:val="en-US"/>
        </w:rPr>
        <w:t xml:space="preserve">m), the overall </w:t>
      </w:r>
      <w:r w:rsidR="000C689B">
        <w:rPr>
          <w:rFonts w:ascii="Arial" w:hAnsi="Arial" w:cs="Arial"/>
          <w:lang w:val="en-US"/>
        </w:rPr>
        <w:t>deficit for the year was £1.603</w:t>
      </w:r>
      <w:r>
        <w:rPr>
          <w:rFonts w:ascii="Arial" w:hAnsi="Arial" w:cs="Arial"/>
          <w:lang w:val="en-US"/>
        </w:rPr>
        <w:t xml:space="preserve">m. This is deducted from </w:t>
      </w:r>
      <w:r w:rsidR="0021497B" w:rsidRPr="00617BAE">
        <w:rPr>
          <w:rFonts w:ascii="Arial" w:hAnsi="Arial" w:cs="Arial"/>
          <w:lang w:val="en-US"/>
        </w:rPr>
        <w:t xml:space="preserve"> the brought forward balance from the previous year (£10.998m), resulting in an accumulated sur</w:t>
      </w:r>
      <w:r w:rsidR="000C689B">
        <w:rPr>
          <w:rFonts w:ascii="Arial" w:hAnsi="Arial" w:cs="Arial"/>
          <w:lang w:val="en-US"/>
        </w:rPr>
        <w:t>plus at 31 March 2020 of £9.395</w:t>
      </w:r>
      <w:r w:rsidR="0021497B" w:rsidRPr="00617BAE">
        <w:rPr>
          <w:rFonts w:ascii="Arial" w:hAnsi="Arial" w:cs="Arial"/>
          <w:lang w:val="en-US"/>
        </w:rPr>
        <w:t>m (as shown on page 37). This includes an earmarked a</w:t>
      </w:r>
      <w:r w:rsidR="000C689B">
        <w:rPr>
          <w:rFonts w:ascii="Arial" w:hAnsi="Arial" w:cs="Arial"/>
          <w:lang w:val="en-US"/>
        </w:rPr>
        <w:t>mount of £6.643m leaving £2.</w:t>
      </w:r>
      <w:r>
        <w:rPr>
          <w:rFonts w:ascii="Arial" w:hAnsi="Arial" w:cs="Arial"/>
          <w:lang w:val="en-US"/>
        </w:rPr>
        <w:t>7</w:t>
      </w:r>
      <w:r w:rsidR="000C689B">
        <w:rPr>
          <w:rFonts w:ascii="Arial" w:hAnsi="Arial" w:cs="Arial"/>
          <w:lang w:val="en-US"/>
        </w:rPr>
        <w:t>52</w:t>
      </w:r>
      <w:r w:rsidR="0021497B" w:rsidRPr="00617BAE">
        <w:rPr>
          <w:rFonts w:ascii="Arial" w:hAnsi="Arial" w:cs="Arial"/>
          <w:lang w:val="en-US"/>
        </w:rPr>
        <w:t xml:space="preserve">m available for future use. </w:t>
      </w:r>
      <w:r>
        <w:rPr>
          <w:rFonts w:ascii="Arial" w:hAnsi="Arial" w:cs="Arial"/>
          <w:lang w:val="en-US"/>
        </w:rPr>
        <w:t xml:space="preserve">Of the earmarked balance </w:t>
      </w:r>
      <w:r w:rsidR="0021497B" w:rsidRPr="00617BAE">
        <w:rPr>
          <w:rFonts w:ascii="Arial" w:hAnsi="Arial" w:cs="Arial"/>
          <w:lang w:val="en-US"/>
        </w:rPr>
        <w:t>£2.065m is set aside for the Council’s Change Fund and £0.500m remains of the Apprenticeship Fund.</w:t>
      </w:r>
    </w:p>
    <w:p w:rsidR="0021497B" w:rsidRPr="00617BAE" w:rsidRDefault="0021497B" w:rsidP="0021497B">
      <w:pPr>
        <w:keepNext/>
        <w:spacing w:before="0" w:after="0"/>
        <w:outlineLvl w:val="1"/>
        <w:rPr>
          <w:rFonts w:ascii="Arial" w:hAnsi="Arial" w:cs="Arial"/>
          <w:b/>
          <w:bCs/>
          <w:i/>
          <w:iCs/>
          <w:color w:val="000000"/>
          <w:lang w:val="en-US"/>
        </w:rPr>
      </w:pPr>
    </w:p>
    <w:p w:rsidR="0021497B" w:rsidRPr="00617BAE" w:rsidRDefault="0021497B" w:rsidP="00627CDF">
      <w:pPr>
        <w:spacing w:before="0" w:after="0"/>
        <w:rPr>
          <w:rFonts w:ascii="Arial" w:hAnsi="Arial" w:cs="Arial"/>
          <w:color w:val="000000"/>
          <w:lang w:val="en-US"/>
        </w:rPr>
      </w:pPr>
      <w:r w:rsidRPr="00617BAE">
        <w:rPr>
          <w:rFonts w:ascii="Arial" w:hAnsi="Arial" w:cs="Arial"/>
          <w:lang w:val="en-US"/>
        </w:rPr>
        <w:t>This un-earmarked balance compares with that of £4.828m as at 31 March 2019 and shows that the un-earmarked reserve position has decre</w:t>
      </w:r>
      <w:r w:rsidR="000C689B">
        <w:rPr>
          <w:rFonts w:ascii="Arial" w:hAnsi="Arial" w:cs="Arial"/>
          <w:lang w:val="en-US"/>
        </w:rPr>
        <w:t>ased by £2.076</w:t>
      </w:r>
      <w:r w:rsidRPr="00617BAE">
        <w:rPr>
          <w:rFonts w:ascii="Arial" w:hAnsi="Arial" w:cs="Arial"/>
          <w:lang w:val="en-US"/>
        </w:rPr>
        <w:t>m during the year. The council's Prudential Reserves Policy is to retain a prudential reserve of 2% of net expenditure (excluding requisitions to Valuation, SPT, etc.) in order to safeguard assets and services against financial risk. The current target prudential reserves level for the General Fund is £4.305m and the positi</w:t>
      </w:r>
      <w:r w:rsidR="00942D0E">
        <w:rPr>
          <w:rFonts w:ascii="Arial" w:hAnsi="Arial" w:cs="Arial"/>
          <w:lang w:val="en-US"/>
        </w:rPr>
        <w:t xml:space="preserve">on at financial year </w:t>
      </w:r>
      <w:r w:rsidR="000C689B">
        <w:rPr>
          <w:rFonts w:ascii="Arial" w:hAnsi="Arial" w:cs="Arial"/>
          <w:lang w:val="en-US"/>
        </w:rPr>
        <w:t>end is less than this by £1.553</w:t>
      </w:r>
      <w:r w:rsidRPr="00617BAE">
        <w:rPr>
          <w:rFonts w:ascii="Arial" w:hAnsi="Arial" w:cs="Arial"/>
          <w:lang w:val="en-US"/>
        </w:rPr>
        <w:t>m</w:t>
      </w:r>
      <w:r w:rsidR="00942D0E">
        <w:rPr>
          <w:rFonts w:ascii="Arial" w:hAnsi="Arial" w:cs="Arial"/>
          <w:lang w:val="en-US"/>
        </w:rPr>
        <w:t xml:space="preserve"> (the main reason for this </w:t>
      </w:r>
      <w:r w:rsidR="00942D0E" w:rsidRPr="00627CDF">
        <w:rPr>
          <w:rFonts w:ascii="Arial" w:hAnsi="Arial" w:cs="Arial"/>
          <w:lang w:val="en-US"/>
        </w:rPr>
        <w:t xml:space="preserve">position is </w:t>
      </w:r>
      <w:r w:rsidR="00627CDF">
        <w:rPr>
          <w:rFonts w:ascii="Arial" w:hAnsi="Arial" w:cs="Arial"/>
          <w:lang w:val="en-US"/>
        </w:rPr>
        <w:t xml:space="preserve">due to budget commitments for 2020/21 as agreed by Council and is </w:t>
      </w:r>
      <w:r w:rsidR="00942D0E" w:rsidRPr="00627CDF">
        <w:rPr>
          <w:rFonts w:ascii="Arial" w:hAnsi="Arial" w:cs="Arial"/>
          <w:lang w:val="en-US"/>
        </w:rPr>
        <w:t>detailed</w:t>
      </w:r>
      <w:r w:rsidR="00627CDF">
        <w:rPr>
          <w:rFonts w:ascii="Arial" w:hAnsi="Arial" w:cs="Arial"/>
          <w:lang w:val="en-US"/>
        </w:rPr>
        <w:t xml:space="preserve"> later within the Management Commentary)</w:t>
      </w:r>
      <w:r w:rsidRPr="00627CDF">
        <w:rPr>
          <w:rFonts w:ascii="Arial" w:hAnsi="Arial" w:cs="Arial"/>
          <w:lang w:val="en-US"/>
        </w:rPr>
        <w:t>.The G</w:t>
      </w:r>
      <w:r w:rsidRPr="00617BAE">
        <w:rPr>
          <w:rFonts w:ascii="Arial" w:hAnsi="Arial" w:cs="Arial"/>
          <w:color w:val="000000"/>
          <w:lang w:val="en-US"/>
        </w:rPr>
        <w:t>eneral Fund’s budgetary performance for the year is summarised in the following table. The table also highlights how the in-year surplus affects the overall reserves balance held for future use.</w:t>
      </w:r>
    </w:p>
    <w:p w:rsidR="0021497B" w:rsidRPr="00617BAE" w:rsidRDefault="0021497B" w:rsidP="0021497B">
      <w:pPr>
        <w:spacing w:before="0" w:after="0"/>
        <w:rPr>
          <w:rFonts w:ascii="Arial" w:hAnsi="Arial" w:cs="Arial"/>
          <w:color w:val="000000"/>
          <w:lang w:val="en-US"/>
        </w:rPr>
      </w:pPr>
    </w:p>
    <w:p w:rsidR="0021497B" w:rsidRPr="00617BAE"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942D0E" w:rsidRDefault="00942D0E" w:rsidP="0021497B">
      <w:pPr>
        <w:tabs>
          <w:tab w:val="right" w:pos="8931"/>
        </w:tabs>
        <w:spacing w:before="0" w:after="0"/>
        <w:ind w:right="-188"/>
        <w:rPr>
          <w:rFonts w:ascii="Arial" w:hAnsi="Arial" w:cs="Arial"/>
          <w:b/>
          <w:sz w:val="24"/>
          <w:szCs w:val="24"/>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Pr="00617BAE" w:rsidRDefault="000C689B" w:rsidP="0021497B">
      <w:pPr>
        <w:spacing w:before="0" w:after="0"/>
        <w:rPr>
          <w:rFonts w:ascii="Arial" w:hAnsi="Arial" w:cs="Arial"/>
          <w:bCs/>
          <w:color w:val="000000"/>
        </w:rPr>
      </w:pPr>
      <w:r w:rsidRPr="000C689B">
        <w:rPr>
          <w:noProof/>
          <w:lang w:eastAsia="en-GB"/>
        </w:rPr>
        <w:drawing>
          <wp:inline distT="0" distB="0" distL="0" distR="0">
            <wp:extent cx="5731510" cy="3530107"/>
            <wp:effectExtent l="0" t="0" r="2540" b="0"/>
            <wp:docPr id="225" name="Picture 225" descr="budget versus actual spend during 2019/20 of council, resulting in remaining general services reserves" title="overview of core financial statements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530107"/>
                    </a:xfrm>
                    <a:prstGeom prst="rect">
                      <a:avLst/>
                    </a:prstGeom>
                    <a:noFill/>
                    <a:ln>
                      <a:noFill/>
                    </a:ln>
                  </pic:spPr>
                </pic:pic>
              </a:graphicData>
            </a:graphic>
          </wp:inline>
        </w:drawing>
      </w:r>
    </w:p>
    <w:p w:rsidR="0021497B" w:rsidRPr="00617BAE" w:rsidRDefault="0021497B" w:rsidP="0021497B">
      <w:pPr>
        <w:spacing w:before="0" w:after="0"/>
        <w:rPr>
          <w:rFonts w:ascii="Arial" w:hAnsi="Arial" w:cs="Arial"/>
          <w:bCs/>
          <w:color w:val="000000"/>
        </w:rPr>
      </w:pPr>
    </w:p>
    <w:p w:rsidR="0021497B" w:rsidRPr="00617BAE" w:rsidRDefault="0089181B" w:rsidP="0021497B">
      <w:pPr>
        <w:spacing w:before="0" w:after="0"/>
      </w:pPr>
      <w:r>
        <w:rPr>
          <w:rFonts w:ascii="Arial" w:hAnsi="Arial" w:cs="Arial"/>
          <w:bCs/>
          <w:color w:val="000000"/>
        </w:rPr>
        <w:t>The movement of £1.603</w:t>
      </w:r>
      <w:r w:rsidR="0021497B" w:rsidRPr="00617BAE">
        <w:rPr>
          <w:rFonts w:ascii="Arial" w:hAnsi="Arial" w:cs="Arial"/>
          <w:bCs/>
          <w:color w:val="000000"/>
        </w:rPr>
        <w:t>m noted above reflects the in-year movement in the General Fund balance (i.e. opening balance 1 April 2019 of £10.998m and the closing balanc</w:t>
      </w:r>
      <w:r>
        <w:rPr>
          <w:rFonts w:ascii="Arial" w:hAnsi="Arial" w:cs="Arial"/>
          <w:bCs/>
          <w:color w:val="000000"/>
        </w:rPr>
        <w:t>e as at 31 March 2020 of £9.395</w:t>
      </w:r>
      <w:r w:rsidR="0021497B" w:rsidRPr="00617BAE">
        <w:rPr>
          <w:rFonts w:ascii="Arial" w:hAnsi="Arial" w:cs="Arial"/>
          <w:bCs/>
          <w:color w:val="000000"/>
        </w:rPr>
        <w:t>m) and is further detailed within the Movement in Reserves Statement on page 37. The following table sets out a reconciliation of the deficit on the provision of services within the Comprehensive Income and Expenditur</w:t>
      </w:r>
      <w:r>
        <w:rPr>
          <w:rFonts w:ascii="Arial" w:hAnsi="Arial" w:cs="Arial"/>
          <w:bCs/>
          <w:color w:val="000000"/>
        </w:rPr>
        <w:t>e Statement (page 36) of £7.163</w:t>
      </w:r>
      <w:r w:rsidR="0021497B" w:rsidRPr="00617BAE">
        <w:rPr>
          <w:rFonts w:ascii="Arial" w:hAnsi="Arial" w:cs="Arial"/>
          <w:bCs/>
          <w:color w:val="000000"/>
        </w:rPr>
        <w:t>m to the rev</w:t>
      </w:r>
      <w:r>
        <w:rPr>
          <w:rFonts w:ascii="Arial" w:hAnsi="Arial" w:cs="Arial"/>
          <w:bCs/>
          <w:color w:val="000000"/>
        </w:rPr>
        <w:t>enue budgetary outturn of £0.586</w:t>
      </w:r>
      <w:r w:rsidR="0021497B" w:rsidRPr="00617BAE">
        <w:rPr>
          <w:rFonts w:ascii="Arial" w:hAnsi="Arial" w:cs="Arial"/>
          <w:bCs/>
          <w:color w:val="000000"/>
        </w:rPr>
        <w:t>m.</w:t>
      </w:r>
    </w:p>
    <w:p w:rsidR="0021497B" w:rsidRPr="00617BAE" w:rsidRDefault="0067574D" w:rsidP="0021497B">
      <w:pPr>
        <w:spacing w:before="0" w:after="0"/>
        <w:rPr>
          <w:rFonts w:ascii="Arial" w:hAnsi="Arial" w:cs="Arial"/>
          <w:bCs/>
          <w:color w:val="000000"/>
        </w:rPr>
      </w:pPr>
      <w:r w:rsidRPr="0067574D">
        <w:rPr>
          <w:noProof/>
          <w:lang w:eastAsia="en-GB"/>
        </w:rPr>
        <w:drawing>
          <wp:inline distT="0" distB="0" distL="0" distR="0">
            <wp:extent cx="5731510" cy="2969202"/>
            <wp:effectExtent l="0" t="0" r="2540" b="3175"/>
            <wp:docPr id="244" name="Picture 244" descr="reconciliation of the income and expenditure account to the general fund reserve by removal of statutory adjustments" title="reconciliation of the income and expenditure account to the general fund 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969202"/>
                    </a:xfrm>
                    <a:prstGeom prst="rect">
                      <a:avLst/>
                    </a:prstGeom>
                    <a:noFill/>
                    <a:ln>
                      <a:noFill/>
                    </a:ln>
                  </pic:spPr>
                </pic:pic>
              </a:graphicData>
            </a:graphic>
          </wp:inline>
        </w:drawing>
      </w:r>
    </w:p>
    <w:p w:rsidR="0021497B" w:rsidRPr="00617BAE" w:rsidRDefault="0021497B" w:rsidP="0021497B">
      <w:pPr>
        <w:tabs>
          <w:tab w:val="right" w:pos="8931"/>
        </w:tabs>
        <w:spacing w:before="0" w:after="0"/>
        <w:ind w:right="-188"/>
        <w:rPr>
          <w:rFonts w:ascii="Arial" w:hAnsi="Arial" w:cs="Arial"/>
          <w:b/>
          <w:sz w:val="24"/>
          <w:szCs w:val="24"/>
        </w:rPr>
      </w:pPr>
    </w:p>
    <w:p w:rsidR="0021497B" w:rsidRPr="00617BAE"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1935C2" w:rsidRDefault="001935C2" w:rsidP="0021497B">
      <w:pPr>
        <w:tabs>
          <w:tab w:val="right" w:pos="8931"/>
        </w:tabs>
        <w:spacing w:before="0" w:after="0"/>
        <w:ind w:right="-188"/>
        <w:rPr>
          <w:rFonts w:ascii="Arial" w:hAnsi="Arial" w:cs="Arial"/>
          <w:b/>
          <w:sz w:val="24"/>
          <w:szCs w:val="24"/>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Pr="00617BAE" w:rsidRDefault="0021497B" w:rsidP="0021497B">
      <w:pPr>
        <w:keepNext/>
        <w:spacing w:before="0" w:after="0"/>
        <w:outlineLvl w:val="1"/>
        <w:rPr>
          <w:rFonts w:ascii="Arial" w:hAnsi="Arial" w:cs="Arial"/>
          <w:b/>
          <w:bCs/>
          <w:color w:val="000000"/>
        </w:rPr>
      </w:pPr>
    </w:p>
    <w:p w:rsidR="0021497B" w:rsidRPr="00617BAE" w:rsidRDefault="00627CDF" w:rsidP="0021497B">
      <w:pPr>
        <w:keepNext/>
        <w:spacing w:before="0" w:after="0"/>
        <w:outlineLvl w:val="1"/>
        <w:rPr>
          <w:rFonts w:ascii="Arial" w:hAnsi="Arial" w:cs="Arial"/>
          <w:b/>
          <w:bCs/>
          <w:color w:val="000000"/>
        </w:rPr>
      </w:pPr>
      <w:r w:rsidRPr="00627CDF">
        <w:rPr>
          <w:noProof/>
          <w:lang w:eastAsia="en-GB"/>
        </w:rPr>
        <w:drawing>
          <wp:inline distT="0" distB="0" distL="0" distR="0" wp14:anchorId="325C1AEE" wp14:editId="1281DA48">
            <wp:extent cx="5731510" cy="1205369"/>
            <wp:effectExtent l="0" t="0" r="2540" b="0"/>
            <wp:docPr id="34" name="Picture 34" descr="council decisions during 2019/20 to earmark further reserves wirhin General Services" title="budget commitments in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1205369"/>
                    </a:xfrm>
                    <a:prstGeom prst="rect">
                      <a:avLst/>
                    </a:prstGeom>
                    <a:noFill/>
                    <a:ln>
                      <a:noFill/>
                    </a:ln>
                  </pic:spPr>
                </pic:pic>
              </a:graphicData>
            </a:graphic>
          </wp:inline>
        </w:drawing>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i/>
          <w:iCs/>
          <w:color w:val="000000"/>
          <w:lang w:val="en-US"/>
        </w:rPr>
      </w:pPr>
      <w:r w:rsidRPr="00617BAE">
        <w:rPr>
          <w:rFonts w:ascii="Arial" w:hAnsi="Arial" w:cs="Arial"/>
          <w:b/>
          <w:bCs/>
          <w:color w:val="000000"/>
        </w:rPr>
        <w:t>Housing Revenue Account (HRA)</w:t>
      </w:r>
    </w:p>
    <w:p w:rsidR="0021497B" w:rsidRPr="00617BAE" w:rsidRDefault="0021497B" w:rsidP="0021497B">
      <w:pPr>
        <w:spacing w:before="0" w:after="0"/>
        <w:rPr>
          <w:rFonts w:ascii="Arial" w:hAnsi="Arial" w:cs="Arial"/>
        </w:rPr>
      </w:pPr>
      <w:r w:rsidRPr="00617BAE">
        <w:rPr>
          <w:rFonts w:ascii="Arial" w:hAnsi="Arial" w:cs="Arial"/>
        </w:rPr>
        <w:t>By law the council maintains a separate account for the running and management of its housing stock and had 10,042 housing units at 31 March 2020 (10,397 31 March 2019), movement as follows:</w:t>
      </w:r>
    </w:p>
    <w:p w:rsidR="0021497B" w:rsidRPr="00617BAE" w:rsidRDefault="0021497B" w:rsidP="0021497B">
      <w:pPr>
        <w:spacing w:before="0" w:after="0"/>
        <w:jc w:val="both"/>
        <w:rPr>
          <w:rFonts w:ascii="Arial" w:hAnsi="Arial" w:cs="Arial"/>
        </w:rPr>
      </w:pPr>
    </w:p>
    <w:p w:rsidR="0021497B" w:rsidRPr="00617BAE" w:rsidRDefault="0021497B" w:rsidP="0021497B">
      <w:pPr>
        <w:spacing w:before="0" w:after="0"/>
        <w:jc w:val="both"/>
        <w:rPr>
          <w:rFonts w:ascii="Arial" w:hAnsi="Arial" w:cs="Arial"/>
        </w:rPr>
      </w:pPr>
      <w:r w:rsidRPr="00617BAE">
        <w:rPr>
          <w:noProof/>
          <w:lang w:eastAsia="en-GB"/>
        </w:rPr>
        <w:drawing>
          <wp:inline distT="0" distB="0" distL="0" distR="0" wp14:anchorId="1A9FAA04" wp14:editId="7A4A1538">
            <wp:extent cx="2181225" cy="1009650"/>
            <wp:effectExtent l="0" t="0" r="0" b="0"/>
            <wp:docPr id="246" name="Picture 246" descr="opening and closing house numbers and in year movements" title="reconciiation of hous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5035" cy="1011414"/>
                    </a:xfrm>
                    <a:prstGeom prst="rect">
                      <a:avLst/>
                    </a:prstGeom>
                    <a:noFill/>
                    <a:ln>
                      <a:noFill/>
                    </a:ln>
                  </pic:spPr>
                </pic:pic>
              </a:graphicData>
            </a:graphic>
          </wp:inline>
        </w:drawing>
      </w:r>
    </w:p>
    <w:p w:rsidR="0021497B" w:rsidRPr="00617BAE" w:rsidRDefault="0021497B" w:rsidP="0021497B">
      <w:pPr>
        <w:spacing w:before="0" w:after="0"/>
        <w:rPr>
          <w:rFonts w:ascii="Arial" w:hAnsi="Arial" w:cs="Arial"/>
          <w:color w:val="000000"/>
          <w:lang w:val="en-US"/>
        </w:rPr>
      </w:pPr>
      <w:r w:rsidRPr="00617BAE">
        <w:rPr>
          <w:rFonts w:ascii="Arial" w:hAnsi="Arial" w:cs="Arial"/>
        </w:rPr>
        <w:t>After the impact of earmarked balances, the account shows a</w:t>
      </w:r>
      <w:r w:rsidR="008537B9">
        <w:rPr>
          <w:rFonts w:ascii="Arial" w:hAnsi="Arial" w:cs="Arial"/>
        </w:rPr>
        <w:t xml:space="preserve"> surplus for the year of £1.173</w:t>
      </w:r>
      <w:r w:rsidRPr="00617BAE">
        <w:rPr>
          <w:rFonts w:ascii="Arial" w:hAnsi="Arial" w:cs="Arial"/>
        </w:rPr>
        <w:t>m. In line with the prudential reserves policy (2% of expenditure), the target reserves level for the HRA for 2019/20 is £0.883m. Taking account</w:t>
      </w:r>
      <w:r w:rsidR="008537B9">
        <w:rPr>
          <w:rFonts w:ascii="Arial" w:hAnsi="Arial" w:cs="Arial"/>
        </w:rPr>
        <w:t xml:space="preserve"> of the in-year surplus (£1.173</w:t>
      </w:r>
      <w:r w:rsidRPr="00617BAE">
        <w:rPr>
          <w:rFonts w:ascii="Arial" w:hAnsi="Arial" w:cs="Arial"/>
        </w:rPr>
        <w:t xml:space="preserve">m), the brought forward balance from the </w:t>
      </w:r>
      <w:r w:rsidRPr="00D3010B">
        <w:rPr>
          <w:rFonts w:ascii="Arial" w:hAnsi="Arial" w:cs="Arial"/>
        </w:rPr>
        <w:t>previous year £1.606m</w:t>
      </w:r>
      <w:r w:rsidR="00581177">
        <w:rPr>
          <w:rFonts w:ascii="Arial" w:hAnsi="Arial" w:cs="Arial"/>
        </w:rPr>
        <w:t xml:space="preserve"> and the in-year effec</w:t>
      </w:r>
      <w:r w:rsidR="00627CDF">
        <w:rPr>
          <w:rFonts w:ascii="Arial" w:hAnsi="Arial" w:cs="Arial"/>
        </w:rPr>
        <w:t>t of the Loans F</w:t>
      </w:r>
      <w:r w:rsidR="0089181B">
        <w:rPr>
          <w:rFonts w:ascii="Arial" w:hAnsi="Arial" w:cs="Arial"/>
        </w:rPr>
        <w:t>und Review (£1.145</w:t>
      </w:r>
      <w:r w:rsidR="00581177">
        <w:rPr>
          <w:rFonts w:ascii="Arial" w:hAnsi="Arial" w:cs="Arial"/>
        </w:rPr>
        <w:t>m)</w:t>
      </w:r>
      <w:r w:rsidRPr="00D3010B">
        <w:rPr>
          <w:rFonts w:ascii="Arial" w:hAnsi="Arial" w:cs="Arial"/>
        </w:rPr>
        <w:t>, the balance available to t</w:t>
      </w:r>
      <w:r w:rsidR="0089181B">
        <w:rPr>
          <w:rFonts w:ascii="Arial" w:hAnsi="Arial" w:cs="Arial"/>
        </w:rPr>
        <w:t>he HRA for future use is £3.924</w:t>
      </w:r>
      <w:r w:rsidRPr="00D3010B">
        <w:rPr>
          <w:rFonts w:ascii="Arial" w:hAnsi="Arial" w:cs="Arial"/>
        </w:rPr>
        <w:t xml:space="preserve">m, (earmarked reserves of </w:t>
      </w:r>
      <w:r w:rsidR="0089181B">
        <w:rPr>
          <w:rFonts w:ascii="Arial" w:hAnsi="Arial" w:cs="Arial"/>
        </w:rPr>
        <w:t>£3.041</w:t>
      </w:r>
      <w:r w:rsidRPr="00D3010B">
        <w:rPr>
          <w:rFonts w:ascii="Arial" w:hAnsi="Arial" w:cs="Arial"/>
        </w:rPr>
        <w:t>m and free</w:t>
      </w:r>
      <w:r w:rsidRPr="00617BAE">
        <w:rPr>
          <w:rFonts w:ascii="Arial" w:hAnsi="Arial" w:cs="Arial"/>
        </w:rPr>
        <w:t xml:space="preserve"> reserves of £0.883m)</w:t>
      </w:r>
      <w:r w:rsidRPr="00617BAE">
        <w:rPr>
          <w:rFonts w:ascii="Arial" w:hAnsi="Arial" w:cs="Arial"/>
          <w:lang w:val="en-US"/>
        </w:rPr>
        <w:t>.</w:t>
      </w:r>
      <w:r w:rsidRPr="00617BAE">
        <w:rPr>
          <w:rFonts w:ascii="Arial" w:hAnsi="Arial" w:cs="Arial"/>
        </w:rPr>
        <w:t xml:space="preserve"> </w:t>
      </w:r>
      <w:r w:rsidRPr="00617BAE">
        <w:rPr>
          <w:rFonts w:ascii="Arial" w:hAnsi="Arial" w:cs="Arial"/>
          <w:color w:val="000000"/>
          <w:lang w:val="en-US"/>
        </w:rPr>
        <w:t xml:space="preserve">The HRA’s budget performance for the year is summarised in the following table. The table also highlights how the in-year surplus affects the overall reserves balance held for future use. Further </w:t>
      </w:r>
      <w:r w:rsidR="00ED16F1">
        <w:rPr>
          <w:rFonts w:ascii="Arial" w:hAnsi="Arial" w:cs="Arial"/>
          <w:color w:val="000000"/>
          <w:lang w:val="en-US"/>
        </w:rPr>
        <w:t>information is noted on pages 87</w:t>
      </w:r>
      <w:r w:rsidRPr="00617BAE">
        <w:rPr>
          <w:rFonts w:ascii="Arial" w:hAnsi="Arial" w:cs="Arial"/>
          <w:color w:val="000000"/>
          <w:lang w:val="en-US"/>
        </w:rPr>
        <w:t xml:space="preserve"> to </w:t>
      </w:r>
      <w:r w:rsidR="00ED16F1">
        <w:rPr>
          <w:rFonts w:ascii="Arial" w:hAnsi="Arial" w:cs="Arial"/>
          <w:color w:val="000000"/>
          <w:lang w:val="en-US"/>
        </w:rPr>
        <w:t>8</w:t>
      </w:r>
      <w:r w:rsidRPr="00617BAE">
        <w:rPr>
          <w:rFonts w:ascii="Arial" w:hAnsi="Arial" w:cs="Arial"/>
          <w:color w:val="000000"/>
          <w:lang w:val="en-US"/>
        </w:rPr>
        <w:t>9.</w:t>
      </w:r>
    </w:p>
    <w:p w:rsidR="0021497B" w:rsidRDefault="00DE703B" w:rsidP="0021497B">
      <w:pPr>
        <w:spacing w:before="0" w:after="0"/>
        <w:jc w:val="both"/>
        <w:rPr>
          <w:rFonts w:ascii="Arial" w:hAnsi="Arial" w:cs="Arial"/>
          <w:b/>
        </w:rPr>
      </w:pPr>
      <w:r w:rsidRPr="00DE703B">
        <w:rPr>
          <w:noProof/>
          <w:lang w:eastAsia="en-GB"/>
        </w:rPr>
        <w:drawing>
          <wp:inline distT="0" distB="0" distL="0" distR="0">
            <wp:extent cx="5448300" cy="1952625"/>
            <wp:effectExtent l="0" t="0" r="0" b="9525"/>
            <wp:docPr id="136" name="Picture 136" descr="Housing Revenue Account budget versus actual 2019/20" title="Housing Revenue Account budge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8300" cy="1952625"/>
                    </a:xfrm>
                    <a:prstGeom prst="rect">
                      <a:avLst/>
                    </a:prstGeom>
                    <a:noFill/>
                    <a:ln>
                      <a:noFill/>
                    </a:ln>
                  </pic:spPr>
                </pic:pic>
              </a:graphicData>
            </a:graphic>
          </wp:inline>
        </w:drawing>
      </w:r>
    </w:p>
    <w:p w:rsidR="00581177" w:rsidRPr="00617BAE" w:rsidRDefault="00581177" w:rsidP="0021497B">
      <w:pPr>
        <w:spacing w:before="0" w:after="0"/>
        <w:jc w:val="both"/>
        <w:rPr>
          <w:rFonts w:ascii="Arial" w:hAnsi="Arial" w:cs="Arial"/>
          <w:b/>
        </w:rPr>
      </w:pPr>
    </w:p>
    <w:p w:rsidR="0021497B" w:rsidRPr="00617BAE" w:rsidRDefault="0021497B" w:rsidP="0021497B">
      <w:pPr>
        <w:spacing w:before="0" w:after="0"/>
        <w:jc w:val="both"/>
        <w:rPr>
          <w:rFonts w:ascii="Arial" w:hAnsi="Arial" w:cs="Arial"/>
          <w:b/>
          <w:sz w:val="10"/>
          <w:szCs w:val="10"/>
        </w:rPr>
      </w:pPr>
    </w:p>
    <w:p w:rsidR="0021497B" w:rsidRPr="00617BAE" w:rsidRDefault="0021497B" w:rsidP="008537B9">
      <w:pPr>
        <w:spacing w:before="0" w:after="0"/>
        <w:jc w:val="both"/>
        <w:rPr>
          <w:rFonts w:ascii="Arial" w:hAnsi="Arial" w:cs="Arial"/>
          <w:bCs/>
          <w:color w:val="000000"/>
        </w:rPr>
      </w:pPr>
      <w:r w:rsidRPr="00617BAE">
        <w:rPr>
          <w:rFonts w:ascii="Arial" w:hAnsi="Arial" w:cs="Arial"/>
          <w:bCs/>
          <w:color w:val="000000"/>
        </w:rPr>
        <w:t xml:space="preserve">The net budgetary position on the HRA </w:t>
      </w:r>
      <w:r w:rsidR="008537B9">
        <w:rPr>
          <w:rFonts w:ascii="Arial" w:hAnsi="Arial" w:cs="Arial"/>
          <w:bCs/>
          <w:color w:val="000000"/>
        </w:rPr>
        <w:t>Statement noted above of £1.173</w:t>
      </w:r>
      <w:r w:rsidRPr="00617BAE">
        <w:rPr>
          <w:rFonts w:ascii="Arial" w:hAnsi="Arial" w:cs="Arial"/>
          <w:bCs/>
          <w:color w:val="000000"/>
        </w:rPr>
        <w:t>m compares to the surplus noted within the HRA Income an</w:t>
      </w:r>
      <w:r w:rsidR="00ED16F1">
        <w:rPr>
          <w:rFonts w:ascii="Arial" w:hAnsi="Arial" w:cs="Arial"/>
          <w:bCs/>
          <w:color w:val="000000"/>
        </w:rPr>
        <w:t>d Expenditure Statement (page 88</w:t>
      </w:r>
      <w:r w:rsidRPr="00617BAE">
        <w:rPr>
          <w:rFonts w:ascii="Arial" w:hAnsi="Arial" w:cs="Arial"/>
          <w:bCs/>
          <w:color w:val="000000"/>
        </w:rPr>
        <w:t>) as detailed below:</w:t>
      </w: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Pr="00617BAE" w:rsidRDefault="0021497B" w:rsidP="0021497B">
      <w:pPr>
        <w:spacing w:before="0" w:after="0"/>
        <w:jc w:val="both"/>
        <w:rPr>
          <w:rFonts w:ascii="Arial" w:hAnsi="Arial" w:cs="Arial"/>
          <w:b/>
        </w:rPr>
      </w:pPr>
    </w:p>
    <w:p w:rsidR="0021497B" w:rsidRDefault="004A4644" w:rsidP="00581177">
      <w:pPr>
        <w:keepNext/>
        <w:spacing w:before="0" w:after="0"/>
        <w:outlineLvl w:val="1"/>
        <w:rPr>
          <w:rFonts w:ascii="Arial" w:hAnsi="Arial" w:cs="Arial"/>
          <w:bCs/>
          <w:color w:val="000000"/>
        </w:rPr>
      </w:pPr>
      <w:r w:rsidRPr="004A4644">
        <w:rPr>
          <w:noProof/>
          <w:lang w:eastAsia="en-GB"/>
        </w:rPr>
        <w:drawing>
          <wp:inline distT="0" distB="0" distL="0" distR="0">
            <wp:extent cx="4768850" cy="2546350"/>
            <wp:effectExtent l="0" t="0" r="0" b="0"/>
            <wp:docPr id="236" name="Picture 236" descr="reconciliation of the HRA income and expenditure statement to the HRA reserve by adjusting foir statutory adjustments" title="reconciliation of the HRA income and expenditure statement to the HRA 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8850" cy="2546350"/>
                    </a:xfrm>
                    <a:prstGeom prst="rect">
                      <a:avLst/>
                    </a:prstGeom>
                    <a:noFill/>
                    <a:ln>
                      <a:noFill/>
                    </a:ln>
                  </pic:spPr>
                </pic:pic>
              </a:graphicData>
            </a:graphic>
          </wp:inline>
        </w:drawing>
      </w:r>
    </w:p>
    <w:p w:rsidR="00A10C99" w:rsidRPr="00617BAE" w:rsidRDefault="00A10C99" w:rsidP="00581177">
      <w:pPr>
        <w:keepNext/>
        <w:spacing w:before="0" w:after="0"/>
        <w:outlineLvl w:val="1"/>
        <w:rPr>
          <w:rFonts w:ascii="Arial" w:hAnsi="Arial" w:cs="Arial"/>
          <w:bCs/>
          <w:color w:val="000000"/>
        </w:rPr>
      </w:pPr>
    </w:p>
    <w:p w:rsidR="0021497B" w:rsidRPr="00617BAE" w:rsidRDefault="0021497B" w:rsidP="0021497B">
      <w:pPr>
        <w:keepNext/>
        <w:spacing w:before="0" w:after="0"/>
        <w:outlineLvl w:val="1"/>
        <w:rPr>
          <w:rFonts w:ascii="Arial" w:hAnsi="Arial" w:cs="Arial"/>
          <w:bCs/>
          <w:color w:val="000000"/>
        </w:rPr>
      </w:pPr>
      <w:r w:rsidRPr="00617BAE">
        <w:rPr>
          <w:rFonts w:ascii="Arial" w:hAnsi="Arial" w:cs="Arial"/>
          <w:bCs/>
          <w:color w:val="000000"/>
        </w:rPr>
        <w:t>Spend relating to th</w:t>
      </w:r>
      <w:r w:rsidR="00A52E42">
        <w:rPr>
          <w:rFonts w:ascii="Arial" w:hAnsi="Arial" w:cs="Arial"/>
          <w:bCs/>
          <w:color w:val="000000"/>
        </w:rPr>
        <w:t>e net budget position of £1.173</w:t>
      </w:r>
      <w:r w:rsidRPr="00617BAE">
        <w:rPr>
          <w:rFonts w:ascii="Arial" w:hAnsi="Arial" w:cs="Arial"/>
          <w:bCs/>
          <w:color w:val="000000"/>
        </w:rPr>
        <w:t>m su</w:t>
      </w:r>
      <w:r w:rsidR="00627CDF">
        <w:rPr>
          <w:rFonts w:ascii="Arial" w:hAnsi="Arial" w:cs="Arial"/>
          <w:bCs/>
          <w:color w:val="000000"/>
        </w:rPr>
        <w:t>rplus is included within note 13</w:t>
      </w:r>
      <w:r w:rsidRPr="00617BAE">
        <w:rPr>
          <w:rFonts w:ascii="Arial" w:hAnsi="Arial" w:cs="Arial"/>
          <w:bCs/>
          <w:color w:val="000000"/>
        </w:rPr>
        <w:t xml:space="preserve"> (Expenditure </w:t>
      </w:r>
      <w:r w:rsidR="00627CDF">
        <w:rPr>
          <w:rFonts w:ascii="Arial" w:hAnsi="Arial" w:cs="Arial"/>
          <w:bCs/>
          <w:color w:val="000000"/>
        </w:rPr>
        <w:t>and Funding Analysis) on page 59</w:t>
      </w:r>
      <w:r w:rsidRPr="00617BAE">
        <w:rPr>
          <w:rFonts w:ascii="Arial" w:hAnsi="Arial" w:cs="Arial"/>
          <w:bCs/>
          <w:color w:val="000000"/>
        </w:rPr>
        <w:t>.</w:t>
      </w:r>
    </w:p>
    <w:p w:rsidR="0021497B" w:rsidRPr="00627CDF" w:rsidRDefault="0021497B" w:rsidP="0021497B">
      <w:pPr>
        <w:spacing w:before="0" w:after="0"/>
        <w:jc w:val="both"/>
        <w:rPr>
          <w:rFonts w:ascii="Arial" w:hAnsi="Arial" w:cs="Arial"/>
          <w:b/>
          <w:lang w:val="en-US"/>
        </w:rPr>
      </w:pPr>
    </w:p>
    <w:p w:rsidR="0021497B" w:rsidRPr="00617BAE" w:rsidRDefault="0021497B" w:rsidP="0021497B">
      <w:pPr>
        <w:spacing w:before="0" w:after="0"/>
        <w:jc w:val="both"/>
        <w:rPr>
          <w:rFonts w:ascii="Arial" w:hAnsi="Arial" w:cs="Arial"/>
          <w:b/>
          <w:lang w:val="en-US"/>
        </w:rPr>
      </w:pPr>
      <w:r w:rsidRPr="00617BAE">
        <w:rPr>
          <w:rFonts w:ascii="Arial" w:hAnsi="Arial" w:cs="Arial"/>
          <w:b/>
          <w:lang w:val="en-US"/>
        </w:rPr>
        <w:t>Reserves</w:t>
      </w:r>
    </w:p>
    <w:p w:rsidR="0021497B" w:rsidRPr="00617BAE" w:rsidRDefault="0021497B" w:rsidP="00ED16F1">
      <w:pPr>
        <w:spacing w:before="0" w:after="0"/>
        <w:jc w:val="both"/>
        <w:rPr>
          <w:rFonts w:ascii="Arial" w:hAnsi="Arial" w:cs="Arial"/>
          <w:lang w:val="en-US"/>
        </w:rPr>
      </w:pPr>
      <w:r w:rsidRPr="00617BAE">
        <w:rPr>
          <w:rFonts w:ascii="Arial" w:hAnsi="Arial" w:cs="Arial"/>
          <w:lang w:val="en-US"/>
        </w:rPr>
        <w:t>As at 31 March 2020, the usable reserves currently held by the council are noted below, with further information on the future use of such r</w:t>
      </w:r>
      <w:r w:rsidR="00ED16F1">
        <w:rPr>
          <w:rFonts w:ascii="Arial" w:hAnsi="Arial" w:cs="Arial"/>
          <w:lang w:val="en-US"/>
        </w:rPr>
        <w:t>eserves detailed within notes 28 and 29 on pages 81 to 85</w:t>
      </w:r>
      <w:r w:rsidRPr="00617BAE">
        <w:rPr>
          <w:rFonts w:ascii="Arial" w:hAnsi="Arial" w:cs="Arial"/>
          <w:lang w:val="en-US"/>
        </w:rPr>
        <w:t>.</w:t>
      </w:r>
    </w:p>
    <w:p w:rsidR="0021497B" w:rsidRPr="00617BAE" w:rsidRDefault="0021497B" w:rsidP="0021497B">
      <w:pPr>
        <w:tabs>
          <w:tab w:val="right" w:pos="8931"/>
        </w:tabs>
        <w:spacing w:before="0" w:after="0"/>
        <w:ind w:right="-188"/>
        <w:rPr>
          <w:rFonts w:ascii="Arial" w:hAnsi="Arial" w:cs="Arial"/>
          <w:b/>
          <w:sz w:val="24"/>
          <w:szCs w:val="24"/>
        </w:rPr>
      </w:pPr>
    </w:p>
    <w:p w:rsidR="0021497B" w:rsidRPr="00617BAE" w:rsidRDefault="00A10C99" w:rsidP="0021497B">
      <w:pPr>
        <w:tabs>
          <w:tab w:val="right" w:pos="8931"/>
        </w:tabs>
        <w:spacing w:before="0" w:after="0"/>
        <w:ind w:right="-188"/>
        <w:rPr>
          <w:rFonts w:ascii="Arial" w:hAnsi="Arial" w:cs="Arial"/>
          <w:b/>
          <w:sz w:val="24"/>
          <w:szCs w:val="24"/>
        </w:rPr>
      </w:pPr>
      <w:r w:rsidRPr="00A10C99">
        <w:rPr>
          <w:noProof/>
          <w:lang w:eastAsia="en-GB"/>
        </w:rPr>
        <w:drawing>
          <wp:inline distT="0" distB="0" distL="0" distR="0">
            <wp:extent cx="3495675" cy="2114550"/>
            <wp:effectExtent l="0" t="0" r="9525" b="0"/>
            <wp:docPr id="148" name="Picture 148" descr="summary of reserves held of the council as at 31 march 2020" title="reserv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95675" cy="2114550"/>
                    </a:xfrm>
                    <a:prstGeom prst="rect">
                      <a:avLst/>
                    </a:prstGeom>
                    <a:noFill/>
                    <a:ln>
                      <a:noFill/>
                    </a:ln>
                  </pic:spPr>
                </pic:pic>
              </a:graphicData>
            </a:graphic>
          </wp:inline>
        </w:drawing>
      </w:r>
    </w:p>
    <w:p w:rsidR="0021497B" w:rsidRPr="00617BAE" w:rsidRDefault="0021497B" w:rsidP="0021497B">
      <w:pPr>
        <w:tabs>
          <w:tab w:val="right" w:pos="8931"/>
        </w:tabs>
        <w:spacing w:before="0" w:after="0"/>
        <w:ind w:right="-188"/>
        <w:rPr>
          <w:rFonts w:ascii="Arial" w:hAnsi="Arial" w:cs="Arial"/>
          <w:b/>
          <w:sz w:val="10"/>
          <w:szCs w:val="10"/>
        </w:rPr>
      </w:pPr>
    </w:p>
    <w:p w:rsidR="0021497B" w:rsidRPr="00617BAE" w:rsidRDefault="0021497B" w:rsidP="0021497B">
      <w:pPr>
        <w:spacing w:before="0" w:after="0"/>
        <w:outlineLvl w:val="5"/>
        <w:rPr>
          <w:rFonts w:ascii="Arial" w:hAnsi="Arial" w:cs="Arial"/>
          <w:b/>
          <w:bCs/>
          <w:lang w:val="en-US"/>
        </w:rPr>
      </w:pPr>
      <w:r w:rsidRPr="00617BAE">
        <w:rPr>
          <w:rFonts w:ascii="Arial" w:hAnsi="Arial" w:cs="Arial"/>
          <w:b/>
          <w:bCs/>
          <w:lang w:val="en-US"/>
        </w:rPr>
        <w:t>Provisions</w:t>
      </w: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The council currently has one provision held on its Balance Sheet; with a total value of £0.232m which is held for potential equal pay claims being awarded </w:t>
      </w:r>
      <w:r w:rsidR="00627CDF">
        <w:rPr>
          <w:rFonts w:ascii="Arial" w:hAnsi="Arial" w:cs="Arial"/>
          <w:lang w:val="en-US"/>
        </w:rPr>
        <w:t>against the council (see Note 27 on page 81</w:t>
      </w:r>
      <w:r w:rsidRPr="00617BAE">
        <w:rPr>
          <w:rFonts w:ascii="Arial" w:hAnsi="Arial" w:cs="Arial"/>
          <w:lang w:val="en-US"/>
        </w:rPr>
        <w:t xml:space="preserve">). </w:t>
      </w:r>
    </w:p>
    <w:p w:rsidR="0021497B" w:rsidRPr="00617BAE" w:rsidRDefault="0021497B" w:rsidP="0021497B">
      <w:pPr>
        <w:spacing w:before="0" w:after="0"/>
        <w:jc w:val="both"/>
        <w:rPr>
          <w:rFonts w:ascii="Arial" w:hAnsi="Arial" w:cs="Arial"/>
          <w:lang w:val="en-US"/>
        </w:rPr>
      </w:pPr>
    </w:p>
    <w:p w:rsidR="0021497B" w:rsidRPr="00617BAE" w:rsidRDefault="0021497B" w:rsidP="0021497B">
      <w:pPr>
        <w:spacing w:before="0" w:after="0"/>
        <w:jc w:val="both"/>
        <w:rPr>
          <w:rFonts w:ascii="Arial" w:hAnsi="Arial" w:cs="Arial"/>
          <w:b/>
          <w:color w:val="FF0000"/>
          <w:lang w:val="en-US"/>
        </w:rPr>
      </w:pPr>
      <w:r w:rsidRPr="00617BAE">
        <w:rPr>
          <w:rFonts w:ascii="Arial" w:hAnsi="Arial" w:cs="Arial"/>
          <w:b/>
          <w:iCs/>
        </w:rPr>
        <w:t>Cash Flow Statement</w:t>
      </w:r>
    </w:p>
    <w:p w:rsidR="0021497B" w:rsidRPr="00617BAE" w:rsidRDefault="0021497B" w:rsidP="0021497B">
      <w:pPr>
        <w:spacing w:before="0" w:after="0"/>
        <w:rPr>
          <w:rFonts w:ascii="Arial" w:hAnsi="Arial" w:cs="Arial"/>
          <w:color w:val="000000"/>
          <w:lang w:val="en-US"/>
        </w:rPr>
      </w:pPr>
      <w:r w:rsidRPr="00617BAE">
        <w:rPr>
          <w:rFonts w:ascii="Arial" w:hAnsi="Arial" w:cs="Arial"/>
          <w:lang w:val="en-US"/>
        </w:rPr>
        <w:t xml:space="preserve">The council’s cash flow </w:t>
      </w:r>
      <w:r w:rsidR="00ED16F1">
        <w:rPr>
          <w:rFonts w:ascii="Arial" w:hAnsi="Arial" w:cs="Arial"/>
          <w:lang w:val="en-US"/>
        </w:rPr>
        <w:t>statement shows an in</w:t>
      </w:r>
      <w:r w:rsidRPr="00617BAE">
        <w:rPr>
          <w:rFonts w:ascii="Arial" w:hAnsi="Arial" w:cs="Arial"/>
          <w:lang w:val="en-US"/>
        </w:rPr>
        <w:t>crease of cash and cash equivalents of £4.</w:t>
      </w:r>
      <w:r w:rsidR="00627CDF">
        <w:rPr>
          <w:rFonts w:ascii="Arial" w:hAnsi="Arial" w:cs="Arial"/>
          <w:lang w:val="en-US"/>
        </w:rPr>
        <w:t>293m during 2019/20 (see page 39</w:t>
      </w:r>
      <w:r w:rsidRPr="00617BAE">
        <w:rPr>
          <w:rFonts w:ascii="Arial" w:hAnsi="Arial" w:cs="Arial"/>
          <w:lang w:val="en-US"/>
        </w:rPr>
        <w:t>) mainly as a result of borrowing for capital spend on non-current assets</w:t>
      </w:r>
      <w:r w:rsidRPr="00617BAE">
        <w:rPr>
          <w:rFonts w:ascii="Arial" w:hAnsi="Arial" w:cs="Arial"/>
          <w:color w:val="000000"/>
          <w:lang w:val="en-US"/>
        </w:rPr>
        <w:t>.</w:t>
      </w:r>
    </w:p>
    <w:p w:rsidR="0021497B" w:rsidRDefault="0021497B" w:rsidP="0021497B">
      <w:pPr>
        <w:spacing w:before="0" w:after="0"/>
        <w:jc w:val="both"/>
        <w:rPr>
          <w:rFonts w:ascii="Arial" w:hAnsi="Arial" w:cs="Arial"/>
          <w:color w:val="000000"/>
          <w:lang w:val="en-US"/>
        </w:rPr>
      </w:pPr>
    </w:p>
    <w:p w:rsidR="00894734" w:rsidRDefault="00894734" w:rsidP="0021497B">
      <w:pPr>
        <w:spacing w:before="0" w:after="0"/>
        <w:jc w:val="both"/>
        <w:rPr>
          <w:rFonts w:ascii="Arial" w:hAnsi="Arial" w:cs="Arial"/>
          <w:color w:val="000000"/>
          <w:lang w:val="en-US"/>
        </w:rPr>
      </w:pPr>
    </w:p>
    <w:p w:rsidR="00894734" w:rsidRDefault="00894734" w:rsidP="0021497B">
      <w:pPr>
        <w:spacing w:before="0" w:after="0"/>
        <w:jc w:val="both"/>
        <w:rPr>
          <w:rFonts w:ascii="Arial" w:hAnsi="Arial" w:cs="Arial"/>
          <w:color w:val="000000"/>
          <w:lang w:val="en-US"/>
        </w:rPr>
      </w:pPr>
    </w:p>
    <w:p w:rsidR="00894734" w:rsidRDefault="00894734" w:rsidP="0021497B">
      <w:pPr>
        <w:spacing w:before="0" w:after="0"/>
        <w:jc w:val="both"/>
        <w:rPr>
          <w:rFonts w:ascii="Arial" w:hAnsi="Arial" w:cs="Arial"/>
          <w:color w:val="000000"/>
          <w:lang w:val="en-US"/>
        </w:rPr>
      </w:pPr>
    </w:p>
    <w:p w:rsidR="00894734" w:rsidRDefault="00894734" w:rsidP="0021497B">
      <w:pPr>
        <w:spacing w:before="0" w:after="0"/>
        <w:jc w:val="both"/>
        <w:rPr>
          <w:rFonts w:ascii="Arial" w:hAnsi="Arial" w:cs="Arial"/>
          <w:color w:val="000000"/>
          <w:lang w:val="en-US"/>
        </w:rPr>
      </w:pPr>
    </w:p>
    <w:p w:rsidR="00894734" w:rsidRDefault="00894734" w:rsidP="0021497B">
      <w:pPr>
        <w:spacing w:before="0" w:after="0"/>
        <w:jc w:val="both"/>
        <w:rPr>
          <w:rFonts w:ascii="Arial" w:hAnsi="Arial" w:cs="Arial"/>
          <w:color w:val="000000"/>
          <w:lang w:val="en-US"/>
        </w:rPr>
      </w:pPr>
    </w:p>
    <w:p w:rsidR="00894734" w:rsidRPr="00617BAE" w:rsidRDefault="00894734" w:rsidP="0021497B">
      <w:pPr>
        <w:spacing w:before="0" w:after="0"/>
        <w:jc w:val="both"/>
        <w:rPr>
          <w:rFonts w:ascii="Arial" w:hAnsi="Arial" w:cs="Arial"/>
          <w:color w:val="000000"/>
          <w:lang w:val="en-US"/>
        </w:rPr>
      </w:pPr>
    </w:p>
    <w:p w:rsidR="00627CDF" w:rsidRDefault="00627CDF" w:rsidP="0021497B">
      <w:pPr>
        <w:tabs>
          <w:tab w:val="right" w:pos="8931"/>
        </w:tabs>
        <w:spacing w:before="0" w:after="0"/>
        <w:ind w:right="-188"/>
        <w:rPr>
          <w:rFonts w:ascii="Arial" w:hAnsi="Arial" w:cs="Arial"/>
          <w:b/>
          <w:bCs/>
          <w:color w:val="000000"/>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i/>
          <w:iCs/>
          <w:color w:val="000000"/>
          <w:lang w:val="en-US"/>
        </w:rPr>
      </w:pPr>
      <w:r w:rsidRPr="00617BAE">
        <w:rPr>
          <w:rFonts w:ascii="Arial" w:hAnsi="Arial" w:cs="Arial"/>
          <w:b/>
          <w:bCs/>
          <w:color w:val="000000"/>
        </w:rPr>
        <w:t>Trading Operations</w:t>
      </w:r>
    </w:p>
    <w:p w:rsidR="0021497B" w:rsidRPr="00617BAE" w:rsidRDefault="0021497B" w:rsidP="0021497B">
      <w:pPr>
        <w:keepNext/>
        <w:spacing w:before="0" w:after="0"/>
        <w:outlineLvl w:val="1"/>
        <w:rPr>
          <w:rFonts w:ascii="Arial" w:hAnsi="Arial" w:cs="Arial"/>
          <w:lang w:val="en-US"/>
        </w:rPr>
      </w:pPr>
      <w:r w:rsidRPr="00617BAE">
        <w:rPr>
          <w:rFonts w:ascii="Arial" w:hAnsi="Arial" w:cs="Arial"/>
          <w:lang w:val="en-US"/>
        </w:rPr>
        <w:t xml:space="preserve">The council maintains separate accounts for two statutory trading operations under the provisions of the Local Government Scotland Act 2003:  </w:t>
      </w:r>
    </w:p>
    <w:p w:rsidR="0021497B" w:rsidRPr="00617BAE" w:rsidRDefault="0021497B" w:rsidP="0021497B">
      <w:pPr>
        <w:keepNext/>
        <w:spacing w:before="0" w:after="0"/>
        <w:outlineLvl w:val="1"/>
        <w:rPr>
          <w:rFonts w:ascii="Arial" w:hAnsi="Arial" w:cs="Arial"/>
          <w:b/>
          <w:bCs/>
          <w:i/>
          <w:iCs/>
          <w:color w:val="000000"/>
          <w:lang w:val="en-US"/>
        </w:rPr>
      </w:pPr>
    </w:p>
    <w:p w:rsidR="0021497B" w:rsidRPr="00617BAE" w:rsidRDefault="0021497B" w:rsidP="0021497B">
      <w:pPr>
        <w:spacing w:after="0"/>
        <w:ind w:left="284" w:hanging="284"/>
        <w:rPr>
          <w:rFonts w:ascii="Arial" w:hAnsi="Arial" w:cs="Arial"/>
        </w:rPr>
      </w:pPr>
      <w:r w:rsidRPr="00617BAE">
        <w:rPr>
          <w:rFonts w:ascii="Arial" w:hAnsi="Arial" w:cs="Arial"/>
        </w:rPr>
        <w:t>1.</w:t>
      </w:r>
      <w:r w:rsidRPr="00617BAE">
        <w:rPr>
          <w:rFonts w:ascii="Arial" w:hAnsi="Arial" w:cs="Arial"/>
        </w:rPr>
        <w:tab/>
        <w:t xml:space="preserve">Housing Property Maintenance (HMTO); and </w:t>
      </w:r>
    </w:p>
    <w:p w:rsidR="0021497B" w:rsidRPr="00617BAE" w:rsidRDefault="0021497B" w:rsidP="0021497B">
      <w:pPr>
        <w:spacing w:after="0"/>
        <w:ind w:left="284" w:hanging="284"/>
        <w:rPr>
          <w:rFonts w:ascii="Arial" w:hAnsi="Arial" w:cs="Arial"/>
        </w:rPr>
      </w:pPr>
      <w:r w:rsidRPr="00617BAE">
        <w:rPr>
          <w:rFonts w:ascii="Arial" w:hAnsi="Arial" w:cs="Arial"/>
        </w:rPr>
        <w:t xml:space="preserve">2. </w:t>
      </w:r>
      <w:r w:rsidRPr="00617BAE">
        <w:rPr>
          <w:rFonts w:ascii="Arial" w:hAnsi="Arial" w:cs="Arial"/>
        </w:rPr>
        <w:tab/>
        <w:t xml:space="preserve">Grounds Maintenance and Street Cleaning. </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These operations returned a total surplus of £2.387m, though the HMTO produced a loss during 2019/20 (£0.014m) due to the in-year effect of charges for pensions through the International Financial Standard (IAS19). Both operations have achieved a break even performance over the last three years, consistent with thei</w:t>
      </w:r>
      <w:r w:rsidR="00627CDF">
        <w:rPr>
          <w:rFonts w:ascii="Arial" w:hAnsi="Arial" w:cs="Arial"/>
          <w:lang w:val="en-US"/>
        </w:rPr>
        <w:t>r statutory requirements. Note 5</w:t>
      </w:r>
      <w:r w:rsidRPr="00617BAE">
        <w:rPr>
          <w:rFonts w:ascii="Arial" w:hAnsi="Arial" w:cs="Arial"/>
          <w:lang w:val="en-US"/>
        </w:rPr>
        <w:t xml:space="preserve"> on pa</w:t>
      </w:r>
      <w:r w:rsidR="00627CDF">
        <w:rPr>
          <w:rFonts w:ascii="Arial" w:hAnsi="Arial" w:cs="Arial"/>
          <w:lang w:val="en-US"/>
        </w:rPr>
        <w:t>ge 48</w:t>
      </w:r>
      <w:r w:rsidR="00D376A2">
        <w:rPr>
          <w:rFonts w:ascii="Arial" w:hAnsi="Arial" w:cs="Arial"/>
          <w:lang w:val="en-US"/>
        </w:rPr>
        <w:t xml:space="preserve"> provides further detail.</w:t>
      </w:r>
    </w:p>
    <w:p w:rsidR="0021497B" w:rsidRPr="00617BAE" w:rsidRDefault="0021497B" w:rsidP="0021497B">
      <w:pPr>
        <w:spacing w:before="0" w:after="0"/>
        <w:rPr>
          <w:rFonts w:ascii="Arial" w:hAnsi="Arial" w:cs="Arial"/>
          <w:b/>
          <w:sz w:val="24"/>
          <w:szCs w:val="24"/>
        </w:rPr>
      </w:pPr>
    </w:p>
    <w:p w:rsidR="0021497B" w:rsidRPr="00617BAE" w:rsidRDefault="0021497B" w:rsidP="0021497B">
      <w:pPr>
        <w:spacing w:before="0" w:after="0"/>
        <w:outlineLvl w:val="5"/>
        <w:rPr>
          <w:rFonts w:ascii="Arial" w:hAnsi="Arial" w:cs="Arial"/>
          <w:b/>
          <w:bCs/>
          <w:color w:val="000000"/>
        </w:rPr>
      </w:pPr>
      <w:r w:rsidRPr="00617BAE">
        <w:rPr>
          <w:rFonts w:ascii="Arial" w:hAnsi="Arial" w:cs="Arial"/>
          <w:b/>
          <w:bCs/>
          <w:color w:val="000000"/>
        </w:rPr>
        <w:t>Balance Sheet</w:t>
      </w:r>
    </w:p>
    <w:p w:rsidR="0021497B" w:rsidRPr="00617BAE" w:rsidRDefault="0021497B" w:rsidP="0021497B">
      <w:pPr>
        <w:spacing w:before="0" w:after="0"/>
        <w:outlineLvl w:val="5"/>
        <w:rPr>
          <w:rFonts w:ascii="Arial" w:hAnsi="Arial" w:cs="Arial"/>
          <w:highlight w:val="yellow"/>
        </w:rPr>
      </w:pPr>
      <w:r w:rsidRPr="00617BAE">
        <w:rPr>
          <w:rFonts w:ascii="Arial" w:hAnsi="Arial" w:cs="Arial"/>
        </w:rPr>
        <w:t xml:space="preserve">The Balance Sheet on page 38 shows that during 2019/20, the net assets </w:t>
      </w:r>
      <w:r w:rsidR="00A10C99">
        <w:rPr>
          <w:rFonts w:ascii="Arial" w:hAnsi="Arial" w:cs="Arial"/>
        </w:rPr>
        <w:t>have increased by £93.934m (from £190.978m to £284.912</w:t>
      </w:r>
      <w:r w:rsidRPr="00617BAE">
        <w:rPr>
          <w:rFonts w:ascii="Arial" w:hAnsi="Arial" w:cs="Arial"/>
        </w:rPr>
        <w:t>m). T</w:t>
      </w:r>
      <w:r w:rsidRPr="00617BAE">
        <w:rPr>
          <w:rFonts w:ascii="Arial" w:hAnsi="Arial" w:cs="Arial"/>
          <w:bCs/>
          <w:color w:val="000000"/>
        </w:rPr>
        <w:t xml:space="preserve">he main movement is due to a decrease in </w:t>
      </w:r>
      <w:r w:rsidR="00A10C99">
        <w:rPr>
          <w:rFonts w:ascii="Arial" w:hAnsi="Arial" w:cs="Arial"/>
          <w:bCs/>
          <w:color w:val="000000"/>
        </w:rPr>
        <w:t>the pension liability of £71.138</w:t>
      </w:r>
      <w:r w:rsidRPr="00617BAE">
        <w:rPr>
          <w:rFonts w:ascii="Arial" w:hAnsi="Arial" w:cs="Arial"/>
          <w:bCs/>
          <w:color w:val="000000"/>
        </w:rPr>
        <w:t>m which is explained below. There has also been movement within non-current assets and borrowing, in line with the spend and funding agreed within the capital plan.</w:t>
      </w:r>
    </w:p>
    <w:p w:rsidR="0021497B" w:rsidRPr="00617BAE" w:rsidRDefault="0021497B" w:rsidP="0021497B">
      <w:pPr>
        <w:shd w:val="clear" w:color="auto" w:fill="FFFFFF"/>
        <w:spacing w:before="0" w:after="0"/>
        <w:rPr>
          <w:rFonts w:ascii="Arial" w:hAnsi="Arial" w:cs="Arial"/>
          <w:b/>
          <w:bCs/>
          <w:lang w:val="en-US"/>
        </w:rPr>
      </w:pPr>
    </w:p>
    <w:p w:rsidR="0021497B" w:rsidRPr="00617BAE" w:rsidRDefault="0021497B" w:rsidP="0021497B">
      <w:pPr>
        <w:spacing w:before="0" w:after="0"/>
        <w:outlineLvl w:val="5"/>
        <w:rPr>
          <w:rFonts w:ascii="Arial" w:hAnsi="Arial" w:cs="Arial"/>
          <w:b/>
          <w:bCs/>
          <w:color w:val="000000"/>
          <w:lang w:val="en-US"/>
        </w:rPr>
      </w:pPr>
      <w:r w:rsidRPr="00617BAE">
        <w:rPr>
          <w:rFonts w:ascii="Arial" w:hAnsi="Arial" w:cs="Arial"/>
          <w:b/>
          <w:bCs/>
          <w:color w:val="000000"/>
        </w:rPr>
        <w:t>Pension Assets and Liabilities</w:t>
      </w:r>
    </w:p>
    <w:p w:rsidR="0021497B" w:rsidRPr="00617BAE" w:rsidRDefault="00B05F54" w:rsidP="00A40F8F">
      <w:pPr>
        <w:spacing w:before="0" w:after="0"/>
        <w:rPr>
          <w:rFonts w:ascii="Arial" w:hAnsi="Arial" w:cs="Arial"/>
          <w:lang w:val="en-US"/>
        </w:rPr>
      </w:pPr>
      <w:r>
        <w:rPr>
          <w:rFonts w:ascii="Arial" w:hAnsi="Arial" w:cs="Arial"/>
          <w:lang w:val="en-US"/>
        </w:rPr>
        <w:t>The Balance Sheet on page 38</w:t>
      </w:r>
      <w:r w:rsidR="0021497B" w:rsidRPr="00617BAE">
        <w:rPr>
          <w:rFonts w:ascii="Arial" w:hAnsi="Arial" w:cs="Arial"/>
          <w:lang w:val="en-US"/>
        </w:rPr>
        <w:t xml:space="preserve"> shows an assessed pe</w:t>
      </w:r>
      <w:r w:rsidR="00A10C99">
        <w:rPr>
          <w:rFonts w:ascii="Arial" w:hAnsi="Arial" w:cs="Arial"/>
          <w:lang w:val="en-US"/>
        </w:rPr>
        <w:t>nsion fund liability of £134.077</w:t>
      </w:r>
      <w:r w:rsidR="0021497B" w:rsidRPr="00617BAE">
        <w:rPr>
          <w:rFonts w:ascii="Arial" w:hAnsi="Arial" w:cs="Arial"/>
          <w:lang w:val="en-US"/>
        </w:rPr>
        <w:t>m using a snapshot valuation at 31 March 2020. Further informatio</w:t>
      </w:r>
      <w:r w:rsidR="00627CDF">
        <w:rPr>
          <w:rFonts w:ascii="Arial" w:hAnsi="Arial" w:cs="Arial"/>
          <w:lang w:val="en-US"/>
        </w:rPr>
        <w:t>n on this is provided in note 11</w:t>
      </w:r>
      <w:r w:rsidR="0021497B" w:rsidRPr="00617BAE">
        <w:rPr>
          <w:rFonts w:ascii="Arial" w:hAnsi="Arial" w:cs="Arial"/>
          <w:lang w:val="en-US"/>
        </w:rPr>
        <w:t xml:space="preserve"> on pages 53 to 59. The valuation states that assets held at the valuation date were sufficient to cover 85</w:t>
      </w:r>
      <w:r w:rsidR="006506D2">
        <w:rPr>
          <w:rFonts w:ascii="Arial" w:hAnsi="Arial" w:cs="Arial"/>
          <w:lang w:val="en-US"/>
        </w:rPr>
        <w:t>.6</w:t>
      </w:r>
      <w:r w:rsidR="0021497B" w:rsidRPr="00617BAE">
        <w:rPr>
          <w:rFonts w:ascii="Arial" w:hAnsi="Arial" w:cs="Arial"/>
          <w:lang w:val="en-US"/>
        </w:rPr>
        <w:t>% of accrued liabilities (81.07% in 2018/19). The pension scheme li</w:t>
      </w:r>
      <w:r w:rsidR="0067574D">
        <w:rPr>
          <w:rFonts w:ascii="Arial" w:hAnsi="Arial" w:cs="Arial"/>
          <w:lang w:val="en-US"/>
        </w:rPr>
        <w:t>ability has decreased by £71.138</w:t>
      </w:r>
      <w:r w:rsidR="0021497B" w:rsidRPr="00617BAE">
        <w:rPr>
          <w:rFonts w:ascii="Arial" w:hAnsi="Arial" w:cs="Arial"/>
          <w:lang w:val="en-US"/>
        </w:rPr>
        <w:t>m as advised by the appointed actuaries, and this is mainly as a result of the downwards movement in the assumptions of future pension, and salary increases and discount rate. The appointed actuaries remain of the view that the asset holdings of Strathclyde Pension Scheme and the contributions from employees and employers together with planned recent increases in employers’ contributions provide sufficient security and future income to meet future pension liabilities.</w:t>
      </w:r>
    </w:p>
    <w:p w:rsidR="0021497B" w:rsidRPr="00617BAE" w:rsidRDefault="0021497B" w:rsidP="0021497B">
      <w:pPr>
        <w:shd w:val="clear" w:color="auto" w:fill="FFFFFF"/>
        <w:rPr>
          <w:rFonts w:ascii="Arial" w:hAnsi="Arial" w:cs="Arial"/>
          <w:b/>
          <w:bCs/>
          <w:lang w:val="en-US"/>
        </w:rPr>
      </w:pPr>
    </w:p>
    <w:p w:rsidR="0021497B" w:rsidRPr="00617BAE" w:rsidRDefault="0021497B" w:rsidP="0021497B">
      <w:pPr>
        <w:shd w:val="clear" w:color="auto" w:fill="FFFFFF"/>
        <w:rPr>
          <w:rFonts w:ascii="Arial" w:hAnsi="Arial" w:cs="Arial"/>
          <w:lang w:val="en-US"/>
        </w:rPr>
      </w:pPr>
      <w:r w:rsidRPr="00617BAE">
        <w:rPr>
          <w:rFonts w:ascii="Arial" w:hAnsi="Arial" w:cs="Arial"/>
          <w:b/>
          <w:bCs/>
          <w:lang w:val="en-US"/>
        </w:rPr>
        <w:t>Non-Current Assets</w:t>
      </w:r>
    </w:p>
    <w:p w:rsidR="0021497B" w:rsidRPr="00617BAE" w:rsidRDefault="0021497B" w:rsidP="0021497B">
      <w:pPr>
        <w:rPr>
          <w:rFonts w:ascii="Arial" w:hAnsi="Arial" w:cs="Arial"/>
        </w:rPr>
      </w:pPr>
      <w:r w:rsidRPr="00617BAE">
        <w:rPr>
          <w:rFonts w:ascii="Arial" w:hAnsi="Arial" w:cs="Arial"/>
        </w:rPr>
        <w:t>The council owns a number of different types of assets, as listed in the Balance Sheet. These assets are used for ongoing and future service delivery provided by the council to its citizens. The remit for the council’s Strategic Asset Management Group is to ensure the most efficient use of these assets in pursuit of the council’s strategic priorities. The Group manages this through ongoing review of the overarching Strategic Asset Management Plan, which is then supported by a number of individual Asset Management Plans (including properties, infrastructure, vehicles and equipment, etc.). Note 1 (Assumptions Made About the Future and Other Major Sources of Estimation Uncertainty) provides further information regarding what is considered the effect of covid-19 on the valuation of council assets and the assumptions that are contained within these Financial Statemen</w:t>
      </w:r>
      <w:r w:rsidR="00A40F8F">
        <w:rPr>
          <w:rFonts w:ascii="Arial" w:hAnsi="Arial" w:cs="Arial"/>
        </w:rPr>
        <w:t>ts regarding this.</w:t>
      </w:r>
    </w:p>
    <w:p w:rsidR="0021497B" w:rsidRPr="00617BAE" w:rsidRDefault="0021497B" w:rsidP="0021497B">
      <w:pPr>
        <w:rPr>
          <w:rFonts w:ascii="Arial" w:hAnsi="Arial" w:cs="Arial"/>
        </w:rPr>
      </w:pPr>
    </w:p>
    <w:p w:rsidR="0021497B" w:rsidRPr="00617BAE" w:rsidRDefault="0021497B" w:rsidP="0021497B">
      <w:pPr>
        <w:rPr>
          <w:rFonts w:ascii="Arial" w:hAnsi="Arial" w:cs="Arial"/>
        </w:rPr>
      </w:pPr>
      <w:r w:rsidRPr="00617BAE">
        <w:rPr>
          <w:rFonts w:ascii="Arial" w:hAnsi="Arial" w:cs="Arial"/>
        </w:rPr>
        <w:t>The council requires to assess the value of assets held based on current market conditions, while in the current year particular assets have increased in value by £20.899m. At the same time, impairment and downward revaluations have reduced the value of other asse</w:t>
      </w:r>
      <w:r w:rsidR="00A10C99">
        <w:rPr>
          <w:rFonts w:ascii="Arial" w:hAnsi="Arial" w:cs="Arial"/>
        </w:rPr>
        <w:t>ts held by the council by £9.385</w:t>
      </w:r>
      <w:r w:rsidRPr="00617BAE">
        <w:rPr>
          <w:rFonts w:ascii="Arial" w:hAnsi="Arial" w:cs="Arial"/>
        </w:rPr>
        <w:t xml:space="preserve">m, resulting in a </w:t>
      </w:r>
      <w:r w:rsidR="00A10C99">
        <w:rPr>
          <w:rFonts w:ascii="Arial" w:hAnsi="Arial" w:cs="Arial"/>
        </w:rPr>
        <w:t>net increase in value of £11.514</w:t>
      </w:r>
      <w:r w:rsidRPr="00617BAE">
        <w:rPr>
          <w:rFonts w:ascii="Arial" w:hAnsi="Arial" w:cs="Arial"/>
        </w:rPr>
        <w:t>m. These movements adjust either the revaluation reserve in the Balance Sheet or are included within the Net Cost of Service within the Income and Expenditure Statement, depending on the history of the asset.</w:t>
      </w:r>
    </w:p>
    <w:p w:rsidR="0021497B" w:rsidRPr="00617BAE" w:rsidRDefault="0021497B" w:rsidP="0021497B">
      <w:pPr>
        <w:rPr>
          <w:rFonts w:ascii="Arial" w:hAnsi="Arial" w:cs="Arial"/>
        </w:rPr>
      </w:pPr>
    </w:p>
    <w:p w:rsidR="0021497B" w:rsidRDefault="0021497B" w:rsidP="0021497B">
      <w:pPr>
        <w:keepNext/>
        <w:rPr>
          <w:rFonts w:ascii="Arial" w:hAnsi="Arial" w:cs="Arial"/>
          <w:b/>
          <w:bCs/>
        </w:rPr>
      </w:pPr>
    </w:p>
    <w:p w:rsidR="0021497B" w:rsidRDefault="0021497B" w:rsidP="0021497B">
      <w:pPr>
        <w:keepNext/>
        <w:rPr>
          <w:rFonts w:ascii="Arial" w:hAnsi="Arial" w:cs="Arial"/>
          <w:b/>
          <w:bCs/>
        </w:rPr>
      </w:pPr>
    </w:p>
    <w:p w:rsidR="0067574D" w:rsidRDefault="0067574D" w:rsidP="0021497B">
      <w:pPr>
        <w:keepNext/>
        <w:rPr>
          <w:rFonts w:ascii="Arial" w:hAnsi="Arial" w:cs="Arial"/>
          <w:b/>
          <w:bCs/>
        </w:rPr>
      </w:pPr>
    </w:p>
    <w:p w:rsidR="0021497B"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21497B" w:rsidRDefault="0021497B" w:rsidP="0021497B">
      <w:pPr>
        <w:tabs>
          <w:tab w:val="right" w:pos="8931"/>
        </w:tabs>
        <w:spacing w:before="0" w:after="0"/>
        <w:ind w:right="-188"/>
        <w:rPr>
          <w:rFonts w:ascii="Arial" w:hAnsi="Arial" w:cs="Arial"/>
          <w:b/>
          <w:sz w:val="24"/>
          <w:szCs w:val="24"/>
        </w:rPr>
      </w:pPr>
    </w:p>
    <w:p w:rsidR="0021497B" w:rsidRPr="00617BAE" w:rsidRDefault="0021497B" w:rsidP="0021497B">
      <w:pPr>
        <w:tabs>
          <w:tab w:val="right" w:pos="8931"/>
        </w:tabs>
        <w:spacing w:before="0" w:after="0"/>
        <w:ind w:right="-188"/>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keepNext/>
        <w:spacing w:before="0" w:after="0"/>
        <w:outlineLvl w:val="1"/>
        <w:rPr>
          <w:rFonts w:ascii="Arial" w:hAnsi="Arial" w:cs="Arial"/>
          <w:b/>
          <w:bCs/>
          <w:color w:val="000000"/>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Default="0021497B" w:rsidP="0021497B">
      <w:pPr>
        <w:keepNext/>
        <w:rPr>
          <w:rFonts w:ascii="Arial" w:hAnsi="Arial" w:cs="Arial"/>
          <w:b/>
          <w:bCs/>
        </w:rPr>
      </w:pPr>
    </w:p>
    <w:p w:rsidR="0021497B" w:rsidRPr="00617BAE" w:rsidRDefault="0021497B" w:rsidP="0021497B">
      <w:pPr>
        <w:keepNext/>
        <w:rPr>
          <w:rFonts w:ascii="Arial" w:hAnsi="Arial" w:cs="Arial"/>
          <w:b/>
          <w:bCs/>
          <w:i/>
          <w:iCs/>
          <w:lang w:val="en-US"/>
        </w:rPr>
      </w:pPr>
      <w:r w:rsidRPr="00617BAE">
        <w:rPr>
          <w:rFonts w:ascii="Arial" w:hAnsi="Arial" w:cs="Arial"/>
          <w:b/>
          <w:bCs/>
        </w:rPr>
        <w:t>Borrowing</w:t>
      </w:r>
    </w:p>
    <w:p w:rsidR="0021497B" w:rsidRPr="00617BAE" w:rsidRDefault="0021497B" w:rsidP="00627CDF">
      <w:pPr>
        <w:rPr>
          <w:rFonts w:ascii="Arial" w:hAnsi="Arial" w:cs="Arial"/>
          <w:lang w:val="en-US"/>
        </w:rPr>
      </w:pPr>
      <w:r w:rsidRPr="00617BAE">
        <w:rPr>
          <w:rFonts w:ascii="Arial" w:hAnsi="Arial" w:cs="Arial"/>
          <w:lang w:val="en-US"/>
        </w:rPr>
        <w:t>The council’s Treasury Strategy for 2019/20 was agreed by the Council on 27 March 2019. The council raised new long term loans of £50.868m (2018/19 £0.331m) and short term loans of £218.744m (2018/19 £201.006m) and repaid naturally maturing debt of £201.304m (2018/19 £185.258m). The total outstanding long term debt (excluding PPP debt) as at 31 March 2020 was £276.905m (2</w:t>
      </w:r>
      <w:r w:rsidR="00627CDF">
        <w:rPr>
          <w:rFonts w:ascii="Arial" w:hAnsi="Arial" w:cs="Arial"/>
          <w:lang w:val="en-US"/>
        </w:rPr>
        <w:t>018/19 £231.084m) including £115.241</w:t>
      </w:r>
      <w:r w:rsidRPr="00617BAE">
        <w:rPr>
          <w:rFonts w:ascii="Arial" w:hAnsi="Arial" w:cs="Arial"/>
          <w:lang w:val="en-US"/>
        </w:rPr>
        <w:t xml:space="preserve">m (2018/19 £102.024m) for the council’s housing </w:t>
      </w:r>
      <w:r w:rsidR="00627CDF">
        <w:rPr>
          <w:rFonts w:ascii="Arial" w:hAnsi="Arial" w:cs="Arial"/>
          <w:lang w:val="en-US"/>
        </w:rPr>
        <w:t xml:space="preserve"> </w:t>
      </w:r>
      <w:r w:rsidRPr="00617BAE">
        <w:rPr>
          <w:rFonts w:ascii="Arial" w:hAnsi="Arial" w:cs="Arial"/>
          <w:lang w:val="en-US"/>
        </w:rPr>
        <w:t>stock.  The total outstanding short term debt was £237.091m (2</w:t>
      </w:r>
      <w:r w:rsidR="00627CDF">
        <w:rPr>
          <w:rFonts w:ascii="Arial" w:hAnsi="Arial" w:cs="Arial"/>
          <w:lang w:val="en-US"/>
        </w:rPr>
        <w:t>018/19 £214.371m), including £98.671</w:t>
      </w:r>
      <w:r w:rsidRPr="00617BAE">
        <w:rPr>
          <w:rFonts w:ascii="Arial" w:hAnsi="Arial" w:cs="Arial"/>
          <w:lang w:val="en-US"/>
        </w:rPr>
        <w:t>m (2018/19 £94.645m) for the housing stock. The interest and expenses rate charged by the council’s loans fund was 2.58% (2.78% in 2018/19). Due to the current interest rates, the Council has followed a strategy to maximise the benefit in short term borrowing to fund capital expenditure.</w:t>
      </w:r>
    </w:p>
    <w:p w:rsidR="0021497B" w:rsidRPr="00617BAE" w:rsidRDefault="0021497B" w:rsidP="0021497B">
      <w:pPr>
        <w:rPr>
          <w:rFonts w:ascii="Arial" w:hAnsi="Arial" w:cs="Arial"/>
          <w:lang w:val="en-US"/>
        </w:rPr>
      </w:pPr>
    </w:p>
    <w:p w:rsidR="0021497B" w:rsidRPr="00617BAE" w:rsidRDefault="0021497B" w:rsidP="0021497B">
      <w:pPr>
        <w:rPr>
          <w:rFonts w:ascii="Arial" w:hAnsi="Arial" w:cs="Arial"/>
          <w:lang w:val="en-US"/>
        </w:rPr>
      </w:pPr>
      <w:r w:rsidRPr="00617BAE">
        <w:rPr>
          <w:rFonts w:ascii="Arial" w:hAnsi="Arial" w:cs="Arial"/>
          <w:lang w:val="en-US"/>
        </w:rPr>
        <w:t>The HRA 5 year capital plan was agreed on 14 February 2019, the General Fund 10 year capital plan and the council’s Treasury Management Strategy 2019/20 were agreed by Council on 27 March 2019. These agreed plans highlight the</w:t>
      </w:r>
      <w:r w:rsidR="00A40F8F">
        <w:rPr>
          <w:rFonts w:ascii="Arial" w:hAnsi="Arial" w:cs="Arial"/>
          <w:lang w:val="en-US"/>
        </w:rPr>
        <w:t xml:space="preserve"> projected capital spend and it</w:t>
      </w:r>
      <w:r w:rsidRPr="00617BAE">
        <w:rPr>
          <w:rFonts w:ascii="Arial" w:hAnsi="Arial" w:cs="Arial"/>
          <w:lang w:val="en-US"/>
        </w:rPr>
        <w:t>s required resourcing. Also detailed is the impact on the council’s ongoing revenue finance and borrowing levels which the council has committed to, through its Capital Plans. The council’s revenue budget is agreed following the consideration and approval of the Capital Plan.</w:t>
      </w:r>
    </w:p>
    <w:p w:rsidR="0021497B" w:rsidRPr="00617BAE" w:rsidRDefault="0021497B" w:rsidP="0021497B">
      <w:pPr>
        <w:rPr>
          <w:rFonts w:ascii="Arial" w:hAnsi="Arial" w:cs="Arial"/>
          <w:lang w:val="en-US"/>
        </w:rPr>
      </w:pPr>
    </w:p>
    <w:p w:rsidR="0021497B" w:rsidRPr="00617BAE" w:rsidRDefault="0021497B" w:rsidP="0021497B">
      <w:pPr>
        <w:spacing w:before="0" w:after="0"/>
        <w:outlineLvl w:val="5"/>
        <w:rPr>
          <w:rFonts w:ascii="Arial" w:hAnsi="Arial" w:cs="Arial"/>
          <w:b/>
          <w:bCs/>
          <w:color w:val="000000"/>
        </w:rPr>
      </w:pPr>
      <w:r w:rsidRPr="00617BAE">
        <w:rPr>
          <w:rFonts w:ascii="Arial" w:hAnsi="Arial" w:cs="Arial"/>
          <w:b/>
          <w:bCs/>
          <w:color w:val="000000"/>
        </w:rPr>
        <w:t>Capital Finance</w:t>
      </w:r>
    </w:p>
    <w:p w:rsidR="0021497B" w:rsidRPr="00617BAE" w:rsidRDefault="0021497B" w:rsidP="0021497B">
      <w:pPr>
        <w:rPr>
          <w:rFonts w:ascii="Arial" w:hAnsi="Arial" w:cs="Arial"/>
        </w:rPr>
      </w:pPr>
      <w:r w:rsidRPr="00617BAE">
        <w:rPr>
          <w:rFonts w:ascii="Arial" w:hAnsi="Arial" w:cs="Arial"/>
        </w:rPr>
        <w:t xml:space="preserve">The council is able to regulate its own capital spending limits within the framework recommended by the Chartered Institute of Public Finance and Accountancy and endorsed by the Scottish Government. The necessary treasury indicators and safeguards have been approved by Council and have resulted in increases to both the General Services and Housing capital programmes for 2019/20 and beyond. </w:t>
      </w:r>
      <w:r w:rsidR="00DB69C3">
        <w:rPr>
          <w:rFonts w:ascii="Arial" w:hAnsi="Arial" w:cs="Arial"/>
        </w:rPr>
        <w:t xml:space="preserve"> The Council’s </w:t>
      </w:r>
      <w:hyperlink r:id="rId29" w:history="1">
        <w:r w:rsidR="00DB69C3" w:rsidRPr="00B234E4">
          <w:rPr>
            <w:rStyle w:val="Hyperlink"/>
            <w:rFonts w:ascii="Arial" w:hAnsi="Arial" w:cs="Arial"/>
          </w:rPr>
          <w:t>Treasury Management Strategy</w:t>
        </w:r>
      </w:hyperlink>
      <w:r w:rsidR="00DB69C3">
        <w:rPr>
          <w:rFonts w:ascii="Arial" w:hAnsi="Arial" w:cs="Arial"/>
        </w:rPr>
        <w:t xml:space="preserve"> and </w:t>
      </w:r>
      <w:hyperlink r:id="rId30" w:history="1">
        <w:r w:rsidR="00DB69C3" w:rsidRPr="00B234E4">
          <w:rPr>
            <w:rStyle w:val="Hyperlink"/>
            <w:rFonts w:ascii="Arial" w:hAnsi="Arial" w:cs="Arial"/>
          </w:rPr>
          <w:t>Capital Strategy</w:t>
        </w:r>
      </w:hyperlink>
      <w:r w:rsidR="00DB69C3">
        <w:rPr>
          <w:rFonts w:ascii="Arial" w:hAnsi="Arial" w:cs="Arial"/>
        </w:rPr>
        <w:t xml:space="preserve"> are approved at Council as part of the budget setting package. </w:t>
      </w:r>
      <w:r w:rsidRPr="00617BAE">
        <w:rPr>
          <w:rFonts w:ascii="Arial" w:hAnsi="Arial" w:cs="Arial"/>
        </w:rPr>
        <w:t>Details of the capital expenditure an</w:t>
      </w:r>
      <w:r w:rsidR="008240EA">
        <w:rPr>
          <w:rFonts w:ascii="Arial" w:hAnsi="Arial" w:cs="Arial"/>
        </w:rPr>
        <w:t>d financing are shown in note 18 on page 69</w:t>
      </w:r>
      <w:r w:rsidRPr="00617BAE">
        <w:rPr>
          <w:rFonts w:ascii="Arial" w:hAnsi="Arial" w:cs="Arial"/>
        </w:rPr>
        <w:t>. Total gross capital expenditure amounted to £108.229m the split between General Services and HRA is noted in the table below. The main capital projects progressed during 2019/20 were:</w:t>
      </w:r>
    </w:p>
    <w:p w:rsidR="0021497B" w:rsidRPr="00617BAE" w:rsidRDefault="0021497B" w:rsidP="0021497B">
      <w:pPr>
        <w:spacing w:before="0" w:after="0"/>
        <w:jc w:val="both"/>
        <w:rPr>
          <w:rFonts w:ascii="Arial" w:hAnsi="Arial" w:cs="Arial"/>
        </w:rPr>
      </w:pPr>
    </w:p>
    <w:tbl>
      <w:tblPr>
        <w:tblW w:w="9072" w:type="dxa"/>
        <w:tblInd w:w="108" w:type="dxa"/>
        <w:tblLook w:val="04A0" w:firstRow="1" w:lastRow="0" w:firstColumn="1" w:lastColumn="0" w:noHBand="0" w:noVBand="1"/>
      </w:tblPr>
      <w:tblGrid>
        <w:gridCol w:w="4111"/>
        <w:gridCol w:w="4961"/>
      </w:tblGrid>
      <w:tr w:rsidR="0021497B" w:rsidRPr="00617BAE" w:rsidTr="00725FBA">
        <w:tc>
          <w:tcPr>
            <w:tcW w:w="4111" w:type="dxa"/>
            <w:shd w:val="clear" w:color="auto" w:fill="auto"/>
          </w:tcPr>
          <w:p w:rsidR="0021497B" w:rsidRPr="00617BAE" w:rsidRDefault="0021497B" w:rsidP="00725FBA">
            <w:pPr>
              <w:spacing w:before="0" w:after="0"/>
              <w:jc w:val="both"/>
              <w:rPr>
                <w:rFonts w:ascii="Arial" w:hAnsi="Arial" w:cs="Arial"/>
                <w:b/>
              </w:rPr>
            </w:pPr>
            <w:r w:rsidRPr="00617BAE">
              <w:rPr>
                <w:rFonts w:ascii="Arial" w:hAnsi="Arial" w:cs="Arial"/>
                <w:b/>
              </w:rPr>
              <w:t>General Services</w:t>
            </w:r>
          </w:p>
        </w:tc>
        <w:tc>
          <w:tcPr>
            <w:tcW w:w="4961" w:type="dxa"/>
            <w:shd w:val="clear" w:color="auto" w:fill="auto"/>
          </w:tcPr>
          <w:p w:rsidR="0021497B" w:rsidRPr="00617BAE" w:rsidRDefault="0021497B" w:rsidP="00725FBA">
            <w:pPr>
              <w:spacing w:before="0" w:after="0"/>
              <w:jc w:val="both"/>
              <w:rPr>
                <w:rFonts w:ascii="Arial" w:hAnsi="Arial" w:cs="Arial"/>
                <w:b/>
              </w:rPr>
            </w:pPr>
            <w:r w:rsidRPr="00617BAE">
              <w:rPr>
                <w:rFonts w:ascii="Arial" w:hAnsi="Arial" w:cs="Arial"/>
                <w:b/>
              </w:rPr>
              <w:t>HRA</w:t>
            </w:r>
          </w:p>
        </w:tc>
      </w:tr>
      <w:tr w:rsidR="0021497B" w:rsidRPr="00617BAE" w:rsidTr="00725FBA">
        <w:tblPrEx>
          <w:tblCellMar>
            <w:left w:w="0" w:type="dxa"/>
            <w:right w:w="0" w:type="dxa"/>
          </w:tblCellMar>
        </w:tblPrEx>
        <w:tc>
          <w:tcPr>
            <w:tcW w:w="4111" w:type="dxa"/>
            <w:tcMar>
              <w:top w:w="0" w:type="dxa"/>
              <w:left w:w="108" w:type="dxa"/>
              <w:bottom w:w="0" w:type="dxa"/>
              <w:right w:w="108" w:type="dxa"/>
            </w:tcMar>
            <w:hideMark/>
          </w:tcPr>
          <w:p w:rsidR="0021497B" w:rsidRPr="00617BAE" w:rsidRDefault="0021497B" w:rsidP="00725FBA">
            <w:pPr>
              <w:spacing w:line="276" w:lineRule="auto"/>
              <w:rPr>
                <w:rFonts w:ascii="Arial" w:eastAsiaTheme="minorHAnsi" w:hAnsi="Arial" w:cs="Arial"/>
              </w:rPr>
            </w:pPr>
            <w:r w:rsidRPr="00617BAE">
              <w:rPr>
                <w:rFonts w:ascii="Arial" w:eastAsiaTheme="minorHAnsi" w:hAnsi="Arial" w:cs="Arial"/>
              </w:rPr>
              <w:t xml:space="preserve">Schools Estate Improvement </w:t>
            </w:r>
          </w:p>
        </w:tc>
        <w:tc>
          <w:tcPr>
            <w:tcW w:w="4961" w:type="dxa"/>
            <w:tcMar>
              <w:top w:w="0" w:type="dxa"/>
              <w:left w:w="108" w:type="dxa"/>
              <w:bottom w:w="0" w:type="dxa"/>
              <w:right w:w="108" w:type="dxa"/>
            </w:tcMar>
            <w:hideMark/>
          </w:tcPr>
          <w:p w:rsidR="0021497B" w:rsidRPr="00617BAE" w:rsidRDefault="0021497B" w:rsidP="00725FBA">
            <w:pPr>
              <w:spacing w:line="276" w:lineRule="auto"/>
              <w:rPr>
                <w:rFonts w:ascii="Arial" w:eastAsiaTheme="minorHAnsi" w:hAnsi="Arial" w:cs="Arial"/>
              </w:rPr>
            </w:pPr>
            <w:r w:rsidRPr="00617BAE">
              <w:rPr>
                <w:rFonts w:ascii="Arial" w:hAnsi="Arial" w:cs="Arial"/>
              </w:rPr>
              <w:t>Void Housing Strategy Programme</w:t>
            </w:r>
          </w:p>
        </w:tc>
      </w:tr>
      <w:tr w:rsidR="0021497B" w:rsidRPr="00617BAE" w:rsidTr="00725FBA">
        <w:tblPrEx>
          <w:tblCellMar>
            <w:left w:w="0" w:type="dxa"/>
            <w:right w:w="0" w:type="dxa"/>
          </w:tblCellMar>
        </w:tblPrEx>
        <w:tc>
          <w:tcPr>
            <w:tcW w:w="4111" w:type="dxa"/>
            <w:tcMar>
              <w:top w:w="0" w:type="dxa"/>
              <w:left w:w="108" w:type="dxa"/>
              <w:bottom w:w="0" w:type="dxa"/>
              <w:right w:w="108" w:type="dxa"/>
            </w:tcMar>
            <w:hideMark/>
          </w:tcPr>
          <w:p w:rsidR="0021497B" w:rsidRPr="00617BAE" w:rsidRDefault="0021497B" w:rsidP="00725FBA">
            <w:pPr>
              <w:spacing w:line="276" w:lineRule="auto"/>
              <w:rPr>
                <w:rFonts w:ascii="Arial" w:eastAsiaTheme="minorHAnsi" w:hAnsi="Arial" w:cs="Arial"/>
              </w:rPr>
            </w:pPr>
            <w:r w:rsidRPr="00617BAE">
              <w:rPr>
                <w:rFonts w:ascii="Arial" w:eastAsiaTheme="minorHAnsi" w:hAnsi="Arial" w:cs="Arial"/>
              </w:rPr>
              <w:t>St. Patrick's PS New Play Upgrades</w:t>
            </w:r>
          </w:p>
        </w:tc>
        <w:tc>
          <w:tcPr>
            <w:tcW w:w="4961" w:type="dxa"/>
            <w:tcMar>
              <w:top w:w="0" w:type="dxa"/>
              <w:left w:w="108" w:type="dxa"/>
              <w:bottom w:w="0" w:type="dxa"/>
              <w:right w:w="108" w:type="dxa"/>
            </w:tcMar>
            <w:hideMark/>
          </w:tcPr>
          <w:p w:rsidR="0021497B" w:rsidRPr="00617BAE" w:rsidRDefault="0021497B" w:rsidP="00725FBA">
            <w:pPr>
              <w:spacing w:line="276" w:lineRule="auto"/>
              <w:rPr>
                <w:rFonts w:ascii="Arial" w:hAnsi="Arial" w:cs="Arial"/>
              </w:rPr>
            </w:pPr>
            <w:r w:rsidRPr="00617BAE">
              <w:rPr>
                <w:rFonts w:ascii="Arial" w:hAnsi="Arial" w:cs="Arial"/>
              </w:rPr>
              <w:t>Building external component renewals</w:t>
            </w:r>
          </w:p>
        </w:tc>
      </w:tr>
      <w:tr w:rsidR="0021497B" w:rsidRPr="00617BAE" w:rsidTr="00725FBA">
        <w:tblPrEx>
          <w:tblCellMar>
            <w:left w:w="0" w:type="dxa"/>
            <w:right w:w="0" w:type="dxa"/>
          </w:tblCellMar>
        </w:tblPrEx>
        <w:tc>
          <w:tcPr>
            <w:tcW w:w="4111" w:type="dxa"/>
            <w:tcMar>
              <w:top w:w="0" w:type="dxa"/>
              <w:left w:w="108" w:type="dxa"/>
              <w:bottom w:w="0" w:type="dxa"/>
              <w:right w:w="108" w:type="dxa"/>
            </w:tcMar>
            <w:hideMark/>
          </w:tcPr>
          <w:p w:rsidR="0021497B" w:rsidRPr="00617BAE" w:rsidRDefault="0021497B" w:rsidP="00725FBA">
            <w:pPr>
              <w:spacing w:line="276" w:lineRule="auto"/>
              <w:rPr>
                <w:rFonts w:ascii="Arial" w:eastAsiaTheme="minorHAnsi" w:hAnsi="Arial" w:cs="Arial"/>
              </w:rPr>
            </w:pPr>
            <w:r w:rsidRPr="00617BAE">
              <w:rPr>
                <w:rFonts w:ascii="Arial" w:eastAsiaTheme="minorHAnsi" w:hAnsi="Arial" w:cs="Arial"/>
              </w:rPr>
              <w:t>A811 Infrastructure Works</w:t>
            </w:r>
          </w:p>
        </w:tc>
        <w:tc>
          <w:tcPr>
            <w:tcW w:w="4961" w:type="dxa"/>
            <w:tcMar>
              <w:top w:w="0" w:type="dxa"/>
              <w:left w:w="108" w:type="dxa"/>
              <w:bottom w:w="0" w:type="dxa"/>
              <w:right w:w="108" w:type="dxa"/>
            </w:tcMar>
            <w:hideMark/>
          </w:tcPr>
          <w:p w:rsidR="0021497B" w:rsidRPr="00617BAE" w:rsidRDefault="0021497B" w:rsidP="00725FBA">
            <w:pPr>
              <w:spacing w:line="276" w:lineRule="auto"/>
              <w:rPr>
                <w:rFonts w:ascii="Arial" w:eastAsiaTheme="minorHAnsi" w:hAnsi="Arial" w:cs="Arial"/>
              </w:rPr>
            </w:pPr>
            <w:r w:rsidRPr="00617BAE">
              <w:rPr>
                <w:rFonts w:ascii="Arial" w:hAnsi="Arial" w:cs="Arial"/>
              </w:rPr>
              <w:t>Environmental Renewal Works</w:t>
            </w:r>
          </w:p>
        </w:tc>
      </w:tr>
      <w:tr w:rsidR="0021497B" w:rsidRPr="00617BAE" w:rsidTr="00725FBA">
        <w:tblPrEx>
          <w:tblCellMar>
            <w:left w:w="0" w:type="dxa"/>
            <w:right w:w="0" w:type="dxa"/>
          </w:tblCellMar>
        </w:tblPrEx>
        <w:tc>
          <w:tcPr>
            <w:tcW w:w="4111" w:type="dxa"/>
            <w:tcMar>
              <w:top w:w="0" w:type="dxa"/>
              <w:left w:w="108" w:type="dxa"/>
              <w:bottom w:w="0" w:type="dxa"/>
              <w:right w:w="108" w:type="dxa"/>
            </w:tcMar>
            <w:hideMark/>
          </w:tcPr>
          <w:p w:rsidR="0021497B" w:rsidRPr="00617BAE" w:rsidRDefault="0021497B" w:rsidP="00725FBA">
            <w:pPr>
              <w:spacing w:line="276" w:lineRule="auto"/>
              <w:rPr>
                <w:rFonts w:ascii="Arial" w:hAnsi="Arial" w:cs="Arial"/>
              </w:rPr>
            </w:pPr>
            <w:r w:rsidRPr="00617BAE">
              <w:rPr>
                <w:rFonts w:ascii="Arial" w:hAnsi="Arial" w:cs="Arial"/>
              </w:rPr>
              <w:t>Integrated Housing Management System</w:t>
            </w:r>
          </w:p>
        </w:tc>
        <w:tc>
          <w:tcPr>
            <w:tcW w:w="4961" w:type="dxa"/>
            <w:tcMar>
              <w:top w:w="0" w:type="dxa"/>
              <w:left w:w="108" w:type="dxa"/>
              <w:bottom w:w="0" w:type="dxa"/>
              <w:right w:w="108" w:type="dxa"/>
            </w:tcMar>
            <w:hideMark/>
          </w:tcPr>
          <w:p w:rsidR="0021497B" w:rsidRPr="00617BAE" w:rsidRDefault="0021497B" w:rsidP="00725FBA">
            <w:pPr>
              <w:spacing w:line="276" w:lineRule="auto"/>
              <w:rPr>
                <w:rFonts w:ascii="Arial" w:hAnsi="Arial" w:cs="Arial"/>
              </w:rPr>
            </w:pPr>
            <w:r w:rsidRPr="00617BAE">
              <w:rPr>
                <w:rFonts w:ascii="Arial" w:hAnsi="Arial" w:cs="Arial"/>
              </w:rPr>
              <w:t>Targeted EESSH compliance works</w:t>
            </w:r>
          </w:p>
        </w:tc>
      </w:tr>
      <w:tr w:rsidR="0021497B" w:rsidRPr="00617BAE" w:rsidTr="00725FBA">
        <w:tblPrEx>
          <w:tblCellMar>
            <w:left w:w="0" w:type="dxa"/>
            <w:right w:w="0" w:type="dxa"/>
          </w:tblCellMar>
        </w:tblPrEx>
        <w:tc>
          <w:tcPr>
            <w:tcW w:w="4111" w:type="dxa"/>
            <w:tcMar>
              <w:top w:w="0" w:type="dxa"/>
              <w:left w:w="108" w:type="dxa"/>
              <w:bottom w:w="0" w:type="dxa"/>
              <w:right w:w="108" w:type="dxa"/>
            </w:tcMar>
          </w:tcPr>
          <w:p w:rsidR="0021497B" w:rsidRPr="00617BAE" w:rsidRDefault="0021497B" w:rsidP="00725FBA">
            <w:pPr>
              <w:spacing w:line="276" w:lineRule="auto"/>
              <w:rPr>
                <w:rFonts w:ascii="Arial" w:hAnsi="Arial" w:cs="Arial"/>
              </w:rPr>
            </w:pPr>
            <w:r w:rsidRPr="00617BAE">
              <w:rPr>
                <w:rFonts w:ascii="Arial" w:hAnsi="Arial" w:cs="Arial"/>
              </w:rPr>
              <w:t>New Play &amp; Recreation at Radnor Park, including MUGA</w:t>
            </w:r>
          </w:p>
        </w:tc>
        <w:tc>
          <w:tcPr>
            <w:tcW w:w="4961" w:type="dxa"/>
            <w:tcMar>
              <w:top w:w="0" w:type="dxa"/>
              <w:left w:w="108" w:type="dxa"/>
              <w:bottom w:w="0" w:type="dxa"/>
              <w:right w:w="108" w:type="dxa"/>
            </w:tcMar>
            <w:hideMark/>
          </w:tcPr>
          <w:p w:rsidR="0021497B" w:rsidRPr="00617BAE" w:rsidRDefault="0021497B" w:rsidP="00725FBA">
            <w:pPr>
              <w:spacing w:line="276" w:lineRule="auto"/>
              <w:rPr>
                <w:rFonts w:ascii="Arial" w:hAnsi="Arial" w:cs="Arial"/>
              </w:rPr>
            </w:pPr>
            <w:r w:rsidRPr="00617BAE">
              <w:rPr>
                <w:rFonts w:ascii="Arial" w:hAnsi="Arial" w:cs="Arial"/>
              </w:rPr>
              <w:t>Door and window components</w:t>
            </w:r>
          </w:p>
          <w:p w:rsidR="0021497B" w:rsidRPr="00617BAE" w:rsidRDefault="0021497B" w:rsidP="00725FBA">
            <w:pPr>
              <w:spacing w:line="276" w:lineRule="auto"/>
              <w:rPr>
                <w:rFonts w:ascii="Arial" w:hAnsi="Arial" w:cs="Arial"/>
              </w:rPr>
            </w:pPr>
            <w:r w:rsidRPr="00617BAE">
              <w:rPr>
                <w:rFonts w:ascii="Arial" w:hAnsi="Arial" w:cs="Arial"/>
              </w:rPr>
              <w:t>Affordable Housing Supply Programme</w:t>
            </w:r>
          </w:p>
        </w:tc>
      </w:tr>
    </w:tbl>
    <w:p w:rsidR="00DB69C3" w:rsidRDefault="00DB69C3" w:rsidP="0021497B">
      <w:pPr>
        <w:spacing w:before="0" w:after="0"/>
        <w:rPr>
          <w:rFonts w:ascii="Arial" w:hAnsi="Arial" w:cs="Arial"/>
        </w:rPr>
      </w:pPr>
    </w:p>
    <w:p w:rsidR="0021497B" w:rsidRPr="00617BAE" w:rsidRDefault="0021497B" w:rsidP="0021497B">
      <w:pPr>
        <w:spacing w:before="0" w:after="0"/>
        <w:rPr>
          <w:rFonts w:ascii="Arial" w:hAnsi="Arial" w:cs="Arial"/>
        </w:rPr>
      </w:pPr>
      <w:r w:rsidRPr="00617BAE">
        <w:rPr>
          <w:rFonts w:ascii="Arial" w:hAnsi="Arial" w:cs="Arial"/>
        </w:rPr>
        <w:t>During 2019/20, the council had budgeted capital expenditure of £140.438m with an actual in year spend of £108.229m. The unspent amount (£32.209m) includes overspends, underspends and slippage, as noted within the table below. The total slippage on planned spend was £34.942m – 24.88% of the overall capital programme which is summarised in the following table:</w:t>
      </w:r>
    </w:p>
    <w:p w:rsidR="0021497B" w:rsidRPr="00617BAE" w:rsidRDefault="0021497B" w:rsidP="0021497B">
      <w:pPr>
        <w:spacing w:before="0" w:after="0"/>
        <w:jc w:val="both"/>
      </w:pPr>
    </w:p>
    <w:p w:rsidR="0021497B" w:rsidRPr="00617BAE" w:rsidRDefault="0021497B" w:rsidP="0021497B">
      <w:pPr>
        <w:spacing w:before="0" w:after="0"/>
        <w:jc w:val="both"/>
        <w:rPr>
          <w:rFonts w:ascii="Arial" w:hAnsi="Arial" w:cs="Arial"/>
        </w:rPr>
      </w:pPr>
      <w:r w:rsidRPr="00617BAE">
        <w:rPr>
          <w:noProof/>
          <w:lang w:eastAsia="en-GB"/>
        </w:rPr>
        <w:drawing>
          <wp:inline distT="0" distB="0" distL="0" distR="0" wp14:anchorId="72C39678" wp14:editId="54705F1F">
            <wp:extent cx="5731510" cy="1919148"/>
            <wp:effectExtent l="0" t="0" r="2540" b="0"/>
            <wp:docPr id="46" name="Picture 46" descr="General services capital budget versus actual spend" title="General services capital budgetary control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31510" cy="1919148"/>
                    </a:xfrm>
                    <a:prstGeom prst="rect">
                      <a:avLst/>
                    </a:prstGeom>
                    <a:noFill/>
                    <a:ln>
                      <a:noFill/>
                    </a:ln>
                  </pic:spPr>
                </pic:pic>
              </a:graphicData>
            </a:graphic>
          </wp:inline>
        </w:drawing>
      </w:r>
    </w:p>
    <w:p w:rsidR="0021497B" w:rsidRPr="00617BAE" w:rsidRDefault="0021497B" w:rsidP="0021497B">
      <w:pPr>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rPr>
          <w:rFonts w:ascii="Arial" w:hAnsi="Arial" w:cs="Arial"/>
          <w:b/>
          <w:sz w:val="24"/>
          <w:szCs w:val="24"/>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Default="0021497B" w:rsidP="0021497B">
      <w:pPr>
        <w:spacing w:before="0" w:after="0"/>
        <w:rPr>
          <w:rFonts w:ascii="Arial" w:hAnsi="Arial" w:cs="Arial"/>
        </w:rPr>
      </w:pPr>
    </w:p>
    <w:p w:rsidR="0021497B" w:rsidRPr="00617BAE" w:rsidRDefault="0021497B" w:rsidP="0021497B">
      <w:pPr>
        <w:spacing w:before="0" w:after="0"/>
        <w:rPr>
          <w:rFonts w:ascii="Arial" w:hAnsi="Arial" w:cs="Arial"/>
        </w:rPr>
      </w:pPr>
      <w:r w:rsidRPr="00617BAE">
        <w:rPr>
          <w:rFonts w:ascii="Arial" w:hAnsi="Arial" w:cs="Arial"/>
        </w:rPr>
        <w:t>The majority of the slippage</w:t>
      </w:r>
      <w:r w:rsidRPr="00617BAE">
        <w:rPr>
          <w:rFonts w:ascii="Arial" w:hAnsi="Arial" w:cs="Arial"/>
          <w:bCs/>
          <w:lang w:val="en-US"/>
        </w:rPr>
        <w:t xml:space="preserve"> has occurred within a small number of larger capital projects and</w:t>
      </w:r>
      <w:r w:rsidRPr="00617BAE">
        <w:rPr>
          <w:rFonts w:ascii="Arial" w:hAnsi="Arial" w:cs="Arial"/>
        </w:rPr>
        <w:t xml:space="preserve"> is mainly due to the timing of starting individual projects, for various reasons, not all within council control, and the delayed spend on these projects moved into capital budgets for 2020/21 onwards. The most significant slippage was experienced against the following projects:</w:t>
      </w:r>
    </w:p>
    <w:p w:rsidR="0021497B" w:rsidRPr="00617BAE" w:rsidRDefault="0021497B" w:rsidP="0021497B">
      <w:pPr>
        <w:spacing w:before="0" w:after="0"/>
        <w:rPr>
          <w:rFonts w:ascii="Arial" w:hAnsi="Arial" w:cs="Arial"/>
        </w:rPr>
      </w:pPr>
    </w:p>
    <w:tbl>
      <w:tblPr>
        <w:tblStyle w:val="TableGrid"/>
        <w:tblW w:w="8526" w:type="dxa"/>
        <w:tblLook w:val="04A0" w:firstRow="1" w:lastRow="0" w:firstColumn="1" w:lastColumn="0" w:noHBand="0" w:noVBand="1"/>
        <w:tblCaption w:val="capital slippage summary"/>
        <w:tblDescription w:val="main capital slippage and reasons for that slippage"/>
      </w:tblPr>
      <w:tblGrid>
        <w:gridCol w:w="4279"/>
        <w:gridCol w:w="4247"/>
      </w:tblGrid>
      <w:tr w:rsidR="0021497B" w:rsidRPr="00617BAE" w:rsidTr="00274F66">
        <w:trPr>
          <w:tblHeader/>
        </w:trPr>
        <w:tc>
          <w:tcPr>
            <w:tcW w:w="4279" w:type="dxa"/>
          </w:tcPr>
          <w:p w:rsidR="0021497B" w:rsidRPr="00617BAE" w:rsidRDefault="0021497B" w:rsidP="00725FBA">
            <w:pPr>
              <w:spacing w:before="0" w:after="0"/>
              <w:rPr>
                <w:rFonts w:ascii="Arial" w:hAnsi="Arial" w:cs="Arial"/>
                <w:b/>
              </w:rPr>
            </w:pPr>
            <w:r w:rsidRPr="00617BAE">
              <w:rPr>
                <w:rFonts w:ascii="Arial" w:hAnsi="Arial" w:cs="Arial"/>
                <w:b/>
              </w:rPr>
              <w:t>General Services</w:t>
            </w:r>
          </w:p>
        </w:tc>
        <w:tc>
          <w:tcPr>
            <w:tcW w:w="4247" w:type="dxa"/>
          </w:tcPr>
          <w:p w:rsidR="0021497B" w:rsidRPr="00617BAE" w:rsidRDefault="0021497B" w:rsidP="00725FBA">
            <w:pPr>
              <w:spacing w:before="0" w:after="0"/>
              <w:rPr>
                <w:rFonts w:ascii="Arial" w:hAnsi="Arial" w:cs="Arial"/>
                <w:b/>
                <w:highlight w:val="yellow"/>
              </w:rPr>
            </w:pPr>
          </w:p>
        </w:tc>
      </w:tr>
      <w:tr w:rsidR="0021497B" w:rsidRPr="00617BAE" w:rsidTr="00725FBA">
        <w:tc>
          <w:tcPr>
            <w:tcW w:w="4279" w:type="dxa"/>
          </w:tcPr>
          <w:p w:rsidR="0021497B" w:rsidRPr="00617BAE" w:rsidRDefault="0021497B" w:rsidP="00725FBA">
            <w:pPr>
              <w:spacing w:before="0" w:after="0"/>
              <w:rPr>
                <w:rFonts w:ascii="Arial" w:hAnsi="Arial" w:cs="Arial"/>
                <w:b/>
              </w:rPr>
            </w:pPr>
            <w:r w:rsidRPr="00617BAE">
              <w:rPr>
                <w:rFonts w:ascii="Arial" w:hAnsi="Arial" w:cs="Arial"/>
              </w:rPr>
              <w:t>Depot Rationalisation</w:t>
            </w:r>
          </w:p>
        </w:tc>
        <w:tc>
          <w:tcPr>
            <w:tcW w:w="4247" w:type="dxa"/>
          </w:tcPr>
          <w:p w:rsidR="0021497B" w:rsidRPr="00617BAE" w:rsidRDefault="0021497B" w:rsidP="00725FBA">
            <w:pPr>
              <w:rPr>
                <w:rFonts w:ascii="Arial" w:hAnsi="Arial" w:cs="Arial"/>
                <w:b/>
                <w:color w:val="000000"/>
                <w:highlight w:val="yellow"/>
              </w:rPr>
            </w:pPr>
            <w:r w:rsidRPr="00617BAE">
              <w:rPr>
                <w:rFonts w:ascii="Arial" w:hAnsi="Arial" w:cs="Arial"/>
                <w:color w:val="000000"/>
              </w:rPr>
              <w:t>A revised business case is being developed following discussions with services around additional requirements.</w:t>
            </w:r>
          </w:p>
        </w:tc>
      </w:tr>
      <w:tr w:rsidR="0021497B" w:rsidRPr="00617BAE" w:rsidTr="00725FBA">
        <w:tc>
          <w:tcPr>
            <w:tcW w:w="4279" w:type="dxa"/>
          </w:tcPr>
          <w:p w:rsidR="0021497B" w:rsidRPr="00617BAE" w:rsidRDefault="0021497B" w:rsidP="00725FBA">
            <w:pPr>
              <w:spacing w:before="0" w:after="0"/>
              <w:rPr>
                <w:rFonts w:ascii="Arial" w:hAnsi="Arial" w:cs="Arial"/>
                <w:highlight w:val="yellow"/>
              </w:rPr>
            </w:pPr>
            <w:r w:rsidRPr="00617BAE">
              <w:rPr>
                <w:rFonts w:ascii="Arial" w:hAnsi="Arial" w:cs="Arial"/>
              </w:rPr>
              <w:t>Gruggies Burn Flood Prevention</w:t>
            </w:r>
          </w:p>
        </w:tc>
        <w:tc>
          <w:tcPr>
            <w:tcW w:w="4247" w:type="dxa"/>
          </w:tcPr>
          <w:p w:rsidR="0021497B" w:rsidRPr="00617BAE" w:rsidRDefault="0021497B" w:rsidP="00725FBA">
            <w:pPr>
              <w:rPr>
                <w:rFonts w:ascii="Arial" w:hAnsi="Arial" w:cs="Arial"/>
                <w:color w:val="000000"/>
                <w:highlight w:val="yellow"/>
              </w:rPr>
            </w:pPr>
            <w:r w:rsidRPr="00617BAE">
              <w:rPr>
                <w:rFonts w:ascii="Arial" w:hAnsi="Arial" w:cs="Arial"/>
                <w:color w:val="000000"/>
              </w:rPr>
              <w:t xml:space="preserve">Delay due to alternative design solutions requiring to be considered.  </w:t>
            </w:r>
          </w:p>
        </w:tc>
      </w:tr>
      <w:tr w:rsidR="0021497B" w:rsidRPr="00617BAE" w:rsidTr="00725FBA">
        <w:tc>
          <w:tcPr>
            <w:tcW w:w="4279" w:type="dxa"/>
          </w:tcPr>
          <w:p w:rsidR="0021497B" w:rsidRPr="00617BAE" w:rsidRDefault="0021497B" w:rsidP="00725FBA">
            <w:pPr>
              <w:rPr>
                <w:rFonts w:ascii="Arial" w:hAnsi="Arial" w:cs="Arial"/>
              </w:rPr>
            </w:pPr>
            <w:r w:rsidRPr="00617BAE">
              <w:rPr>
                <w:rFonts w:ascii="Arial" w:hAnsi="Arial" w:cs="Arial"/>
              </w:rPr>
              <w:t>Vehicle Replacement</w:t>
            </w:r>
          </w:p>
          <w:p w:rsidR="0021497B" w:rsidRPr="00617BAE" w:rsidRDefault="0021497B" w:rsidP="00725FBA">
            <w:pPr>
              <w:spacing w:before="0" w:after="0"/>
              <w:rPr>
                <w:rFonts w:ascii="Arial" w:hAnsi="Arial" w:cs="Arial"/>
              </w:rPr>
            </w:pPr>
          </w:p>
        </w:tc>
        <w:tc>
          <w:tcPr>
            <w:tcW w:w="4247" w:type="dxa"/>
          </w:tcPr>
          <w:p w:rsidR="0021497B" w:rsidRPr="00617BAE" w:rsidRDefault="008240EA" w:rsidP="008240EA">
            <w:pPr>
              <w:rPr>
                <w:rFonts w:ascii="Arial" w:hAnsi="Arial" w:cs="Arial"/>
                <w:color w:val="000000"/>
              </w:rPr>
            </w:pPr>
            <w:r>
              <w:rPr>
                <w:rFonts w:ascii="Arial" w:hAnsi="Arial" w:cs="Arial"/>
                <w:color w:val="000000"/>
              </w:rPr>
              <w:t>Delay due to the vehicle build</w:t>
            </w:r>
            <w:r w:rsidR="0021497B" w:rsidRPr="00617BAE">
              <w:rPr>
                <w:rFonts w:ascii="Arial" w:hAnsi="Arial" w:cs="Arial"/>
                <w:color w:val="000000"/>
              </w:rPr>
              <w:t xml:space="preserve"> time associated with the specialist vehicles and the delivery lead time from the date of supply order placement.</w:t>
            </w:r>
          </w:p>
        </w:tc>
      </w:tr>
      <w:tr w:rsidR="0021497B" w:rsidRPr="00617BAE" w:rsidTr="00725FBA">
        <w:tc>
          <w:tcPr>
            <w:tcW w:w="4279" w:type="dxa"/>
          </w:tcPr>
          <w:p w:rsidR="0021497B" w:rsidRPr="00617BAE" w:rsidRDefault="0021497B" w:rsidP="00725FBA">
            <w:pPr>
              <w:rPr>
                <w:rFonts w:ascii="Arial" w:hAnsi="Arial" w:cs="Arial"/>
              </w:rPr>
            </w:pPr>
            <w:r w:rsidRPr="00617BAE">
              <w:rPr>
                <w:rFonts w:ascii="Arial" w:hAnsi="Arial" w:cs="Arial"/>
              </w:rPr>
              <w:t>Posties Park Sports Hub</w:t>
            </w:r>
          </w:p>
          <w:p w:rsidR="0021497B" w:rsidRPr="00617BAE" w:rsidRDefault="0021497B" w:rsidP="00725FBA">
            <w:pPr>
              <w:spacing w:before="0" w:after="0"/>
              <w:rPr>
                <w:rFonts w:ascii="Arial" w:hAnsi="Arial" w:cs="Arial"/>
              </w:rPr>
            </w:pPr>
          </w:p>
        </w:tc>
        <w:tc>
          <w:tcPr>
            <w:tcW w:w="4247" w:type="dxa"/>
          </w:tcPr>
          <w:p w:rsidR="0021497B" w:rsidRPr="00617BAE" w:rsidRDefault="0021497B" w:rsidP="00725FBA">
            <w:pPr>
              <w:rPr>
                <w:rFonts w:ascii="Arial" w:hAnsi="Arial" w:cs="Arial"/>
                <w:color w:val="000000"/>
                <w:highlight w:val="yellow"/>
              </w:rPr>
            </w:pPr>
            <w:r w:rsidRPr="00617BAE">
              <w:rPr>
                <w:rFonts w:ascii="Arial" w:hAnsi="Arial" w:cs="Arial"/>
                <w:color w:val="000000"/>
              </w:rPr>
              <w:t xml:space="preserve">Issue have led to changes to the proposal which required further planning permission.  </w:t>
            </w:r>
          </w:p>
        </w:tc>
      </w:tr>
      <w:tr w:rsidR="0021497B" w:rsidRPr="00617BAE" w:rsidTr="00725FBA">
        <w:tc>
          <w:tcPr>
            <w:tcW w:w="4279" w:type="dxa"/>
          </w:tcPr>
          <w:p w:rsidR="0021497B" w:rsidRPr="00617BAE" w:rsidRDefault="0021497B" w:rsidP="00725FBA">
            <w:pPr>
              <w:rPr>
                <w:rFonts w:ascii="Arial" w:hAnsi="Arial" w:cs="Arial"/>
                <w:highlight w:val="yellow"/>
              </w:rPr>
            </w:pPr>
            <w:r w:rsidRPr="00617BAE">
              <w:rPr>
                <w:rFonts w:ascii="Arial" w:hAnsi="Arial" w:cs="Arial"/>
              </w:rPr>
              <w:t>A811 Lomond Bridge</w:t>
            </w:r>
          </w:p>
        </w:tc>
        <w:tc>
          <w:tcPr>
            <w:tcW w:w="4247" w:type="dxa"/>
          </w:tcPr>
          <w:p w:rsidR="0021497B" w:rsidRPr="00617BAE" w:rsidRDefault="0021497B" w:rsidP="00725FBA">
            <w:pPr>
              <w:rPr>
                <w:rFonts w:ascii="Arial" w:hAnsi="Arial" w:cs="Arial"/>
                <w:color w:val="000000"/>
                <w:highlight w:val="yellow"/>
              </w:rPr>
            </w:pPr>
            <w:r w:rsidRPr="00617BAE">
              <w:rPr>
                <w:rFonts w:ascii="Arial" w:hAnsi="Arial" w:cs="Arial"/>
                <w:color w:val="000000"/>
              </w:rPr>
              <w:t>A longer than exp</w:t>
            </w:r>
            <w:r w:rsidR="001935C2">
              <w:rPr>
                <w:rFonts w:ascii="Arial" w:hAnsi="Arial" w:cs="Arial"/>
                <w:color w:val="000000"/>
              </w:rPr>
              <w:t xml:space="preserve">ected planning consent process </w:t>
            </w:r>
            <w:r w:rsidRPr="00617BAE">
              <w:rPr>
                <w:rFonts w:ascii="Arial" w:hAnsi="Arial" w:cs="Arial"/>
                <w:color w:val="000000"/>
              </w:rPr>
              <w:t>has delayed the start of this project.</w:t>
            </w:r>
          </w:p>
        </w:tc>
      </w:tr>
      <w:tr w:rsidR="0021497B" w:rsidRPr="00617BAE" w:rsidTr="00725FBA">
        <w:tc>
          <w:tcPr>
            <w:tcW w:w="4279" w:type="dxa"/>
          </w:tcPr>
          <w:p w:rsidR="0021497B" w:rsidRPr="00617BAE" w:rsidRDefault="0021497B" w:rsidP="00725FBA">
            <w:pPr>
              <w:tabs>
                <w:tab w:val="right" w:pos="8931"/>
              </w:tabs>
              <w:spacing w:before="0" w:after="0"/>
              <w:ind w:right="-188"/>
              <w:rPr>
                <w:rFonts w:ascii="Arial" w:hAnsi="Arial" w:cs="Arial"/>
                <w:b/>
                <w:sz w:val="24"/>
                <w:szCs w:val="24"/>
              </w:rPr>
            </w:pPr>
            <w:r w:rsidRPr="00617BAE">
              <w:rPr>
                <w:rFonts w:ascii="Arial" w:hAnsi="Arial" w:cs="Arial"/>
                <w:b/>
              </w:rPr>
              <w:t>HRA</w:t>
            </w:r>
          </w:p>
        </w:tc>
        <w:tc>
          <w:tcPr>
            <w:tcW w:w="4247" w:type="dxa"/>
          </w:tcPr>
          <w:p w:rsidR="0021497B" w:rsidRPr="00617BAE" w:rsidRDefault="0021497B" w:rsidP="00725FBA">
            <w:pPr>
              <w:rPr>
                <w:rFonts w:ascii="Arial" w:hAnsi="Arial" w:cs="Arial"/>
                <w:color w:val="000000"/>
              </w:rPr>
            </w:pPr>
          </w:p>
        </w:tc>
      </w:tr>
      <w:tr w:rsidR="0021497B" w:rsidRPr="00617BAE" w:rsidTr="00725FBA">
        <w:tc>
          <w:tcPr>
            <w:tcW w:w="4279" w:type="dxa"/>
          </w:tcPr>
          <w:p w:rsidR="0021497B" w:rsidRPr="00617BAE" w:rsidRDefault="0021497B" w:rsidP="00725FBA">
            <w:pPr>
              <w:spacing w:before="0" w:after="0"/>
              <w:rPr>
                <w:rFonts w:ascii="Arial" w:hAnsi="Arial" w:cs="Arial"/>
                <w:color w:val="000000"/>
              </w:rPr>
            </w:pPr>
            <w:r w:rsidRPr="00617BAE">
              <w:rPr>
                <w:rFonts w:ascii="Arial" w:hAnsi="Arial" w:cs="Arial"/>
                <w:color w:val="000000"/>
              </w:rPr>
              <w:t>New house build</w:t>
            </w:r>
          </w:p>
        </w:tc>
        <w:tc>
          <w:tcPr>
            <w:tcW w:w="4247" w:type="dxa"/>
          </w:tcPr>
          <w:p w:rsidR="0021497B" w:rsidRPr="00617BAE" w:rsidRDefault="0021497B" w:rsidP="00725FBA">
            <w:pPr>
              <w:rPr>
                <w:color w:val="1F497D"/>
              </w:rPr>
            </w:pPr>
            <w:r w:rsidRPr="00617BAE">
              <w:rPr>
                <w:rFonts w:ascii="Arial" w:hAnsi="Arial" w:cs="Arial"/>
                <w:color w:val="000000"/>
              </w:rPr>
              <w:t>Due to a number of different complexities there were delays to getting on site across each of the new build sites.</w:t>
            </w:r>
          </w:p>
        </w:tc>
      </w:tr>
      <w:tr w:rsidR="0021497B" w:rsidRPr="00617BAE" w:rsidTr="00725FBA">
        <w:tc>
          <w:tcPr>
            <w:tcW w:w="4279" w:type="dxa"/>
          </w:tcPr>
          <w:p w:rsidR="0021497B" w:rsidRPr="00617BAE" w:rsidRDefault="0021497B" w:rsidP="00725FBA">
            <w:pPr>
              <w:spacing w:before="0" w:after="0"/>
              <w:rPr>
                <w:rFonts w:ascii="Arial" w:hAnsi="Arial" w:cs="Arial"/>
                <w:color w:val="000000"/>
              </w:rPr>
            </w:pPr>
            <w:r w:rsidRPr="00617BAE">
              <w:rPr>
                <w:rFonts w:ascii="Arial" w:hAnsi="Arial" w:cs="Arial"/>
                <w:color w:val="000000"/>
              </w:rPr>
              <w:t>Projects to deliver housing strategies (Buy Backs)</w:t>
            </w:r>
          </w:p>
        </w:tc>
        <w:tc>
          <w:tcPr>
            <w:tcW w:w="4247" w:type="dxa"/>
          </w:tcPr>
          <w:p w:rsidR="0021497B" w:rsidRPr="00617BAE" w:rsidRDefault="0021497B" w:rsidP="008240EA">
            <w:pPr>
              <w:spacing w:before="0" w:after="0"/>
              <w:rPr>
                <w:color w:val="1F497D"/>
              </w:rPr>
            </w:pPr>
            <w:r w:rsidRPr="00617BAE">
              <w:rPr>
                <w:rFonts w:ascii="Arial" w:hAnsi="Arial" w:cs="Arial"/>
                <w:color w:val="000000"/>
              </w:rPr>
              <w:t xml:space="preserve">These are subject to stringent criteria to ensure accountability and value for money for tenants and involves several key </w:t>
            </w:r>
            <w:r w:rsidR="008240EA">
              <w:rPr>
                <w:rFonts w:ascii="Arial" w:hAnsi="Arial" w:cs="Arial"/>
                <w:color w:val="000000"/>
              </w:rPr>
              <w:t>stakeholders which resulted in time delays</w:t>
            </w:r>
          </w:p>
        </w:tc>
      </w:tr>
      <w:tr w:rsidR="0021497B" w:rsidRPr="00617BAE" w:rsidTr="00725FBA">
        <w:tc>
          <w:tcPr>
            <w:tcW w:w="4279" w:type="dxa"/>
          </w:tcPr>
          <w:p w:rsidR="0021497B" w:rsidRPr="00617BAE" w:rsidRDefault="0021497B" w:rsidP="00725FBA">
            <w:pPr>
              <w:spacing w:before="0" w:after="0"/>
              <w:rPr>
                <w:rFonts w:ascii="Arial" w:hAnsi="Arial" w:cs="Arial"/>
                <w:color w:val="000000"/>
              </w:rPr>
            </w:pPr>
            <w:r w:rsidRPr="00617BAE">
              <w:rPr>
                <w:rFonts w:ascii="Arial" w:hAnsi="Arial" w:cs="Arial"/>
                <w:color w:val="000000"/>
              </w:rPr>
              <w:t>Doors/Windows</w:t>
            </w:r>
          </w:p>
          <w:p w:rsidR="0021497B" w:rsidRPr="00617BAE" w:rsidRDefault="0021497B" w:rsidP="00725FBA">
            <w:pPr>
              <w:spacing w:before="0" w:after="0"/>
              <w:rPr>
                <w:rFonts w:ascii="Arial" w:hAnsi="Arial" w:cs="Arial"/>
                <w:color w:val="000000"/>
              </w:rPr>
            </w:pPr>
          </w:p>
        </w:tc>
        <w:tc>
          <w:tcPr>
            <w:tcW w:w="4247" w:type="dxa"/>
          </w:tcPr>
          <w:p w:rsidR="0021497B" w:rsidRPr="00617BAE" w:rsidRDefault="0021497B" w:rsidP="00725FBA">
            <w:pPr>
              <w:spacing w:before="0" w:after="0"/>
              <w:rPr>
                <w:color w:val="1F497D"/>
              </w:rPr>
            </w:pPr>
            <w:r w:rsidRPr="00617BAE">
              <w:rPr>
                <w:rFonts w:ascii="Arial" w:hAnsi="Arial" w:cs="Arial"/>
                <w:color w:val="000000"/>
              </w:rPr>
              <w:t>Completions have been affected by windows supply delay and instances of no-access</w:t>
            </w:r>
          </w:p>
        </w:tc>
      </w:tr>
      <w:tr w:rsidR="0021497B" w:rsidRPr="00617BAE" w:rsidTr="00725FBA">
        <w:tc>
          <w:tcPr>
            <w:tcW w:w="4279" w:type="dxa"/>
          </w:tcPr>
          <w:p w:rsidR="0021497B" w:rsidRPr="00617BAE" w:rsidRDefault="0021497B" w:rsidP="00725FBA">
            <w:pPr>
              <w:spacing w:before="0" w:after="0"/>
              <w:rPr>
                <w:color w:val="1F497D"/>
              </w:rPr>
            </w:pPr>
            <w:r w:rsidRPr="00617BAE">
              <w:rPr>
                <w:rFonts w:ascii="Arial" w:hAnsi="Arial" w:cs="Arial"/>
                <w:color w:val="000000"/>
              </w:rPr>
              <w:t>Statutory/ regulatory compliance</w:t>
            </w:r>
          </w:p>
        </w:tc>
        <w:tc>
          <w:tcPr>
            <w:tcW w:w="4247" w:type="dxa"/>
          </w:tcPr>
          <w:p w:rsidR="0021497B" w:rsidRPr="00617BAE" w:rsidRDefault="0021497B" w:rsidP="00725FBA">
            <w:pPr>
              <w:spacing w:before="0" w:after="0"/>
              <w:rPr>
                <w:color w:val="1F497D"/>
              </w:rPr>
            </w:pPr>
            <w:r w:rsidRPr="00617BAE">
              <w:rPr>
                <w:rFonts w:ascii="Arial" w:hAnsi="Arial" w:cs="Arial"/>
                <w:color w:val="000000"/>
              </w:rPr>
              <w:t>This work has in</w:t>
            </w:r>
            <w:r w:rsidR="001935C2">
              <w:rPr>
                <w:rFonts w:ascii="Arial" w:hAnsi="Arial" w:cs="Arial"/>
                <w:color w:val="000000"/>
              </w:rPr>
              <w:t xml:space="preserve">volved a significant number of </w:t>
            </w:r>
            <w:r w:rsidRPr="00617BAE">
              <w:rPr>
                <w:rFonts w:ascii="Arial" w:hAnsi="Arial" w:cs="Arial"/>
                <w:color w:val="000000"/>
              </w:rPr>
              <w:t xml:space="preserve">properties and has presented a major demand on labour resources which has impacted overall completions. </w:t>
            </w:r>
          </w:p>
        </w:tc>
      </w:tr>
      <w:tr w:rsidR="0021497B" w:rsidRPr="00617BAE" w:rsidTr="00725FBA">
        <w:tc>
          <w:tcPr>
            <w:tcW w:w="4279" w:type="dxa"/>
          </w:tcPr>
          <w:p w:rsidR="0021497B" w:rsidRPr="00617BAE" w:rsidRDefault="0021497B" w:rsidP="00725FBA">
            <w:pPr>
              <w:spacing w:before="0" w:after="0"/>
              <w:rPr>
                <w:rFonts w:ascii="Arial" w:hAnsi="Arial" w:cs="Arial"/>
                <w:highlight w:val="yellow"/>
              </w:rPr>
            </w:pPr>
            <w:r w:rsidRPr="00617BAE">
              <w:rPr>
                <w:rFonts w:ascii="Arial" w:hAnsi="Arial" w:cs="Arial"/>
                <w:color w:val="000000"/>
              </w:rPr>
              <w:t>Building external components</w:t>
            </w:r>
          </w:p>
        </w:tc>
        <w:tc>
          <w:tcPr>
            <w:tcW w:w="4247" w:type="dxa"/>
          </w:tcPr>
          <w:p w:rsidR="0021497B" w:rsidRPr="00617BAE" w:rsidRDefault="0021497B" w:rsidP="00725FBA">
            <w:pPr>
              <w:rPr>
                <w:color w:val="1F497D"/>
                <w:highlight w:val="yellow"/>
              </w:rPr>
            </w:pPr>
            <w:r w:rsidRPr="00617BAE">
              <w:rPr>
                <w:rFonts w:ascii="Arial" w:hAnsi="Arial" w:cs="Arial"/>
                <w:color w:val="000000"/>
              </w:rPr>
              <w:t>A combination of overall performance on roofing progress and protracted negotiations with owners has delayed progress.</w:t>
            </w:r>
          </w:p>
        </w:tc>
      </w:tr>
    </w:tbl>
    <w:p w:rsidR="0021497B" w:rsidRPr="00617BAE" w:rsidRDefault="0021497B" w:rsidP="0021497B">
      <w:pPr>
        <w:spacing w:before="0" w:after="0"/>
        <w:rPr>
          <w:rFonts w:ascii="Arial" w:hAnsi="Arial" w:cs="Arial"/>
          <w:b/>
          <w:bCs/>
          <w:color w:val="000000"/>
        </w:rPr>
      </w:pPr>
    </w:p>
    <w:p w:rsidR="0021497B" w:rsidRPr="00617BAE" w:rsidRDefault="0021497B" w:rsidP="0021497B">
      <w:pPr>
        <w:spacing w:before="0" w:after="0"/>
        <w:rPr>
          <w:rFonts w:ascii="Arial" w:hAnsi="Arial" w:cs="Arial"/>
          <w:color w:val="000000"/>
          <w:lang w:val="en-US"/>
        </w:rPr>
      </w:pPr>
      <w:r w:rsidRPr="00617BAE">
        <w:rPr>
          <w:rFonts w:ascii="Arial" w:hAnsi="Arial" w:cs="Arial"/>
          <w:b/>
          <w:bCs/>
          <w:color w:val="000000"/>
          <w:lang w:val="en-US"/>
        </w:rPr>
        <w:t>Public Private Partnership (PPP) and other Long Term Liabilities</w:t>
      </w:r>
    </w:p>
    <w:p w:rsidR="0021497B" w:rsidRPr="00617BAE" w:rsidRDefault="0021497B" w:rsidP="0021497B">
      <w:pPr>
        <w:spacing w:before="0" w:after="0"/>
        <w:rPr>
          <w:rFonts w:ascii="Arial" w:hAnsi="Arial" w:cs="Arial"/>
          <w:lang w:val="en-US"/>
        </w:rPr>
      </w:pPr>
      <w:r w:rsidRPr="00617BAE">
        <w:rPr>
          <w:rFonts w:ascii="Arial" w:hAnsi="Arial" w:cs="Arial"/>
          <w:lang w:val="en-US"/>
        </w:rPr>
        <w:t>The council entered into a PPP for the provision of three new community learning centres and a primary school providing the council with replacement buildings for three secondary schools which were handed over in 2009/10 with the primary school handed over during 2011/12. In accordance with statutory accounting guidance, full detail</w:t>
      </w:r>
      <w:r w:rsidR="008240EA">
        <w:rPr>
          <w:rFonts w:ascii="Arial" w:hAnsi="Arial" w:cs="Arial"/>
          <w:lang w:val="en-US"/>
        </w:rPr>
        <w:t xml:space="preserve"> is provided within note 20</w:t>
      </w:r>
      <w:r w:rsidRPr="00617BAE">
        <w:rPr>
          <w:rFonts w:ascii="Arial" w:hAnsi="Arial" w:cs="Arial"/>
          <w:lang w:val="en-US"/>
        </w:rPr>
        <w:t xml:space="preserve"> on pages 70 to 71.</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On 31 March 2016, the council entered into a 25 year ‘Design, Build, Finance and Maintain’ (DBFM) arrangement with the Scottish Government via the Scottish Futures Trust, for the provision of a further new secondary school. The school was handed over for use by the council during 2017/18.</w:t>
      </w:r>
    </w:p>
    <w:p w:rsidR="0021497B" w:rsidRPr="00617BAE"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Default="0021497B" w:rsidP="0021497B">
      <w:pPr>
        <w:spacing w:before="0" w:after="0"/>
        <w:outlineLvl w:val="5"/>
        <w:rPr>
          <w:rFonts w:ascii="Arial" w:hAnsi="Arial" w:cs="Arial"/>
          <w:b/>
          <w:bCs/>
        </w:rPr>
      </w:pPr>
    </w:p>
    <w:p w:rsidR="0021497B" w:rsidRPr="00617BAE" w:rsidRDefault="0021497B" w:rsidP="0021497B">
      <w:pPr>
        <w:rPr>
          <w:rFonts w:ascii="Arial" w:hAnsi="Arial" w:cs="Arial"/>
          <w:b/>
          <w:sz w:val="24"/>
          <w:szCs w:val="24"/>
        </w:rPr>
      </w:pPr>
      <w:r w:rsidRPr="00617BAE">
        <w:rPr>
          <w:rFonts w:ascii="Arial" w:hAnsi="Arial" w:cs="Arial"/>
          <w:b/>
          <w:sz w:val="24"/>
          <w:szCs w:val="24"/>
        </w:rPr>
        <w:lastRenderedPageBreak/>
        <w:t>Management Commentary (Cont’d)</w:t>
      </w:r>
    </w:p>
    <w:p w:rsidR="0021497B" w:rsidRPr="00617BAE" w:rsidRDefault="0021497B" w:rsidP="0021497B">
      <w:pPr>
        <w:rPr>
          <w:rFonts w:ascii="Arial" w:hAnsi="Arial" w:cs="Arial"/>
          <w:b/>
          <w:sz w:val="24"/>
          <w:szCs w:val="24"/>
        </w:rPr>
      </w:pPr>
    </w:p>
    <w:p w:rsidR="0021497B" w:rsidRPr="00617BAE" w:rsidRDefault="0021497B" w:rsidP="0021497B">
      <w:pPr>
        <w:keepNext/>
        <w:spacing w:before="0" w:after="0"/>
        <w:outlineLvl w:val="1"/>
        <w:rPr>
          <w:rFonts w:ascii="Arial" w:hAnsi="Arial" w:cs="Arial"/>
          <w:b/>
          <w:bCs/>
          <w:color w:val="000000"/>
          <w:u w:val="single"/>
        </w:rPr>
      </w:pPr>
      <w:r w:rsidRPr="00617BAE">
        <w:rPr>
          <w:rFonts w:ascii="Arial" w:hAnsi="Arial" w:cs="Arial"/>
          <w:b/>
          <w:bCs/>
          <w:color w:val="000000"/>
          <w:u w:val="single"/>
        </w:rPr>
        <w:t>3. Overview of Core Financial Statements (Cont’d)</w:t>
      </w:r>
      <w:r w:rsidRPr="00617BAE">
        <w:rPr>
          <w:rFonts w:ascii="Arial" w:hAnsi="Arial" w:cs="Arial"/>
          <w:u w:val="single"/>
          <w:lang w:val="en-US"/>
        </w:rPr>
        <w:t> </w:t>
      </w:r>
    </w:p>
    <w:p w:rsidR="0021497B" w:rsidRDefault="0021497B" w:rsidP="0021497B">
      <w:pPr>
        <w:spacing w:before="0" w:after="0"/>
        <w:outlineLvl w:val="5"/>
        <w:rPr>
          <w:rFonts w:ascii="Arial" w:hAnsi="Arial" w:cs="Arial"/>
          <w:b/>
          <w:bCs/>
        </w:rPr>
      </w:pPr>
    </w:p>
    <w:p w:rsidR="0021497B" w:rsidRPr="00617BAE" w:rsidRDefault="0021497B" w:rsidP="0021497B">
      <w:pPr>
        <w:spacing w:before="0" w:after="0"/>
        <w:outlineLvl w:val="5"/>
        <w:rPr>
          <w:rFonts w:ascii="Arial" w:hAnsi="Arial" w:cs="Arial"/>
          <w:b/>
          <w:bCs/>
          <w:lang w:val="en-US"/>
        </w:rPr>
      </w:pPr>
      <w:r w:rsidRPr="00617BAE">
        <w:rPr>
          <w:rFonts w:ascii="Arial" w:hAnsi="Arial" w:cs="Arial"/>
          <w:b/>
          <w:bCs/>
        </w:rPr>
        <w:t>Group Accounts</w:t>
      </w:r>
    </w:p>
    <w:p w:rsidR="0021497B" w:rsidRPr="00617BAE" w:rsidRDefault="0021497B" w:rsidP="0021497B">
      <w:pPr>
        <w:spacing w:before="0" w:after="0"/>
        <w:rPr>
          <w:rFonts w:ascii="Arial" w:hAnsi="Arial" w:cs="Arial"/>
          <w:highlight w:val="yellow"/>
        </w:rPr>
      </w:pPr>
      <w:r w:rsidRPr="00617BAE">
        <w:rPr>
          <w:rFonts w:ascii="Arial" w:hAnsi="Arial" w:cs="Arial"/>
        </w:rPr>
        <w:t>Local authorities are required to prepare group accounts in addition to their own Financial Statements where they have material interest in other organisations.</w:t>
      </w:r>
      <w:r w:rsidR="00EB691C">
        <w:rPr>
          <w:rFonts w:ascii="Arial" w:hAnsi="Arial" w:cs="Arial"/>
        </w:rPr>
        <w:t>  The group accounts on pages 92 to 101</w:t>
      </w:r>
      <w:r w:rsidRPr="00617BAE">
        <w:rPr>
          <w:rFonts w:ascii="Arial" w:hAnsi="Arial" w:cs="Arial"/>
        </w:rPr>
        <w:t xml:space="preserve"> consolidate the council’s Financial Statements, the Common Good and Trust Funds and six other entities (including two further subsidiaries – West Dunbartonshire Leisure Trust and Clydebank Property Company). The effect of combining these entities on the Group Balances Sheet is to increase reserves and net assets </w:t>
      </w:r>
      <w:r w:rsidRPr="001442A4">
        <w:rPr>
          <w:rFonts w:ascii="Arial" w:hAnsi="Arial" w:cs="Arial"/>
        </w:rPr>
        <w:t>by £</w:t>
      </w:r>
      <w:r w:rsidR="0067574D">
        <w:rPr>
          <w:rFonts w:ascii="Arial" w:hAnsi="Arial" w:cs="Arial"/>
        </w:rPr>
        <w:t>30.025</w:t>
      </w:r>
      <w:r w:rsidRPr="001442A4">
        <w:rPr>
          <w:rFonts w:ascii="Arial" w:hAnsi="Arial" w:cs="Arial"/>
        </w:rPr>
        <w:t>m</w:t>
      </w:r>
      <w:r w:rsidRPr="00617BAE">
        <w:rPr>
          <w:rFonts w:ascii="Arial" w:hAnsi="Arial" w:cs="Arial"/>
        </w:rPr>
        <w:t xml:space="preserve"> creating an overall net </w:t>
      </w:r>
      <w:r w:rsidRPr="00AB7DE4">
        <w:rPr>
          <w:rFonts w:ascii="Arial" w:hAnsi="Arial" w:cs="Arial"/>
        </w:rPr>
        <w:t>asset of £</w:t>
      </w:r>
      <w:r w:rsidR="00AB7DE4" w:rsidRPr="00AB7DE4">
        <w:rPr>
          <w:rFonts w:ascii="Arial" w:hAnsi="Arial" w:cs="Arial"/>
        </w:rPr>
        <w:t>314.937</w:t>
      </w:r>
      <w:r w:rsidRPr="00AB7DE4">
        <w:rPr>
          <w:rFonts w:ascii="Arial" w:hAnsi="Arial" w:cs="Arial"/>
        </w:rPr>
        <w:t>m.</w:t>
      </w:r>
      <w:r w:rsidRPr="001442A4">
        <w:rPr>
          <w:rFonts w:ascii="Arial" w:hAnsi="Arial" w:cs="Arial"/>
        </w:rPr>
        <w:t xml:space="preserve"> This</w:t>
      </w:r>
      <w:r w:rsidRPr="00617BAE">
        <w:rPr>
          <w:rFonts w:ascii="Arial" w:hAnsi="Arial" w:cs="Arial"/>
        </w:rPr>
        <w:t xml:space="preserve"> includes the combined pension liability of these organisations similar to that of the council. As there is no reason to suggest the future funding to these organisations will not continue, the accounts have been prepared on a going concern basis.</w:t>
      </w:r>
    </w:p>
    <w:p w:rsidR="0021497B" w:rsidRPr="00617BAE" w:rsidRDefault="0021497B" w:rsidP="0021497B">
      <w:pPr>
        <w:spacing w:before="0" w:after="0"/>
        <w:jc w:val="both"/>
        <w:rPr>
          <w:rFonts w:ascii="Arial" w:hAnsi="Arial" w:cs="Arial"/>
          <w:b/>
          <w:bCs/>
          <w:u w:val="single"/>
          <w:lang w:val="en-US"/>
        </w:rPr>
      </w:pPr>
    </w:p>
    <w:p w:rsidR="0021497B" w:rsidRPr="00617BAE" w:rsidRDefault="0021497B" w:rsidP="0021497B">
      <w:pPr>
        <w:spacing w:before="0" w:after="0"/>
        <w:jc w:val="both"/>
        <w:rPr>
          <w:rFonts w:ascii="Arial" w:hAnsi="Arial" w:cs="Arial"/>
          <w:b/>
          <w:bCs/>
          <w:u w:val="single"/>
          <w:lang w:val="en-US"/>
        </w:rPr>
      </w:pPr>
      <w:r w:rsidRPr="00617BAE">
        <w:rPr>
          <w:rFonts w:ascii="Arial" w:hAnsi="Arial" w:cs="Arial"/>
          <w:b/>
          <w:bCs/>
          <w:u w:val="single"/>
          <w:lang w:val="en-US"/>
        </w:rPr>
        <w:t>4. The Financial Outlook, Key Risks and the Future</w:t>
      </w: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In setting the budget for 2020/21, the council faced a number of significant financial pressures resulting from reducing central government funding, inflationary pressures and service demand increases and the ongoing impact of the economic position and welfare reform.  </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The council’s Long Term Financial Strategy (LTFS) published in November 2019 highlighted that the pressure on public finances is expected to continue for the next 5 years. Local Government is not one of the  “protected” spend areas within the Scottish Government’s budget, which means it is likely that ongoing real terms funding reductions will be experienced.</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At the same time demand for services is expected to continue to increase, driven by demographic change and policy pressures. The Scottish Government settlement for 2020/21 was a further one year settlement though the settlement was better than had been anticipated, particularly as a result of additional funds allocated by the Scottish Government in getting the budget through Parliament. It is not clear, due to single year settlement </w:t>
      </w:r>
      <w:r w:rsidR="00A40F8F">
        <w:rPr>
          <w:rFonts w:ascii="Arial" w:hAnsi="Arial" w:cs="Arial"/>
          <w:lang w:val="en-US"/>
        </w:rPr>
        <w:t xml:space="preserve">how </w:t>
      </w:r>
      <w:r w:rsidRPr="00617BAE">
        <w:rPr>
          <w:rFonts w:ascii="Arial" w:hAnsi="Arial" w:cs="Arial"/>
          <w:lang w:val="en-US"/>
        </w:rPr>
        <w:t xml:space="preserve">the 2020/21 settlement will translate into future years.   </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The LTFS is reviewed annually providing analysis of issues for the next three financial years and some higher level analysis and risks over the next 10 years. The strategy aims to allow the council to plan ahead and take appropriate action to maintain budgets within expected levels of funding.</w:t>
      </w:r>
    </w:p>
    <w:p w:rsidR="0021497B" w:rsidRPr="00617BAE" w:rsidRDefault="0021497B" w:rsidP="0021497B">
      <w:pPr>
        <w:spacing w:before="0" w:after="0"/>
        <w:rPr>
          <w:rFonts w:ascii="Arial" w:hAnsi="Arial" w:cs="Arial"/>
        </w:rPr>
      </w:pPr>
    </w:p>
    <w:p w:rsidR="0021497B" w:rsidRDefault="0021497B" w:rsidP="0021497B">
      <w:pPr>
        <w:spacing w:before="0" w:after="0"/>
        <w:rPr>
          <w:rFonts w:ascii="Arial" w:hAnsi="Arial" w:cs="Arial"/>
          <w:lang w:val="en-US"/>
        </w:rPr>
      </w:pPr>
      <w:r w:rsidRPr="00617BAE">
        <w:rPr>
          <w:rFonts w:ascii="Arial" w:hAnsi="Arial" w:cs="Arial"/>
          <w:lang w:val="en-US"/>
        </w:rPr>
        <w:t xml:space="preserve">The council refreshed the Long Term Financial Strategy in November 2019 and in setting the council budget for 2020/21 in March 2020.  Following the setting of the budget in March 2020, the projections have identified current expected gaps of £6.051m in 2021/22 and a further £7.017m for 2022/23. The strategy will be reviewed by council later in 2020 and in setting the budget for 2021/22. At the Council meeting on 4 March 2020, the General Fund and HRA capital plans and HRA revenue budget for 2020/21 were approved. These plans include funding for a number of projects over the next three years and the revenue impact of these investments will be built into future revenue plans.  </w:t>
      </w:r>
    </w:p>
    <w:p w:rsidR="00727F30" w:rsidRDefault="00727F30" w:rsidP="0021497B">
      <w:pPr>
        <w:spacing w:before="0" w:after="0"/>
        <w:rPr>
          <w:rFonts w:ascii="Arial" w:hAnsi="Arial" w:cs="Arial"/>
          <w:lang w:val="en-US"/>
        </w:rPr>
      </w:pPr>
    </w:p>
    <w:p w:rsidR="00727F30" w:rsidRPr="00617BAE" w:rsidRDefault="00727F30" w:rsidP="0021497B">
      <w:pPr>
        <w:spacing w:before="0" w:after="0"/>
        <w:rPr>
          <w:rFonts w:ascii="Arial" w:hAnsi="Arial" w:cs="Arial"/>
          <w:lang w:val="en-US"/>
        </w:rPr>
      </w:pPr>
      <w:r>
        <w:rPr>
          <w:rFonts w:ascii="Arial" w:hAnsi="Arial" w:cs="Arial"/>
          <w:lang w:val="en-US"/>
        </w:rPr>
        <w:t>The General Services revenue budget for 2020/21 was set with the use of revenue reserves, an element of which was generated from a Loans Fund Review (£1.893m) agreed by Council prior to setting the revenue budget for 2020/21, following external advice on accountancy treatment of the overpaid principal payments in previous years. During the drafting of the 2019/20 Financial Statements, the advice was updated resulting in the reserve projected from actioning the Loans Fund Review not being available for use as planned. Therefore, this element of reserves to be used to balance the 2020/21 budget now requires to be generated from the council’s free reserve – bringing the level of free reserves under the Prudential Reserve Target. The council will consider action required to meet the Prudential Target at future Council meetings.</w:t>
      </w:r>
    </w:p>
    <w:p w:rsidR="0021497B" w:rsidRPr="00617BAE" w:rsidRDefault="0021497B" w:rsidP="0021497B">
      <w:pPr>
        <w:spacing w:before="0" w:after="0"/>
        <w:rPr>
          <w:rFonts w:ascii="Arial" w:hAnsi="Arial" w:cs="Arial"/>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Default="00727F30" w:rsidP="0021497B">
      <w:pPr>
        <w:spacing w:before="0" w:after="0"/>
        <w:rPr>
          <w:rFonts w:ascii="Arial" w:hAnsi="Arial" w:cs="Arial"/>
          <w:b/>
          <w:bCs/>
          <w:lang w:val="en-US"/>
        </w:rPr>
      </w:pPr>
    </w:p>
    <w:p w:rsidR="00727F30" w:rsidRPr="00617BAE" w:rsidRDefault="00727F30" w:rsidP="00727F30">
      <w:pPr>
        <w:rPr>
          <w:rFonts w:ascii="Arial" w:hAnsi="Arial" w:cs="Arial"/>
          <w:b/>
          <w:sz w:val="24"/>
          <w:szCs w:val="24"/>
        </w:rPr>
      </w:pPr>
      <w:r w:rsidRPr="00617BAE">
        <w:rPr>
          <w:rFonts w:ascii="Arial" w:hAnsi="Arial" w:cs="Arial"/>
          <w:b/>
          <w:sz w:val="24"/>
          <w:szCs w:val="24"/>
        </w:rPr>
        <w:lastRenderedPageBreak/>
        <w:t>Management Commentary (Cont’d)</w:t>
      </w:r>
    </w:p>
    <w:p w:rsidR="00727F30" w:rsidRPr="00617BAE" w:rsidRDefault="00727F30" w:rsidP="00727F30">
      <w:pPr>
        <w:spacing w:before="0" w:after="0" w:line="276" w:lineRule="auto"/>
        <w:contextualSpacing/>
        <w:rPr>
          <w:rFonts w:ascii="Arial" w:hAnsi="Arial" w:cs="Arial"/>
          <w:lang w:val="en-US"/>
        </w:rPr>
      </w:pPr>
    </w:p>
    <w:p w:rsidR="00727F30" w:rsidRPr="00617BAE" w:rsidRDefault="00727F30" w:rsidP="00727F30">
      <w:pPr>
        <w:spacing w:before="0" w:after="0"/>
        <w:jc w:val="both"/>
        <w:rPr>
          <w:rFonts w:ascii="Arial" w:hAnsi="Arial" w:cs="Arial"/>
          <w:b/>
          <w:bCs/>
          <w:u w:val="single"/>
          <w:lang w:val="en-US"/>
        </w:rPr>
      </w:pPr>
      <w:r w:rsidRPr="00617BAE">
        <w:rPr>
          <w:rFonts w:ascii="Arial" w:hAnsi="Arial" w:cs="Arial"/>
          <w:b/>
          <w:bCs/>
          <w:u w:val="single"/>
          <w:lang w:val="en-US"/>
        </w:rPr>
        <w:t>4. The Financial Outlook, Key Risks and the Future (cont’d)</w:t>
      </w:r>
    </w:p>
    <w:p w:rsidR="00727F30" w:rsidRDefault="00727F30" w:rsidP="0021497B">
      <w:pPr>
        <w:spacing w:before="0" w:after="0"/>
        <w:rPr>
          <w:rFonts w:ascii="Arial" w:hAnsi="Arial" w:cs="Arial"/>
          <w:b/>
          <w:bCs/>
          <w:lang w:val="en-US"/>
        </w:rPr>
      </w:pPr>
    </w:p>
    <w:p w:rsidR="0021497B" w:rsidRPr="00617BAE" w:rsidRDefault="0021497B" w:rsidP="0021497B">
      <w:pPr>
        <w:spacing w:before="0" w:after="0"/>
        <w:rPr>
          <w:rFonts w:ascii="Arial" w:hAnsi="Arial" w:cs="Arial"/>
          <w:b/>
          <w:bCs/>
          <w:lang w:val="en-US"/>
        </w:rPr>
      </w:pPr>
      <w:r w:rsidRPr="00617BAE">
        <w:rPr>
          <w:rFonts w:ascii="Arial" w:hAnsi="Arial" w:cs="Arial"/>
          <w:b/>
          <w:bCs/>
          <w:lang w:val="en-US"/>
        </w:rPr>
        <w:t>Covid-19</w:t>
      </w:r>
    </w:p>
    <w:p w:rsidR="0021497B" w:rsidRPr="00727F30" w:rsidRDefault="0021497B" w:rsidP="00727F30">
      <w:pPr>
        <w:rPr>
          <w:rFonts w:ascii="Arial" w:hAnsi="Arial" w:cs="Arial"/>
        </w:rPr>
      </w:pPr>
      <w:r w:rsidRPr="00617BAE">
        <w:rPr>
          <w:rFonts w:ascii="Arial" w:hAnsi="Arial" w:cs="Arial"/>
          <w:lang w:val="en-US"/>
        </w:rPr>
        <w:t>Late in financial year 2019/20 it became apparent that the covid-19 outbreak was becoming serious and the UK and Scottish Government imposed lockdowns on work life from 23 March 2020 with schools having closed on 20 March 2020. Due to the timing of this move there has been little impact in 2019/20 in terms of governance and control processes. Clearly the impact of covid-19 will be significant across Scotland and this is no different wit</w:t>
      </w:r>
      <w:r w:rsidR="00A40F8F">
        <w:rPr>
          <w:rFonts w:ascii="Arial" w:hAnsi="Arial" w:cs="Arial"/>
          <w:lang w:val="en-US"/>
        </w:rPr>
        <w:t>hin West Dunbartonshire Council</w:t>
      </w:r>
      <w:r w:rsidRPr="00617BAE">
        <w:rPr>
          <w:rFonts w:ascii="Arial" w:hAnsi="Arial" w:cs="Arial"/>
          <w:lang w:val="en-US"/>
        </w:rPr>
        <w:t>, with most non-care service provision ending or significantly reduced as from the date of lockdown. Covid-19 lockdown has had and will continue to have financial and service provision implications, even as lockdown eases over time and as long as social distancing and other virus control measures require to be implemented and followed. It is anticipated that the most significant financial impact will be experienced in 2020/21. Early in 2020/21 the Council implemented revised governance and cost control measures. The financial impact is not yet known, however the Scottish Government has provided additional funding to support the Council. The ongoing financial impact will be reported to Members together with details of the revised governance arrangements as required and it may be necessary for the Council to make decisions on future service delivery depending on the totality of the financial impact and Government funding availability.</w:t>
      </w:r>
      <w:r w:rsidRPr="00617BAE">
        <w:rPr>
          <w:rFonts w:ascii="Arial" w:hAnsi="Arial" w:cs="Arial"/>
        </w:rPr>
        <w:t xml:space="preserve"> A detailed approval log is being maintained and scrutinised by senior management, including approval requirements of any decisions with financial implications for the council. </w:t>
      </w:r>
    </w:p>
    <w:p w:rsidR="0021497B" w:rsidRPr="00617BAE" w:rsidRDefault="0021497B" w:rsidP="0021497B">
      <w:pPr>
        <w:spacing w:before="0" w:after="0"/>
        <w:rPr>
          <w:rFonts w:ascii="Arial" w:hAnsi="Arial" w:cs="Arial"/>
          <w:lang w:val="en-US"/>
        </w:rPr>
      </w:pPr>
    </w:p>
    <w:p w:rsidR="0021497B" w:rsidRPr="00617BAE" w:rsidRDefault="0021497B" w:rsidP="0021497B">
      <w:pPr>
        <w:autoSpaceDE w:val="0"/>
        <w:autoSpaceDN w:val="0"/>
        <w:rPr>
          <w:rFonts w:ascii="Arial" w:hAnsi="Arial" w:cs="Arial"/>
        </w:rPr>
      </w:pPr>
      <w:r w:rsidRPr="00617BAE">
        <w:rPr>
          <w:rFonts w:ascii="Arial" w:hAnsi="Arial" w:cs="Arial"/>
        </w:rPr>
        <w:t>Government imposed lockdown has resulted in closure of all educational provision, cultural and leisure provision, significantly reduced activity in relation to building works, roads works, outdoor services and changes to waste management. Offices and face-to-face service provision have been significantly reduced. A large number of staff have been able to work from home and educational hubs and crisis and support provision has been implemented to support residents most in need of support. Social care services have continued though</w:t>
      </w:r>
      <w:r w:rsidR="00A40F8F">
        <w:rPr>
          <w:rFonts w:ascii="Arial" w:hAnsi="Arial" w:cs="Arial"/>
        </w:rPr>
        <w:t>,</w:t>
      </w:r>
      <w:r w:rsidRPr="00617BAE">
        <w:rPr>
          <w:rFonts w:ascii="Arial" w:hAnsi="Arial" w:cs="Arial"/>
        </w:rPr>
        <w:t xml:space="preserve"> in some cases</w:t>
      </w:r>
      <w:r w:rsidR="00A40F8F">
        <w:rPr>
          <w:rFonts w:ascii="Arial" w:hAnsi="Arial" w:cs="Arial"/>
        </w:rPr>
        <w:t>,</w:t>
      </w:r>
      <w:r w:rsidRPr="00617BAE">
        <w:rPr>
          <w:rFonts w:ascii="Arial" w:hAnsi="Arial" w:cs="Arial"/>
        </w:rPr>
        <w:t xml:space="preserve"> in a different or reduced format as risk has been balanced with need and due to high numbers of staff being impacted either by infection or isolating. Through the lockdown period staff have been advised to stay at home except for those where it has been deemed that it was essential that they physically attend work. Sickness rates have varied across services with a short peak in covid-related absence offset generally by a reduction in other absences. The Council has followed Scottish Government procurement guidance in relation to supporting businesses through the crisis. Capital projects will have been delayed due to covid; it is currently not clear as to the extent of this and any financial impact of this.</w:t>
      </w:r>
    </w:p>
    <w:p w:rsidR="0021497B" w:rsidRPr="00617BAE" w:rsidRDefault="0021497B" w:rsidP="0021497B">
      <w:pPr>
        <w:autoSpaceDE w:val="0"/>
        <w:autoSpaceDN w:val="0"/>
        <w:rPr>
          <w:rFonts w:ascii="Arial" w:hAnsi="Arial" w:cs="Arial"/>
        </w:rPr>
      </w:pPr>
    </w:p>
    <w:p w:rsidR="0021497B" w:rsidRPr="00617BAE" w:rsidRDefault="0021497B" w:rsidP="00A40F8F">
      <w:pPr>
        <w:autoSpaceDE w:val="0"/>
        <w:autoSpaceDN w:val="0"/>
        <w:rPr>
          <w:rFonts w:ascii="Arial" w:hAnsi="Arial" w:cs="Arial"/>
        </w:rPr>
      </w:pPr>
      <w:r w:rsidRPr="00617BAE">
        <w:rPr>
          <w:rFonts w:ascii="Arial" w:hAnsi="Arial" w:cs="Arial"/>
        </w:rPr>
        <w:t>With significant disruption</w:t>
      </w:r>
      <w:r w:rsidR="00A40F8F">
        <w:rPr>
          <w:rFonts w:ascii="Arial" w:hAnsi="Arial" w:cs="Arial"/>
        </w:rPr>
        <w:t xml:space="preserve"> on</w:t>
      </w:r>
      <w:r w:rsidRPr="00617BAE">
        <w:rPr>
          <w:rFonts w:ascii="Arial" w:hAnsi="Arial" w:cs="Arial"/>
        </w:rPr>
        <w:t xml:space="preserve"> how services are being delivered into 2020/21</w:t>
      </w:r>
      <w:r w:rsidR="00A40F8F">
        <w:rPr>
          <w:rFonts w:ascii="Arial" w:hAnsi="Arial" w:cs="Arial"/>
        </w:rPr>
        <w:t>,</w:t>
      </w:r>
      <w:r w:rsidRPr="00617BAE">
        <w:rPr>
          <w:rFonts w:ascii="Arial" w:hAnsi="Arial" w:cs="Arial"/>
        </w:rPr>
        <w:t xml:space="preserve"> </w:t>
      </w:r>
      <w:r w:rsidR="00A40F8F">
        <w:rPr>
          <w:rFonts w:ascii="Arial" w:hAnsi="Arial" w:cs="Arial"/>
        </w:rPr>
        <w:t xml:space="preserve">which is </w:t>
      </w:r>
      <w:r w:rsidRPr="00617BAE">
        <w:rPr>
          <w:rFonts w:ascii="Arial" w:hAnsi="Arial" w:cs="Arial"/>
        </w:rPr>
        <w:t xml:space="preserve">certain to continue in the medium to longer term, the CMT are developing plans to capture the shift from business as usual activity and ensure the council can continue to meet requirements and achieve the strategic priorities set out in the Strategic Plan.  This planning activity will take into consideration the reflective learning from the first phase of responding to the pandemic and engaging with key stakeholders in planning future service provision.  </w:t>
      </w:r>
    </w:p>
    <w:p w:rsidR="0021497B" w:rsidRPr="00617BAE" w:rsidRDefault="0021497B" w:rsidP="0021497B">
      <w:pPr>
        <w:rPr>
          <w:rFonts w:ascii="Arial" w:hAnsi="Arial" w:cs="Arial"/>
        </w:rPr>
      </w:pPr>
    </w:p>
    <w:p w:rsidR="0021497B" w:rsidRPr="00617BAE" w:rsidRDefault="0021497B" w:rsidP="0021497B">
      <w:pPr>
        <w:autoSpaceDE w:val="0"/>
        <w:autoSpaceDN w:val="0"/>
        <w:rPr>
          <w:rFonts w:ascii="Arial" w:hAnsi="Arial" w:cs="Arial"/>
        </w:rPr>
      </w:pPr>
      <w:r w:rsidRPr="00617BAE">
        <w:rPr>
          <w:rFonts w:ascii="Arial" w:hAnsi="Arial" w:cs="Arial"/>
        </w:rPr>
        <w:t xml:space="preserve">The financial impact of implementing the required changes to services and service delivery models (e.g. to support social distancing requirements, support staff with the appropriate PPE and manage the new and changing levels of need and demand) is significant and likely to be ongoing and evolving.  In addition there is an impact on income levels as services are closed and it is unclear how this will recover as lockdown eases. </w:t>
      </w:r>
    </w:p>
    <w:p w:rsidR="0021497B" w:rsidRPr="00617BAE" w:rsidRDefault="0021497B" w:rsidP="0021497B">
      <w:pPr>
        <w:autoSpaceDE w:val="0"/>
        <w:autoSpaceDN w:val="0"/>
        <w:rPr>
          <w:rFonts w:ascii="Arial" w:hAnsi="Arial" w:cs="Arial"/>
        </w:rPr>
      </w:pPr>
    </w:p>
    <w:p w:rsidR="0021497B" w:rsidRPr="00617BAE" w:rsidRDefault="0021497B" w:rsidP="0021497B">
      <w:pPr>
        <w:autoSpaceDE w:val="0"/>
        <w:autoSpaceDN w:val="0"/>
        <w:rPr>
          <w:rFonts w:ascii="Arial" w:hAnsi="Arial" w:cs="Arial"/>
        </w:rPr>
      </w:pPr>
      <w:r w:rsidRPr="00617BAE">
        <w:rPr>
          <w:rFonts w:ascii="Arial" w:hAnsi="Arial" w:cs="Arial"/>
        </w:rPr>
        <w:t>The “new normal” will have an impact on service demand and the consequences of this will have to be clearly laid out within the current performance management and reporting framework and in future service and budget planning.  It will be important for the Council, at the appropriate time, to carry out a post-incident review and highlight any lessons learned.</w:t>
      </w:r>
    </w:p>
    <w:p w:rsidR="0021497B" w:rsidRPr="00617BAE" w:rsidRDefault="0021497B" w:rsidP="0021497B">
      <w:pPr>
        <w:spacing w:before="0" w:after="0"/>
        <w:rPr>
          <w:rFonts w:ascii="Arial" w:hAnsi="Arial" w:cs="Arial"/>
        </w:rPr>
      </w:pPr>
    </w:p>
    <w:p w:rsidR="00727F30" w:rsidRDefault="00727F30" w:rsidP="0021497B">
      <w:pPr>
        <w:spacing w:before="0" w:after="0"/>
        <w:rPr>
          <w:rFonts w:ascii="Arial" w:hAnsi="Arial" w:cs="Arial"/>
        </w:rPr>
      </w:pPr>
    </w:p>
    <w:p w:rsidR="00727F30" w:rsidRDefault="00727F30" w:rsidP="0021497B">
      <w:pPr>
        <w:spacing w:before="0" w:after="0"/>
        <w:rPr>
          <w:rFonts w:ascii="Arial" w:hAnsi="Arial" w:cs="Arial"/>
        </w:rPr>
      </w:pPr>
    </w:p>
    <w:p w:rsidR="00727F30" w:rsidRDefault="00727F30" w:rsidP="0021497B">
      <w:pPr>
        <w:spacing w:before="0" w:after="0"/>
        <w:rPr>
          <w:rFonts w:ascii="Arial" w:hAnsi="Arial" w:cs="Arial"/>
        </w:rPr>
      </w:pPr>
    </w:p>
    <w:p w:rsidR="00727F30" w:rsidRDefault="00727F30" w:rsidP="0021497B">
      <w:pPr>
        <w:spacing w:before="0" w:after="0"/>
        <w:rPr>
          <w:rFonts w:ascii="Arial" w:hAnsi="Arial" w:cs="Arial"/>
        </w:rPr>
      </w:pPr>
    </w:p>
    <w:p w:rsidR="00727F30" w:rsidRDefault="00727F30" w:rsidP="0021497B">
      <w:pPr>
        <w:spacing w:before="0" w:after="0"/>
        <w:rPr>
          <w:rFonts w:ascii="Arial" w:hAnsi="Arial" w:cs="Arial"/>
        </w:rPr>
      </w:pPr>
    </w:p>
    <w:p w:rsidR="00727F30" w:rsidRPr="00F951FC" w:rsidRDefault="00727F30" w:rsidP="00727F30">
      <w:pPr>
        <w:rPr>
          <w:rFonts w:ascii="Arial" w:hAnsi="Arial" w:cs="Arial"/>
          <w:b/>
          <w:sz w:val="24"/>
          <w:szCs w:val="24"/>
        </w:rPr>
      </w:pPr>
      <w:r w:rsidRPr="00F951FC">
        <w:rPr>
          <w:rFonts w:ascii="Arial" w:hAnsi="Arial" w:cs="Arial"/>
          <w:b/>
          <w:sz w:val="24"/>
          <w:szCs w:val="24"/>
        </w:rPr>
        <w:lastRenderedPageBreak/>
        <w:t>Management Commentary (Cont’d)</w:t>
      </w:r>
    </w:p>
    <w:p w:rsidR="00727F30" w:rsidRPr="00F951FC" w:rsidRDefault="00727F30" w:rsidP="00727F30">
      <w:pPr>
        <w:spacing w:before="0" w:after="0" w:line="276" w:lineRule="auto"/>
        <w:rPr>
          <w:rFonts w:ascii="Arial" w:hAnsi="Arial" w:cs="Arial"/>
          <w:lang w:val="en-US"/>
        </w:rPr>
      </w:pPr>
    </w:p>
    <w:p w:rsidR="00727F30" w:rsidRPr="00F951FC" w:rsidRDefault="00727F30" w:rsidP="00727F30">
      <w:pPr>
        <w:spacing w:before="0" w:after="0"/>
        <w:jc w:val="both"/>
        <w:rPr>
          <w:rFonts w:ascii="Arial" w:hAnsi="Arial" w:cs="Arial"/>
          <w:b/>
          <w:bCs/>
          <w:u w:val="single"/>
          <w:lang w:val="en-US"/>
        </w:rPr>
      </w:pPr>
      <w:r w:rsidRPr="00F951FC">
        <w:rPr>
          <w:rFonts w:ascii="Arial" w:hAnsi="Arial" w:cs="Arial"/>
          <w:b/>
          <w:bCs/>
          <w:u w:val="single"/>
          <w:lang w:val="en-US"/>
        </w:rPr>
        <w:t>The Financial Outlook, Key Risks and the Future (cont’d)</w:t>
      </w:r>
    </w:p>
    <w:p w:rsidR="00727F30" w:rsidRPr="00727F30" w:rsidRDefault="00727F30" w:rsidP="0021497B">
      <w:pPr>
        <w:spacing w:before="0" w:after="0"/>
        <w:rPr>
          <w:rFonts w:ascii="Arial" w:hAnsi="Arial" w:cs="Arial"/>
          <w:lang w:val="en-US"/>
        </w:rPr>
      </w:pPr>
    </w:p>
    <w:p w:rsidR="0021497B" w:rsidRDefault="0021497B" w:rsidP="0021497B">
      <w:pPr>
        <w:spacing w:before="0" w:after="0"/>
        <w:rPr>
          <w:rFonts w:ascii="Arial" w:hAnsi="Arial" w:cs="Arial"/>
        </w:rPr>
      </w:pPr>
      <w:r w:rsidRPr="00617BAE">
        <w:rPr>
          <w:rFonts w:ascii="Arial" w:hAnsi="Arial" w:cs="Arial"/>
        </w:rPr>
        <w:t>Currently the Scottish Government has provided significant additional resource</w:t>
      </w:r>
      <w:r w:rsidR="005F5DD0">
        <w:rPr>
          <w:rFonts w:ascii="Arial" w:hAnsi="Arial" w:cs="Arial"/>
        </w:rPr>
        <w:t xml:space="preserve"> and flexibilities</w:t>
      </w:r>
      <w:r w:rsidRPr="00617BAE">
        <w:rPr>
          <w:rFonts w:ascii="Arial" w:hAnsi="Arial" w:cs="Arial"/>
        </w:rPr>
        <w:t xml:space="preserve"> to assist the Council to date, though the availability of further funding is unclear and uncertain. There is a significant risk that Council will require to consider service reductions and potential use of reserves to manage the financial impact. Currently it is not clear as to the ongoing future financial impact of covid-19 on the Council and its reserves. There is an expectation that financial impact will continue to be offset by government financial assistance, whether in direct monetary means or through provision of financial flexibilities. </w:t>
      </w:r>
    </w:p>
    <w:p w:rsidR="005F5DD0" w:rsidRDefault="005F5DD0" w:rsidP="0021497B">
      <w:pPr>
        <w:spacing w:before="0" w:after="0"/>
        <w:rPr>
          <w:rFonts w:ascii="Arial" w:hAnsi="Arial" w:cs="Arial"/>
        </w:rPr>
      </w:pPr>
    </w:p>
    <w:p w:rsidR="005F5DD0" w:rsidRPr="00617BAE" w:rsidRDefault="005F5DD0" w:rsidP="0021497B">
      <w:pPr>
        <w:spacing w:before="0" w:after="0"/>
        <w:rPr>
          <w:rFonts w:ascii="Arial" w:hAnsi="Arial" w:cs="Arial"/>
        </w:rPr>
      </w:pPr>
      <w:r w:rsidRPr="0067574D">
        <w:rPr>
          <w:rFonts w:ascii="Arial" w:hAnsi="Arial" w:cs="Arial"/>
        </w:rPr>
        <w:t>The budgetary control report to Council on 30 September 2020 projected that the net annual cost of covid-19 to the council for 2020/21 was £2.229m. This figure continues to be u</w:t>
      </w:r>
      <w:r w:rsidR="0067574D" w:rsidRPr="0067574D">
        <w:rPr>
          <w:rFonts w:ascii="Arial" w:hAnsi="Arial" w:cs="Arial"/>
        </w:rPr>
        <w:t>pdated as further additional costs and additional Scottish Government funding support</w:t>
      </w:r>
      <w:r w:rsidRPr="0067574D">
        <w:rPr>
          <w:rFonts w:ascii="Arial" w:hAnsi="Arial" w:cs="Arial"/>
        </w:rPr>
        <w:t xml:space="preserve"> become</w:t>
      </w:r>
      <w:r w:rsidR="0067574D" w:rsidRPr="0067574D">
        <w:rPr>
          <w:rFonts w:ascii="Arial" w:hAnsi="Arial" w:cs="Arial"/>
        </w:rPr>
        <w:t>s</w:t>
      </w:r>
      <w:r w:rsidRPr="0067574D">
        <w:rPr>
          <w:rFonts w:ascii="Arial" w:hAnsi="Arial" w:cs="Arial"/>
        </w:rPr>
        <w:t xml:space="preserve"> known. At this time the projected impact for 2021/22 is unknown.</w:t>
      </w:r>
    </w:p>
    <w:p w:rsidR="0021497B" w:rsidRPr="00617BAE" w:rsidRDefault="0021497B" w:rsidP="0021497B">
      <w:pPr>
        <w:spacing w:before="0" w:after="0"/>
        <w:jc w:val="both"/>
        <w:rPr>
          <w:rFonts w:ascii="Arial" w:hAnsi="Arial" w:cs="Arial"/>
          <w:b/>
          <w:bCs/>
          <w:lang w:val="en-US"/>
        </w:rPr>
      </w:pPr>
    </w:p>
    <w:p w:rsidR="0021497B" w:rsidRPr="00617BAE" w:rsidRDefault="0021497B" w:rsidP="0021497B">
      <w:pPr>
        <w:spacing w:before="0" w:after="0"/>
        <w:jc w:val="both"/>
        <w:rPr>
          <w:rFonts w:ascii="Arial" w:hAnsi="Arial" w:cs="Arial"/>
          <w:b/>
          <w:bCs/>
          <w:lang w:val="en-US"/>
        </w:rPr>
      </w:pPr>
      <w:r w:rsidRPr="00617BAE">
        <w:rPr>
          <w:rFonts w:ascii="Arial" w:hAnsi="Arial" w:cs="Arial"/>
          <w:b/>
          <w:bCs/>
          <w:lang w:val="en-US"/>
        </w:rPr>
        <w:t>Management of Risk</w:t>
      </w: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The main financial risks identified by the council over the medium and long term are highlighted within the council’s Long Term Financial Strategy and includes: </w:t>
      </w:r>
    </w:p>
    <w:p w:rsidR="0021497B" w:rsidRPr="00617BAE" w:rsidRDefault="0021497B" w:rsidP="0021497B">
      <w:pPr>
        <w:spacing w:before="0" w:after="0"/>
        <w:rPr>
          <w:rFonts w:ascii="Arial" w:hAnsi="Arial" w:cs="Arial"/>
          <w:lang w:val="en-US"/>
        </w:rPr>
      </w:pPr>
    </w:p>
    <w:p w:rsidR="0021497B" w:rsidRPr="00617BAE" w:rsidRDefault="0021497B" w:rsidP="0021497B">
      <w:pPr>
        <w:numPr>
          <w:ilvl w:val="0"/>
          <w:numId w:val="3"/>
        </w:numPr>
        <w:spacing w:before="0" w:after="0" w:line="276" w:lineRule="auto"/>
        <w:ind w:left="426" w:hanging="426"/>
        <w:contextualSpacing/>
        <w:rPr>
          <w:rFonts w:ascii="Arial" w:hAnsi="Arial" w:cs="Arial"/>
          <w:lang w:val="en-US"/>
        </w:rPr>
      </w:pPr>
      <w:r w:rsidRPr="00617BAE">
        <w:rPr>
          <w:rFonts w:ascii="Arial" w:hAnsi="Arial" w:cs="Arial"/>
          <w:lang w:val="en-US"/>
        </w:rPr>
        <w:t xml:space="preserve">the unknown position from government on future funding levels particularly given the ongoing decline in council population and the potential of continued austerity measures; </w:t>
      </w:r>
    </w:p>
    <w:p w:rsidR="0021497B" w:rsidRPr="00617BAE" w:rsidRDefault="0021497B" w:rsidP="0021497B">
      <w:pPr>
        <w:numPr>
          <w:ilvl w:val="0"/>
          <w:numId w:val="3"/>
        </w:numPr>
        <w:spacing w:before="0" w:after="0" w:line="276" w:lineRule="auto"/>
        <w:ind w:left="426" w:hanging="426"/>
        <w:contextualSpacing/>
        <w:rPr>
          <w:rFonts w:ascii="Arial" w:hAnsi="Arial" w:cs="Arial"/>
          <w:lang w:val="en-US"/>
        </w:rPr>
      </w:pPr>
      <w:r w:rsidRPr="00617BAE">
        <w:rPr>
          <w:rFonts w:ascii="Arial" w:hAnsi="Arial" w:cs="Arial"/>
          <w:lang w:val="en-US"/>
        </w:rPr>
        <w:t>the unknown financial implications of covid-19 and funding support from Scottish Government;</w:t>
      </w:r>
    </w:p>
    <w:p w:rsidR="0021497B" w:rsidRPr="00617BAE" w:rsidRDefault="0021497B" w:rsidP="0021497B">
      <w:pPr>
        <w:numPr>
          <w:ilvl w:val="0"/>
          <w:numId w:val="3"/>
        </w:numPr>
        <w:spacing w:before="0" w:after="0" w:line="276" w:lineRule="auto"/>
        <w:ind w:left="426" w:hanging="426"/>
        <w:contextualSpacing/>
        <w:rPr>
          <w:rFonts w:ascii="Arial" w:hAnsi="Arial" w:cs="Arial"/>
          <w:lang w:val="en-US"/>
        </w:rPr>
      </w:pPr>
      <w:r w:rsidRPr="00617BAE">
        <w:rPr>
          <w:rFonts w:ascii="Arial" w:hAnsi="Arial" w:cs="Arial"/>
          <w:lang w:val="en-US"/>
        </w:rPr>
        <w:t>the impact of the ongoing implementation of Universal Credit;</w:t>
      </w:r>
    </w:p>
    <w:p w:rsidR="0021497B" w:rsidRPr="00617BAE" w:rsidRDefault="0021497B" w:rsidP="0021497B">
      <w:pPr>
        <w:numPr>
          <w:ilvl w:val="0"/>
          <w:numId w:val="3"/>
        </w:numPr>
        <w:spacing w:before="0" w:after="0" w:line="276" w:lineRule="auto"/>
        <w:ind w:left="426" w:hanging="426"/>
        <w:contextualSpacing/>
        <w:rPr>
          <w:rFonts w:ascii="Arial" w:hAnsi="Arial" w:cs="Arial"/>
          <w:lang w:val="en-US"/>
        </w:rPr>
      </w:pPr>
      <w:r w:rsidRPr="00617BAE">
        <w:rPr>
          <w:rFonts w:ascii="Arial" w:hAnsi="Arial" w:cs="Arial"/>
          <w:lang w:val="en-US"/>
        </w:rPr>
        <w:t>changing demands and needs for council services (particularly in relation to older people); and</w:t>
      </w:r>
    </w:p>
    <w:p w:rsidR="0021497B" w:rsidRPr="00617BAE" w:rsidRDefault="0021497B" w:rsidP="0021497B">
      <w:pPr>
        <w:numPr>
          <w:ilvl w:val="0"/>
          <w:numId w:val="3"/>
        </w:numPr>
        <w:spacing w:before="0" w:after="0" w:line="276" w:lineRule="auto"/>
        <w:ind w:left="426" w:hanging="426"/>
        <w:contextualSpacing/>
        <w:rPr>
          <w:rFonts w:ascii="Arial" w:hAnsi="Arial" w:cs="Arial"/>
          <w:lang w:val="en-US"/>
        </w:rPr>
      </w:pPr>
      <w:r w:rsidRPr="00617BAE">
        <w:rPr>
          <w:rFonts w:ascii="Arial" w:hAnsi="Arial" w:cs="Arial"/>
          <w:lang w:val="en-US"/>
        </w:rPr>
        <w:t xml:space="preserve">council also plans major investment in a number of significant capital projects which will change the way in which some services are delivered and are partially funded through projected revenue savings – there is a risk that expected savings are not as planned. </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The Annual Governa</w:t>
      </w:r>
      <w:r w:rsidR="00EB691C">
        <w:rPr>
          <w:rFonts w:ascii="Arial" w:hAnsi="Arial" w:cs="Arial"/>
          <w:lang w:val="en-US"/>
        </w:rPr>
        <w:t>nce Statement, shown on pages 19 to 27</w:t>
      </w:r>
      <w:r w:rsidRPr="00617BAE">
        <w:rPr>
          <w:rFonts w:ascii="Arial" w:hAnsi="Arial" w:cs="Arial"/>
          <w:lang w:val="en-US"/>
        </w:rPr>
        <w:t>, details the arrangements the council has put in place for the proper governance of the council’s affairs and for the management of risk. This Statement explains the system of internal control in</w:t>
      </w:r>
      <w:r w:rsidR="009755C6">
        <w:rPr>
          <w:rFonts w:ascii="Arial" w:hAnsi="Arial" w:cs="Arial"/>
          <w:lang w:val="en-US"/>
        </w:rPr>
        <w:t xml:space="preserve"> place and sets out improvement</w:t>
      </w:r>
      <w:r w:rsidRPr="00617BAE">
        <w:rPr>
          <w:rFonts w:ascii="Arial" w:hAnsi="Arial" w:cs="Arial"/>
          <w:lang w:val="en-US"/>
        </w:rPr>
        <w:t xml:space="preserve"> actions to the governance framework identified from the council’s ongoing review of these arrangements.</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 xml:space="preserve">Risks are identified with actions to minimise and/or mitigate those risks (where possible) through the council’s performance monitoring system (pentana), which is reported to Members on a regular basis. </w:t>
      </w:r>
    </w:p>
    <w:p w:rsidR="0021497B" w:rsidRPr="00617BAE" w:rsidRDefault="0021497B" w:rsidP="0021497B">
      <w:pPr>
        <w:spacing w:before="0" w:after="0"/>
        <w:rPr>
          <w:rFonts w:ascii="Arial" w:hAnsi="Arial" w:cs="Arial"/>
          <w:color w:val="000000"/>
        </w:rPr>
      </w:pPr>
      <w:r w:rsidRPr="00617BAE">
        <w:rPr>
          <w:rFonts w:ascii="Arial" w:hAnsi="Arial" w:cs="Arial"/>
          <w:lang w:val="en-US"/>
        </w:rPr>
        <w:t xml:space="preserve">The Scottish Government changed council tax rules 2017/18 and there is potential for further reform of local government funding and organisation over the next few years.  </w:t>
      </w:r>
    </w:p>
    <w:p w:rsidR="0021497B" w:rsidRPr="00617BAE" w:rsidRDefault="0021497B" w:rsidP="0021497B">
      <w:pPr>
        <w:tabs>
          <w:tab w:val="right" w:pos="8931"/>
        </w:tabs>
        <w:spacing w:before="0" w:after="0"/>
        <w:ind w:right="-188"/>
        <w:rPr>
          <w:rFonts w:ascii="Arial" w:hAnsi="Arial" w:cs="Arial"/>
          <w:b/>
          <w:sz w:val="24"/>
          <w:szCs w:val="24"/>
        </w:rPr>
      </w:pPr>
    </w:p>
    <w:p w:rsidR="0021497B" w:rsidRPr="00617BAE" w:rsidRDefault="0021497B" w:rsidP="0021497B">
      <w:pPr>
        <w:spacing w:before="0" w:after="0"/>
        <w:jc w:val="both"/>
        <w:rPr>
          <w:rFonts w:ascii="Arial" w:hAnsi="Arial" w:cs="Arial"/>
          <w:lang w:val="en-US"/>
        </w:rPr>
      </w:pPr>
      <w:r w:rsidRPr="00617BAE">
        <w:rPr>
          <w:rFonts w:ascii="Arial" w:hAnsi="Arial" w:cs="Arial"/>
          <w:b/>
          <w:bCs/>
          <w:lang w:val="en-US"/>
        </w:rPr>
        <w:t xml:space="preserve">The Future </w:t>
      </w:r>
    </w:p>
    <w:p w:rsidR="0021497B" w:rsidRPr="00617BAE" w:rsidRDefault="0021497B" w:rsidP="0021497B">
      <w:pPr>
        <w:spacing w:before="0" w:after="0"/>
        <w:rPr>
          <w:rFonts w:ascii="Arial" w:hAnsi="Arial" w:cs="Arial"/>
          <w:lang w:val="en-US"/>
        </w:rPr>
      </w:pPr>
      <w:r w:rsidRPr="00617BAE">
        <w:rPr>
          <w:rFonts w:ascii="Arial" w:hAnsi="Arial" w:cs="Arial"/>
          <w:lang w:val="en-US"/>
        </w:rPr>
        <w:t>In recognition of the projected ongoing financial position, the council continues to identify service redesign and business transformation options and these will be reported to appropriate committees during 2020/21. Significant cost reductions have been generated through planned actions to generate savings and more efficient ways of working. As stated above the financial impact of covid-19 places a further layer of uncertainty and financial risk to the ongoing Council funding and the ability to continue to provide services on an ongoing basis.</w:t>
      </w:r>
    </w:p>
    <w:p w:rsidR="0021497B" w:rsidRPr="00617BAE" w:rsidRDefault="0021497B" w:rsidP="0021497B">
      <w:pPr>
        <w:spacing w:before="0" w:after="0"/>
        <w:rPr>
          <w:rFonts w:ascii="Arial" w:hAnsi="Arial" w:cs="Arial"/>
          <w:lang w:val="en-US"/>
        </w:rPr>
      </w:pPr>
    </w:p>
    <w:p w:rsidR="0021497B" w:rsidRPr="00617BAE" w:rsidRDefault="0021497B" w:rsidP="0021497B">
      <w:pPr>
        <w:spacing w:before="0" w:after="0"/>
        <w:rPr>
          <w:rFonts w:ascii="Arial" w:hAnsi="Arial" w:cs="Arial"/>
          <w:lang w:val="en-US"/>
        </w:rPr>
      </w:pPr>
      <w:r w:rsidRPr="00617BAE">
        <w:rPr>
          <w:rFonts w:ascii="Arial" w:hAnsi="Arial" w:cs="Arial"/>
          <w:lang w:val="en-US"/>
        </w:rPr>
        <w:t>A number of major projects have been underway during 2019/20 as follows:</w:t>
      </w:r>
    </w:p>
    <w:p w:rsidR="0021497B" w:rsidRPr="00617BAE" w:rsidRDefault="0021497B" w:rsidP="0021497B">
      <w:pPr>
        <w:spacing w:before="0" w:after="0"/>
        <w:jc w:val="both"/>
        <w:rPr>
          <w:rFonts w:ascii="Arial" w:hAnsi="Arial" w:cs="Arial"/>
          <w:lang w:val="en-US"/>
        </w:rPr>
      </w:pPr>
    </w:p>
    <w:p w:rsidR="0021497B" w:rsidRPr="00617BAE" w:rsidRDefault="0021497B" w:rsidP="0021497B">
      <w:pPr>
        <w:numPr>
          <w:ilvl w:val="0"/>
          <w:numId w:val="3"/>
        </w:numPr>
        <w:spacing w:before="0" w:after="0"/>
        <w:ind w:left="426" w:hanging="426"/>
        <w:contextualSpacing/>
        <w:rPr>
          <w:rFonts w:ascii="Arial" w:hAnsi="Arial" w:cs="Arial"/>
          <w:lang w:val="en-US"/>
        </w:rPr>
      </w:pPr>
      <w:r w:rsidRPr="00617BAE">
        <w:rPr>
          <w:rFonts w:ascii="Arial" w:hAnsi="Arial" w:cs="Arial"/>
          <w:b/>
          <w:lang w:val="en-US"/>
        </w:rPr>
        <w:t>Glasgow City Region City Deal</w:t>
      </w:r>
      <w:r w:rsidRPr="00617BAE">
        <w:rPr>
          <w:rFonts w:ascii="Arial" w:hAnsi="Arial" w:cs="Arial"/>
          <w:lang w:val="en-US"/>
        </w:rPr>
        <w:t xml:space="preserve"> – the council, together with a number of other Scottish local authorities, is participating in the Glasgow Region City Deal which will see over £1.1 billion invested in the area. The City Deal consists of a number of significant capital projects across the area together with employability projects – in order to generate economic regeneration and additional jobs. The project within the City Deal specific to the council is an infrastructure project at the Exxon site at Bowling to regenerate that site and to create a relief road along the A82 at Milton. The project development is progressing with the outline business case approved during 2016/17 and the final business case due for consideration by December 2021;</w:t>
      </w:r>
    </w:p>
    <w:p w:rsidR="00727F30" w:rsidRPr="00617BAE" w:rsidRDefault="00727F30" w:rsidP="00727F30">
      <w:pPr>
        <w:rPr>
          <w:rFonts w:ascii="Arial" w:hAnsi="Arial" w:cs="Arial"/>
          <w:b/>
          <w:sz w:val="24"/>
          <w:szCs w:val="24"/>
        </w:rPr>
      </w:pPr>
      <w:r w:rsidRPr="00617BAE">
        <w:rPr>
          <w:rFonts w:ascii="Arial" w:hAnsi="Arial" w:cs="Arial"/>
          <w:b/>
          <w:sz w:val="24"/>
          <w:szCs w:val="24"/>
        </w:rPr>
        <w:lastRenderedPageBreak/>
        <w:t>Management Commentary (Cont’d)</w:t>
      </w:r>
    </w:p>
    <w:p w:rsidR="00727F30" w:rsidRPr="00617BAE" w:rsidRDefault="00727F30" w:rsidP="00727F30">
      <w:pPr>
        <w:spacing w:before="0" w:after="0" w:line="276" w:lineRule="auto"/>
        <w:rPr>
          <w:rFonts w:ascii="Arial" w:hAnsi="Arial" w:cs="Arial"/>
          <w:lang w:val="en-US"/>
        </w:rPr>
      </w:pPr>
    </w:p>
    <w:p w:rsidR="00727F30" w:rsidRPr="00617BAE" w:rsidRDefault="00727F30" w:rsidP="00727F30">
      <w:pPr>
        <w:spacing w:before="0" w:after="0"/>
        <w:jc w:val="both"/>
        <w:rPr>
          <w:rFonts w:ascii="Arial" w:hAnsi="Arial" w:cs="Arial"/>
          <w:b/>
          <w:bCs/>
          <w:u w:val="single"/>
          <w:lang w:val="en-US"/>
        </w:rPr>
      </w:pPr>
      <w:r w:rsidRPr="00617BAE">
        <w:rPr>
          <w:rFonts w:ascii="Arial" w:hAnsi="Arial" w:cs="Arial"/>
          <w:b/>
          <w:bCs/>
          <w:u w:val="single"/>
          <w:lang w:val="en-US"/>
        </w:rPr>
        <w:t>The Financial Outlook, Key Risks and the Future (cont’d)</w:t>
      </w:r>
    </w:p>
    <w:p w:rsidR="00727F30" w:rsidRPr="00617BAE" w:rsidRDefault="00727F30" w:rsidP="0021497B">
      <w:pPr>
        <w:spacing w:before="0" w:after="0"/>
        <w:ind w:left="426" w:hanging="426"/>
        <w:rPr>
          <w:rFonts w:ascii="Arial" w:hAnsi="Arial" w:cs="Arial"/>
          <w:lang w:val="en-US"/>
        </w:rPr>
      </w:pPr>
    </w:p>
    <w:p w:rsidR="0021497B" w:rsidRPr="00617BAE" w:rsidRDefault="0021497B" w:rsidP="0021497B">
      <w:pPr>
        <w:numPr>
          <w:ilvl w:val="0"/>
          <w:numId w:val="3"/>
        </w:numPr>
        <w:spacing w:before="0" w:after="0"/>
        <w:ind w:left="426" w:hanging="426"/>
        <w:contextualSpacing/>
        <w:rPr>
          <w:rFonts w:ascii="Arial" w:hAnsi="Arial" w:cs="Arial"/>
          <w:lang w:val="en-US"/>
        </w:rPr>
      </w:pPr>
      <w:r w:rsidRPr="00617BAE">
        <w:rPr>
          <w:rFonts w:ascii="Arial" w:hAnsi="Arial" w:cs="Arial"/>
          <w:b/>
          <w:lang w:val="en-US"/>
        </w:rPr>
        <w:t>Development of Queens Quay and District Heating</w:t>
      </w:r>
      <w:r w:rsidRPr="00617BAE">
        <w:rPr>
          <w:rFonts w:ascii="Arial" w:hAnsi="Arial" w:cs="Arial"/>
          <w:lang w:val="en-US"/>
        </w:rPr>
        <w:t xml:space="preserve"> – the council, in partnership with the private sector, are funding the redevelopment of Queens Quay in Clydebank – bringing a significant former industrial site back into use. This project will be home to a new council-run care home for older people; a new medical centre run by the Greater Glasgow Health Board; around 1,000 new homes; and new commercial provision. This longer term project should support the economic development of Clydebank and is expected to generate net in-migration to West Dunbartonshire. In 2016/17 council and the Scottish Government approved the development of an innovative district heating system on this site to provide heat to all of the existing and new provision within Queens Quay and beyond. Significant physical progress was achieved on these various elements of the wider regeneration project during 2019/20;</w:t>
      </w:r>
    </w:p>
    <w:p w:rsidR="0021497B" w:rsidRPr="00617BAE" w:rsidRDefault="0021497B" w:rsidP="0021497B">
      <w:pPr>
        <w:rPr>
          <w:rFonts w:ascii="Arial" w:hAnsi="Arial" w:cs="Arial"/>
          <w:b/>
          <w:lang w:val="en-US"/>
        </w:rPr>
      </w:pPr>
    </w:p>
    <w:p w:rsidR="0021497B" w:rsidRPr="00617BAE" w:rsidRDefault="0021497B" w:rsidP="0021497B">
      <w:pPr>
        <w:numPr>
          <w:ilvl w:val="0"/>
          <w:numId w:val="3"/>
        </w:numPr>
        <w:spacing w:before="0" w:after="0"/>
        <w:ind w:left="426" w:hanging="426"/>
        <w:contextualSpacing/>
        <w:rPr>
          <w:rFonts w:ascii="Arial" w:hAnsi="Arial" w:cs="Arial"/>
          <w:lang w:val="en-US"/>
        </w:rPr>
      </w:pPr>
      <w:r w:rsidRPr="00617BAE">
        <w:rPr>
          <w:rFonts w:ascii="Arial" w:hAnsi="Arial" w:cs="Arial"/>
          <w:b/>
          <w:lang w:val="en-US"/>
        </w:rPr>
        <w:t>UK withdrawal from the European Union -</w:t>
      </w:r>
      <w:r w:rsidRPr="00617BAE">
        <w:rPr>
          <w:rFonts w:ascii="Arial" w:hAnsi="Arial" w:cs="Arial"/>
          <w:lang w:val="en-US"/>
        </w:rPr>
        <w:t xml:space="preserve"> in line with recommendations from Audit Scotland, an ongoing assessment of the risk to the council arising from the UK’s withdrawal from the European Union continues. This allows the Corporate Management Team to conclude that the risks to the council are generally low, but not fully defined. The council continues a watching brief on developments and reviews the identified risks on an ongoing basis; </w:t>
      </w:r>
    </w:p>
    <w:p w:rsidR="0021497B" w:rsidRPr="00617BAE" w:rsidRDefault="0021497B" w:rsidP="0021497B">
      <w:pPr>
        <w:spacing w:before="0" w:after="0" w:line="276" w:lineRule="auto"/>
        <w:rPr>
          <w:rFonts w:ascii="Arial" w:hAnsi="Arial" w:cs="Arial"/>
          <w:lang w:val="en-US"/>
        </w:rPr>
      </w:pPr>
    </w:p>
    <w:p w:rsidR="0021497B" w:rsidRDefault="0021497B" w:rsidP="0021497B">
      <w:pPr>
        <w:numPr>
          <w:ilvl w:val="0"/>
          <w:numId w:val="2"/>
        </w:numPr>
        <w:spacing w:before="0" w:after="0"/>
        <w:ind w:left="426" w:hanging="426"/>
        <w:contextualSpacing/>
        <w:rPr>
          <w:rFonts w:ascii="Arial" w:hAnsi="Arial" w:cs="Arial"/>
          <w:lang w:val="en-US"/>
        </w:rPr>
      </w:pPr>
      <w:r w:rsidRPr="00617BAE">
        <w:rPr>
          <w:rFonts w:ascii="Arial" w:hAnsi="Arial" w:cs="Arial"/>
          <w:b/>
          <w:lang w:val="en-US"/>
        </w:rPr>
        <w:t>Strategic Programmes</w:t>
      </w:r>
      <w:r w:rsidRPr="00617BAE">
        <w:rPr>
          <w:rFonts w:ascii="Arial" w:hAnsi="Arial" w:cs="Arial"/>
          <w:lang w:val="en-US"/>
        </w:rPr>
        <w:t xml:space="preserve"> – in the most recent Long Term Finance Strategy to November 2019 Council a number of potential change areas were identified. These are under consideration for development and implementation to assist close future funding gaps. Many of the previous projects are complete or near completion and senior management monitors progress on agreed efficiency projects through the Change Board and budgetary control reports provide updates on progress to Members. Where appropriate, business cases will be developed, and where required, reports will come to future Council and Committees for consideration; and</w:t>
      </w:r>
    </w:p>
    <w:p w:rsidR="0021497B" w:rsidRPr="00617BAE" w:rsidRDefault="0021497B" w:rsidP="00727F30">
      <w:pPr>
        <w:spacing w:before="0" w:after="0"/>
        <w:rPr>
          <w:rFonts w:ascii="Arial" w:hAnsi="Arial" w:cs="Arial"/>
          <w:lang w:val="en-US"/>
        </w:rPr>
      </w:pPr>
    </w:p>
    <w:p w:rsidR="0021497B" w:rsidRPr="00617BAE" w:rsidRDefault="0021497B" w:rsidP="0021497B">
      <w:pPr>
        <w:numPr>
          <w:ilvl w:val="0"/>
          <w:numId w:val="2"/>
        </w:numPr>
        <w:spacing w:before="0" w:after="0"/>
        <w:ind w:left="426" w:hanging="426"/>
        <w:contextualSpacing/>
        <w:rPr>
          <w:rFonts w:ascii="Arial" w:hAnsi="Arial" w:cs="Arial"/>
          <w:lang w:val="en-US"/>
        </w:rPr>
      </w:pPr>
      <w:r w:rsidRPr="00617BAE">
        <w:rPr>
          <w:rFonts w:ascii="Arial" w:hAnsi="Arial" w:cs="Arial"/>
          <w:b/>
          <w:lang w:val="en-US"/>
        </w:rPr>
        <w:t>Council’s More Homes Strategy</w:t>
      </w:r>
      <w:r w:rsidRPr="00617BAE">
        <w:rPr>
          <w:rFonts w:ascii="Arial" w:hAnsi="Arial" w:cs="Arial"/>
          <w:lang w:val="en-US"/>
        </w:rPr>
        <w:t xml:space="preserve"> – plans have been approved for the council to deliver over 1,000 new affordable homes within the area over the period to 2021. This strategy is expected to produce net in-migration and regeneration, as well as provide modern affordable housing. </w:t>
      </w:r>
    </w:p>
    <w:p w:rsidR="0021497B" w:rsidRPr="00617BAE" w:rsidRDefault="0021497B" w:rsidP="0021497B">
      <w:pPr>
        <w:spacing w:before="0" w:after="0"/>
        <w:jc w:val="both"/>
        <w:rPr>
          <w:rFonts w:ascii="Arial" w:hAnsi="Arial" w:cs="Arial"/>
          <w:b/>
          <w:sz w:val="24"/>
          <w:szCs w:val="24"/>
        </w:rPr>
      </w:pPr>
    </w:p>
    <w:p w:rsidR="0021497B" w:rsidRPr="00617BAE" w:rsidRDefault="0021497B" w:rsidP="0021497B">
      <w:pPr>
        <w:spacing w:before="0" w:after="0"/>
        <w:jc w:val="both"/>
        <w:rPr>
          <w:rFonts w:ascii="Arial" w:hAnsi="Arial" w:cs="Arial"/>
          <w:b/>
          <w:u w:val="single"/>
          <w:lang w:val="en-US"/>
        </w:rPr>
      </w:pPr>
      <w:r w:rsidRPr="00617BAE">
        <w:rPr>
          <w:rFonts w:ascii="Arial" w:hAnsi="Arial" w:cs="Arial"/>
          <w:b/>
          <w:u w:val="single"/>
          <w:lang w:val="en-US"/>
        </w:rPr>
        <w:t>5. Other Information</w:t>
      </w:r>
    </w:p>
    <w:p w:rsidR="0021497B" w:rsidRPr="00617BAE" w:rsidRDefault="0021497B" w:rsidP="0021497B">
      <w:pPr>
        <w:spacing w:before="0" w:after="0"/>
        <w:jc w:val="both"/>
        <w:rPr>
          <w:rFonts w:ascii="Arial" w:hAnsi="Arial" w:cs="Arial"/>
          <w:lang w:val="en-US"/>
        </w:rPr>
      </w:pPr>
    </w:p>
    <w:p w:rsidR="0021497B" w:rsidRPr="00617BAE" w:rsidRDefault="0021497B" w:rsidP="0021497B">
      <w:pPr>
        <w:spacing w:before="0" w:after="0"/>
        <w:rPr>
          <w:rFonts w:ascii="Arial" w:hAnsi="Arial" w:cs="Arial"/>
          <w:b/>
          <w:lang w:val="en-US"/>
        </w:rPr>
      </w:pPr>
      <w:r w:rsidRPr="00617BAE">
        <w:rPr>
          <w:rFonts w:ascii="Arial" w:hAnsi="Arial" w:cs="Arial"/>
          <w:b/>
          <w:lang w:val="en-US"/>
        </w:rPr>
        <w:t>Asset Management</w:t>
      </w:r>
    </w:p>
    <w:p w:rsidR="0021497B" w:rsidRPr="00617BAE" w:rsidRDefault="0021497B" w:rsidP="0021497B">
      <w:pPr>
        <w:rPr>
          <w:sz w:val="24"/>
          <w:szCs w:val="24"/>
        </w:rPr>
      </w:pPr>
      <w:r w:rsidRPr="00617BAE">
        <w:rPr>
          <w:rFonts w:ascii="Arial" w:hAnsi="Arial" w:cs="Arial"/>
          <w:lang w:val="en-US"/>
        </w:rPr>
        <w:t>The council has a significant investment embedded in assets, comprising offices, schools, vehicles, houses, ICT infrastructure and equipment, etc. and it is important that these are managed in an efficient and effective manner. The council has an overarching Asset Management Strategy which was refreshed in December 2016 along with the Property Asset Management Plan at the same time. Service specific Asset Plans covering Open Spaces, Roads Structures, Housing and Vehicle, Fleet and Plant were all approved at the relevant service committees during 2017. The next update required is for the Asset Management Strategy and Property Asset Plan at the end of 2021 therefore no updates are required to any existing plans during financial year 2020/21.</w:t>
      </w:r>
      <w:r w:rsidRPr="00617BAE">
        <w:rPr>
          <w:sz w:val="24"/>
          <w:szCs w:val="24"/>
        </w:rPr>
        <w:t xml:space="preserve"> </w:t>
      </w:r>
      <w:r w:rsidRPr="00617BAE">
        <w:rPr>
          <w:rFonts w:ascii="Arial" w:hAnsi="Arial" w:cs="Arial"/>
          <w:lang w:val="en-US"/>
        </w:rPr>
        <w:t>In addition an asset disposal strategy is in place to maximize the benefit from assets that the council no longer requires and this strategy is important in generating capital receipts to support elements of the capital plan.</w:t>
      </w:r>
    </w:p>
    <w:p w:rsidR="0021497B" w:rsidRPr="00617BAE" w:rsidRDefault="0021497B" w:rsidP="0021497B">
      <w:pPr>
        <w:spacing w:before="0" w:after="0"/>
        <w:rPr>
          <w:rFonts w:ascii="Arial" w:hAnsi="Arial" w:cs="Arial"/>
          <w:b/>
          <w:bCs/>
        </w:rPr>
      </w:pPr>
    </w:p>
    <w:p w:rsidR="0021497B" w:rsidRPr="00617BAE" w:rsidRDefault="0021497B" w:rsidP="0021497B">
      <w:pPr>
        <w:spacing w:before="0" w:after="0"/>
        <w:rPr>
          <w:rFonts w:ascii="Arial" w:hAnsi="Arial" w:cs="Arial"/>
          <w:b/>
          <w:bCs/>
        </w:rPr>
      </w:pPr>
      <w:r w:rsidRPr="00617BAE">
        <w:rPr>
          <w:rFonts w:ascii="Arial" w:hAnsi="Arial" w:cs="Arial"/>
          <w:b/>
          <w:bCs/>
        </w:rPr>
        <w:t>Best Value Assurance Report</w:t>
      </w:r>
    </w:p>
    <w:p w:rsidR="0021497B" w:rsidRPr="00617BAE" w:rsidRDefault="0021497B" w:rsidP="0021497B">
      <w:pPr>
        <w:spacing w:before="0" w:after="0"/>
        <w:rPr>
          <w:rFonts w:ascii="Arial" w:hAnsi="Arial" w:cs="Arial"/>
          <w:bCs/>
        </w:rPr>
      </w:pPr>
      <w:r w:rsidRPr="00617BAE">
        <w:rPr>
          <w:rFonts w:ascii="Arial" w:hAnsi="Arial" w:cs="Arial"/>
          <w:bCs/>
        </w:rPr>
        <w:t>During 2017/18 the council was audited under the revised Best Value audit approach, where the auditors reviewed the council’s approach to strategic planning, financial planning, workforce planning, partnership working, performance reporting and continuous improvement. The report by the Accounts Commission was published on 28 June 2018 and was positive and showed that the council had made significant progress since the previous Best Value report in 2006 and follow-up reports to 2010. Five areas for improvement were identified and improvement actions now implemented in full on these areas – more detail is provided within the Annual Governance Statement within these accounts.</w:t>
      </w:r>
    </w:p>
    <w:p w:rsidR="0021497B" w:rsidRPr="00617BAE" w:rsidRDefault="0021497B" w:rsidP="0021497B">
      <w:pPr>
        <w:spacing w:before="0" w:after="0"/>
        <w:rPr>
          <w:rFonts w:ascii="Arial" w:hAnsi="Arial" w:cs="Arial"/>
          <w:b/>
        </w:rPr>
      </w:pPr>
    </w:p>
    <w:p w:rsidR="00727F30" w:rsidRDefault="00727F30" w:rsidP="0021497B">
      <w:pPr>
        <w:spacing w:before="0" w:after="0"/>
        <w:rPr>
          <w:rFonts w:ascii="Arial" w:hAnsi="Arial" w:cs="Arial"/>
          <w:b/>
          <w:lang w:val="en-US"/>
        </w:rPr>
      </w:pPr>
      <w:bookmarkStart w:id="2" w:name="OLE_LINK2"/>
    </w:p>
    <w:p w:rsidR="00727F30" w:rsidRDefault="00727F30" w:rsidP="0021497B">
      <w:pPr>
        <w:spacing w:before="0" w:after="0"/>
        <w:rPr>
          <w:rFonts w:ascii="Arial" w:hAnsi="Arial" w:cs="Arial"/>
          <w:b/>
          <w:lang w:val="en-US"/>
        </w:rPr>
      </w:pPr>
    </w:p>
    <w:p w:rsidR="00727F30" w:rsidRDefault="00727F30" w:rsidP="0021497B">
      <w:pPr>
        <w:spacing w:before="0" w:after="0"/>
        <w:rPr>
          <w:rFonts w:ascii="Arial" w:hAnsi="Arial" w:cs="Arial"/>
          <w:b/>
          <w:lang w:val="en-US"/>
        </w:rPr>
      </w:pPr>
    </w:p>
    <w:p w:rsidR="00727F30" w:rsidRPr="00617BAE" w:rsidRDefault="00727F30" w:rsidP="00727F30">
      <w:pPr>
        <w:rPr>
          <w:rFonts w:ascii="Arial" w:hAnsi="Arial" w:cs="Arial"/>
          <w:b/>
          <w:sz w:val="24"/>
          <w:szCs w:val="24"/>
        </w:rPr>
      </w:pPr>
      <w:r w:rsidRPr="00617BAE">
        <w:rPr>
          <w:rFonts w:ascii="Arial" w:hAnsi="Arial" w:cs="Arial"/>
          <w:b/>
          <w:sz w:val="24"/>
          <w:szCs w:val="24"/>
        </w:rPr>
        <w:lastRenderedPageBreak/>
        <w:t>Management Commentary (Cont’d)</w:t>
      </w:r>
    </w:p>
    <w:p w:rsidR="00727F30" w:rsidRPr="00617BAE" w:rsidRDefault="00727F30" w:rsidP="00727F30">
      <w:pPr>
        <w:spacing w:before="0" w:after="0" w:line="276" w:lineRule="auto"/>
        <w:rPr>
          <w:rFonts w:ascii="Arial" w:hAnsi="Arial" w:cs="Arial"/>
          <w:lang w:val="en-US"/>
        </w:rPr>
      </w:pPr>
    </w:p>
    <w:p w:rsidR="00727F30" w:rsidRDefault="00727F30" w:rsidP="00727F30">
      <w:pPr>
        <w:spacing w:before="0" w:after="0"/>
        <w:rPr>
          <w:rFonts w:ascii="Arial" w:hAnsi="Arial" w:cs="Arial"/>
          <w:b/>
          <w:bCs/>
          <w:u w:val="single"/>
          <w:lang w:val="en-US"/>
        </w:rPr>
      </w:pPr>
      <w:r w:rsidRPr="00617BAE">
        <w:rPr>
          <w:rFonts w:ascii="Arial" w:hAnsi="Arial" w:cs="Arial"/>
          <w:b/>
          <w:bCs/>
          <w:u w:val="single"/>
          <w:lang w:val="en-US"/>
        </w:rPr>
        <w:t>Other Information (cont’d</w:t>
      </w:r>
      <w:r>
        <w:rPr>
          <w:rFonts w:ascii="Arial" w:hAnsi="Arial" w:cs="Arial"/>
          <w:b/>
          <w:bCs/>
          <w:u w:val="single"/>
          <w:lang w:val="en-US"/>
        </w:rPr>
        <w:t>)</w:t>
      </w:r>
    </w:p>
    <w:p w:rsidR="00727F30" w:rsidRDefault="00727F30" w:rsidP="00727F30">
      <w:pPr>
        <w:spacing w:before="0" w:after="0"/>
        <w:rPr>
          <w:rFonts w:ascii="Arial" w:hAnsi="Arial" w:cs="Arial"/>
          <w:b/>
          <w:lang w:val="en-US"/>
        </w:rPr>
      </w:pPr>
    </w:p>
    <w:p w:rsidR="0021497B" w:rsidRPr="00617BAE" w:rsidRDefault="0021497B" w:rsidP="0021497B">
      <w:pPr>
        <w:spacing w:before="0" w:after="0"/>
        <w:rPr>
          <w:rFonts w:ascii="Arial" w:hAnsi="Arial" w:cs="Arial"/>
          <w:b/>
          <w:lang w:val="en-US"/>
        </w:rPr>
      </w:pPr>
      <w:r w:rsidRPr="00617BAE">
        <w:rPr>
          <w:rFonts w:ascii="Arial" w:hAnsi="Arial" w:cs="Arial"/>
          <w:b/>
          <w:lang w:val="en-US"/>
        </w:rPr>
        <w:t xml:space="preserve">Carbon Emissions and Energy Consumption </w:t>
      </w:r>
    </w:p>
    <w:bookmarkEnd w:id="2"/>
    <w:p w:rsidR="0021497B" w:rsidRPr="00617BAE" w:rsidRDefault="0021497B" w:rsidP="0021497B">
      <w:pPr>
        <w:rPr>
          <w:rFonts w:ascii="Arial" w:hAnsi="Arial" w:cs="Arial"/>
        </w:rPr>
      </w:pPr>
      <w:r w:rsidRPr="00617BAE">
        <w:rPr>
          <w:rFonts w:ascii="Arial" w:hAnsi="Arial" w:cs="Arial"/>
        </w:rPr>
        <w:t xml:space="preserve">The council is on track to meet the targets set out in the Carbon Management Plan, however the figures for the final year 2019/20 are not </w:t>
      </w:r>
      <w:r w:rsidR="006763F3">
        <w:rPr>
          <w:rFonts w:ascii="Arial" w:hAnsi="Arial" w:cs="Arial"/>
        </w:rPr>
        <w:t xml:space="preserve">yet </w:t>
      </w:r>
      <w:r w:rsidRPr="00617BAE">
        <w:rPr>
          <w:rFonts w:ascii="Arial" w:hAnsi="Arial" w:cs="Arial"/>
        </w:rPr>
        <w:t>available, as we await the complete energy and water data. These are reported annually to the Scottish Government in November. The council are currently developing a new Climate change Strategy which will set a target to reduce WDC carbon emissions to ‘net zero’ by 2045 which will align with Scottish Government targets. We are working to have this completed by the end of 2020.</w:t>
      </w:r>
    </w:p>
    <w:p w:rsidR="0021497B" w:rsidRPr="00617BAE" w:rsidRDefault="0021497B" w:rsidP="0021497B">
      <w:pPr>
        <w:spacing w:before="0" w:after="0"/>
        <w:rPr>
          <w:rFonts w:ascii="Arial" w:hAnsi="Arial" w:cs="Arial"/>
          <w:b/>
        </w:rPr>
      </w:pPr>
    </w:p>
    <w:p w:rsidR="0021497B" w:rsidRPr="00617BAE" w:rsidRDefault="0021497B" w:rsidP="0021497B">
      <w:pPr>
        <w:spacing w:before="0" w:after="0"/>
        <w:rPr>
          <w:rFonts w:ascii="Arial" w:hAnsi="Arial" w:cs="Arial"/>
          <w:b/>
          <w:lang w:val="en-US"/>
        </w:rPr>
      </w:pPr>
      <w:r w:rsidRPr="00617BAE">
        <w:rPr>
          <w:rFonts w:ascii="Arial" w:hAnsi="Arial" w:cs="Arial"/>
          <w:b/>
          <w:lang w:val="en-US"/>
        </w:rPr>
        <w:t xml:space="preserve">Equality and Diversity </w:t>
      </w:r>
    </w:p>
    <w:p w:rsidR="0021497B" w:rsidRPr="00617BAE" w:rsidRDefault="0021497B" w:rsidP="0021497B">
      <w:pPr>
        <w:spacing w:before="0" w:after="0"/>
        <w:rPr>
          <w:rFonts w:ascii="Arial" w:eastAsiaTheme="minorHAnsi" w:hAnsi="Arial" w:cs="Arial"/>
        </w:rPr>
      </w:pPr>
      <w:r w:rsidRPr="00617BAE">
        <w:rPr>
          <w:rFonts w:ascii="Arial" w:eastAsiaTheme="minorHAnsi" w:hAnsi="Arial" w:cs="Arial"/>
        </w:rPr>
        <w:t xml:space="preserve">The council is firmly committed to the principle of equality of opportunity. The council recognises its responsibility as a community leader, service provider and employer to encourage the fair treatment of all individuals and to tackle social exclusion. The council is also committed to eradicate all forms of discrimination, direct or indirect and aims to eliminate discriminatory practices and promote measures </w:t>
      </w:r>
    </w:p>
    <w:p w:rsidR="0021497B" w:rsidRPr="00617BAE" w:rsidRDefault="0021497B" w:rsidP="0021497B">
      <w:pPr>
        <w:spacing w:before="0" w:after="0"/>
        <w:rPr>
          <w:rFonts w:ascii="Arial" w:eastAsiaTheme="minorHAnsi" w:hAnsi="Arial" w:cs="Arial"/>
        </w:rPr>
      </w:pPr>
      <w:r w:rsidRPr="00617BAE">
        <w:rPr>
          <w:rFonts w:ascii="Arial" w:eastAsiaTheme="minorHAnsi" w:hAnsi="Arial" w:cs="Arial"/>
        </w:rPr>
        <w:t>to combat its effects. An equal pay audit has recently been produced and a Members Briefing provided in June 2020 on the outcome.</w:t>
      </w:r>
    </w:p>
    <w:p w:rsidR="001935C2" w:rsidRDefault="001935C2" w:rsidP="0021497B">
      <w:pPr>
        <w:spacing w:before="0" w:after="0"/>
        <w:rPr>
          <w:rFonts w:ascii="Arial" w:eastAsiaTheme="minorHAnsi" w:hAnsi="Arial" w:cs="Arial"/>
        </w:rPr>
      </w:pPr>
    </w:p>
    <w:p w:rsidR="0021497B" w:rsidRPr="00617BAE" w:rsidRDefault="0021497B" w:rsidP="0021497B">
      <w:pPr>
        <w:spacing w:before="0" w:after="0"/>
        <w:rPr>
          <w:rFonts w:ascii="Arial" w:eastAsiaTheme="minorHAnsi" w:hAnsi="Arial" w:cs="Arial"/>
          <w:color w:val="000000" w:themeColor="text1"/>
        </w:rPr>
      </w:pPr>
      <w:r w:rsidRPr="00617BAE">
        <w:rPr>
          <w:rFonts w:ascii="Arial" w:eastAsiaTheme="minorHAnsi" w:hAnsi="Arial" w:cs="Arial"/>
        </w:rPr>
        <w:t xml:space="preserve">Information on the council’s Equalities Mainstreaming and Outcomes Report 2017-2021 can </w:t>
      </w:r>
      <w:r w:rsidRPr="00617BAE">
        <w:rPr>
          <w:rFonts w:ascii="Arial" w:eastAsiaTheme="minorHAnsi" w:hAnsi="Arial" w:cs="Arial"/>
          <w:color w:val="000000" w:themeColor="text1"/>
        </w:rPr>
        <w:t>be found on the council website at:</w:t>
      </w:r>
    </w:p>
    <w:p w:rsidR="0021497B" w:rsidRPr="00617BAE" w:rsidRDefault="0021497B" w:rsidP="0021497B">
      <w:pPr>
        <w:spacing w:before="0" w:after="0"/>
        <w:rPr>
          <w:rFonts w:ascii="Arial" w:eastAsiaTheme="minorHAnsi" w:hAnsi="Arial" w:cs="Arial"/>
          <w:color w:val="000000" w:themeColor="text1"/>
        </w:rPr>
      </w:pPr>
    </w:p>
    <w:p w:rsidR="0021497B" w:rsidRPr="00617BAE" w:rsidRDefault="00F227F2" w:rsidP="0021497B">
      <w:pPr>
        <w:spacing w:before="0" w:after="0"/>
        <w:rPr>
          <w:rFonts w:ascii="Arial" w:eastAsiaTheme="minorHAnsi" w:hAnsi="Arial" w:cs="Arial"/>
          <w:color w:val="000000" w:themeColor="text1"/>
        </w:rPr>
      </w:pPr>
      <w:hyperlink r:id="rId32" w:history="1">
        <w:r w:rsidR="0021497B" w:rsidRPr="00617BAE">
          <w:rPr>
            <w:rFonts w:ascii="Arial" w:eastAsiaTheme="minorHAnsi" w:hAnsi="Arial" w:cs="Arial"/>
            <w:color w:val="000000" w:themeColor="text1"/>
            <w:u w:val="single"/>
          </w:rPr>
          <w:t>http://www.west-dunbarton.gov.uk/media/4312511/equalities-outcome-report-2017-2021.pdf</w:t>
        </w:r>
      </w:hyperlink>
    </w:p>
    <w:p w:rsidR="0021497B" w:rsidRPr="00617BAE" w:rsidRDefault="0021497B" w:rsidP="0021497B">
      <w:pPr>
        <w:autoSpaceDE w:val="0"/>
        <w:autoSpaceDN w:val="0"/>
        <w:adjustRightInd w:val="0"/>
        <w:spacing w:before="0" w:after="0"/>
        <w:rPr>
          <w:rFonts w:ascii="Arial" w:eastAsiaTheme="minorHAnsi" w:hAnsi="Arial" w:cs="Arial"/>
          <w:b/>
          <w:bCs/>
          <w:color w:val="000000" w:themeColor="text1"/>
          <w:sz w:val="22"/>
          <w:szCs w:val="22"/>
        </w:rPr>
      </w:pPr>
    </w:p>
    <w:p w:rsidR="0021497B" w:rsidRPr="00617BAE" w:rsidRDefault="0021497B" w:rsidP="0021497B">
      <w:pPr>
        <w:spacing w:before="0" w:after="0"/>
        <w:rPr>
          <w:rFonts w:ascii="Arial" w:hAnsi="Arial" w:cs="Arial"/>
          <w:b/>
          <w:color w:val="000000" w:themeColor="text1"/>
          <w:lang w:val="en-US"/>
        </w:rPr>
      </w:pPr>
      <w:r w:rsidRPr="00617BAE">
        <w:rPr>
          <w:rFonts w:ascii="Arial" w:hAnsi="Arial" w:cs="Arial"/>
          <w:b/>
          <w:color w:val="000000" w:themeColor="text1"/>
          <w:lang w:val="en-US"/>
        </w:rPr>
        <w:t xml:space="preserve">Consultation and Communication with Workforce </w:t>
      </w:r>
    </w:p>
    <w:p w:rsidR="0021497B" w:rsidRPr="00617BAE" w:rsidRDefault="0021497B" w:rsidP="0021497B">
      <w:pPr>
        <w:spacing w:before="0" w:after="0"/>
        <w:rPr>
          <w:rFonts w:ascii="Arial" w:eastAsiaTheme="minorHAnsi" w:hAnsi="Arial" w:cs="Arial"/>
        </w:rPr>
      </w:pPr>
      <w:r w:rsidRPr="00617BAE">
        <w:rPr>
          <w:rFonts w:ascii="Arial" w:eastAsiaTheme="minorHAnsi" w:hAnsi="Arial" w:cs="Arial"/>
          <w:color w:val="000000" w:themeColor="text1"/>
        </w:rPr>
        <w:t>The council is an accr</w:t>
      </w:r>
      <w:r w:rsidRPr="00617BAE">
        <w:rPr>
          <w:rFonts w:ascii="Arial" w:eastAsiaTheme="minorHAnsi" w:hAnsi="Arial" w:cs="Arial"/>
        </w:rPr>
        <w:t>edited Living Wage Employer and has in place employee governance arrangements to ensure its employees are well informed, involved in decisions, appropriately trained, treated fairly and consistently and provided with a safe environment. The council carries out periodic employee surveys, the last one being undertaken in 2019, and seeks the views of the workforce through regular consultations with staff and trade unions.</w:t>
      </w:r>
    </w:p>
    <w:p w:rsidR="0021497B" w:rsidRDefault="0021497B" w:rsidP="0021497B">
      <w:pPr>
        <w:spacing w:before="0" w:after="0"/>
        <w:jc w:val="both"/>
        <w:rPr>
          <w:rFonts w:ascii="Arial" w:hAnsi="Arial" w:cs="Arial"/>
          <w:b/>
          <w:color w:val="000000"/>
          <w:lang w:val="en-US"/>
        </w:rPr>
      </w:pPr>
    </w:p>
    <w:p w:rsidR="0021497B" w:rsidRPr="00617BAE" w:rsidRDefault="0021497B" w:rsidP="0021497B">
      <w:pPr>
        <w:spacing w:before="0" w:after="0"/>
        <w:jc w:val="both"/>
        <w:rPr>
          <w:rFonts w:ascii="Arial" w:hAnsi="Arial" w:cs="Arial"/>
          <w:color w:val="000000"/>
          <w:lang w:val="en-US"/>
        </w:rPr>
      </w:pPr>
      <w:r w:rsidRPr="00617BAE">
        <w:rPr>
          <w:rFonts w:ascii="Arial" w:hAnsi="Arial" w:cs="Arial"/>
          <w:b/>
          <w:color w:val="000000"/>
          <w:lang w:val="en-US"/>
        </w:rPr>
        <w:t>Remuneration Report</w:t>
      </w:r>
    </w:p>
    <w:p w:rsidR="0021497B" w:rsidRPr="00617BAE" w:rsidRDefault="0021497B" w:rsidP="0021497B">
      <w:pPr>
        <w:spacing w:before="0" w:after="0"/>
        <w:rPr>
          <w:rFonts w:ascii="Arial" w:hAnsi="Arial" w:cs="Arial"/>
          <w:b/>
          <w:lang w:val="en-US"/>
        </w:rPr>
      </w:pPr>
      <w:r w:rsidRPr="00617BAE">
        <w:rPr>
          <w:rFonts w:ascii="Arial" w:hAnsi="Arial" w:cs="Arial"/>
          <w:lang w:val="en-US"/>
        </w:rPr>
        <w:t>This report presents information on the remuneration of senior elected members and senior offic</w:t>
      </w:r>
      <w:r w:rsidR="00EB691C">
        <w:rPr>
          <w:rFonts w:ascii="Arial" w:hAnsi="Arial" w:cs="Arial"/>
          <w:lang w:val="en-US"/>
        </w:rPr>
        <w:t>ers within the council (pages 28 to 35</w:t>
      </w:r>
      <w:r w:rsidRPr="00617BAE">
        <w:rPr>
          <w:rFonts w:ascii="Arial" w:hAnsi="Arial" w:cs="Arial"/>
          <w:lang w:val="en-US"/>
        </w:rPr>
        <w:t>).</w:t>
      </w:r>
    </w:p>
    <w:p w:rsidR="0021497B" w:rsidRPr="00617BAE" w:rsidRDefault="0021497B" w:rsidP="0021497B">
      <w:pPr>
        <w:spacing w:before="0" w:after="0"/>
        <w:jc w:val="both"/>
        <w:rPr>
          <w:rFonts w:ascii="Arial" w:hAnsi="Arial" w:cs="Arial"/>
          <w:b/>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Financial Performance Indicators</w:t>
      </w:r>
    </w:p>
    <w:p w:rsidR="0021497B" w:rsidRPr="00617BAE" w:rsidRDefault="0021497B" w:rsidP="0021497B">
      <w:pPr>
        <w:spacing w:before="0" w:after="0"/>
        <w:jc w:val="both"/>
        <w:rPr>
          <w:rFonts w:asciiTheme="minorHAnsi" w:eastAsiaTheme="minorHAnsi" w:hAnsiTheme="minorHAnsi" w:cstheme="minorBidi"/>
          <w:sz w:val="22"/>
          <w:szCs w:val="22"/>
        </w:rPr>
      </w:pPr>
      <w:r w:rsidRPr="00617BAE">
        <w:rPr>
          <w:rFonts w:ascii="Arial" w:hAnsi="Arial" w:cs="Arial"/>
          <w:color w:val="000000"/>
          <w:lang w:val="en-US"/>
        </w:rPr>
        <w:t xml:space="preserve">This commentary includes information on a set of financial performance indicators. These are aimed at providing the reader with a summary of key </w:t>
      </w:r>
      <w:r w:rsidR="00EB691C">
        <w:rPr>
          <w:rFonts w:ascii="Arial" w:hAnsi="Arial" w:cs="Arial"/>
          <w:color w:val="000000"/>
          <w:lang w:val="en-US"/>
        </w:rPr>
        <w:t>information and are summaris</w:t>
      </w:r>
      <w:r w:rsidRPr="00617BAE">
        <w:rPr>
          <w:rFonts w:ascii="Arial" w:hAnsi="Arial" w:cs="Arial"/>
          <w:color w:val="000000"/>
          <w:lang w:val="en-US"/>
        </w:rPr>
        <w:t>ed in the following table:</w:t>
      </w:r>
    </w:p>
    <w:p w:rsidR="0021497B" w:rsidRDefault="0021497B" w:rsidP="0021497B">
      <w:pPr>
        <w:spacing w:before="0" w:after="0"/>
        <w:rPr>
          <w:rFonts w:asciiTheme="minorHAnsi" w:eastAsiaTheme="minorHAnsi" w:hAnsiTheme="minorHAnsi" w:cstheme="minorBidi"/>
          <w:sz w:val="22"/>
          <w:szCs w:val="22"/>
        </w:rPr>
      </w:pPr>
    </w:p>
    <w:p w:rsidR="00727F30" w:rsidRPr="00617BAE" w:rsidRDefault="00727F30" w:rsidP="0021497B">
      <w:pPr>
        <w:spacing w:before="0" w:after="0"/>
        <w:rPr>
          <w:rFonts w:asciiTheme="minorHAnsi" w:eastAsiaTheme="minorHAnsi" w:hAnsiTheme="minorHAnsi" w:cstheme="minorBidi"/>
          <w:sz w:val="22"/>
          <w:szCs w:val="22"/>
        </w:rPr>
      </w:pPr>
      <w:r w:rsidRPr="00727F30">
        <w:rPr>
          <w:rFonts w:eastAsiaTheme="minorHAnsi"/>
          <w:noProof/>
          <w:lang w:eastAsia="en-GB"/>
        </w:rPr>
        <w:drawing>
          <wp:inline distT="0" distB="0" distL="0" distR="0" wp14:anchorId="75FE06E5" wp14:editId="2D5B68D7">
            <wp:extent cx="5731510" cy="2433864"/>
            <wp:effectExtent l="0" t="0" r="2540" b="5080"/>
            <wp:docPr id="44" name="Picture 44" descr="housing performance indicators 2018/19 and 2019/20" title="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510" cy="2433864"/>
                    </a:xfrm>
                    <a:prstGeom prst="rect">
                      <a:avLst/>
                    </a:prstGeom>
                    <a:noFill/>
                    <a:ln>
                      <a:noFill/>
                    </a:ln>
                  </pic:spPr>
                </pic:pic>
              </a:graphicData>
            </a:graphic>
          </wp:inline>
        </w:drawing>
      </w:r>
    </w:p>
    <w:p w:rsidR="0021497B" w:rsidRPr="00617BAE" w:rsidRDefault="0021497B" w:rsidP="0021497B">
      <w:pPr>
        <w:spacing w:before="0" w:after="0"/>
        <w:rPr>
          <w:rFonts w:asciiTheme="minorHAnsi" w:eastAsiaTheme="minorHAnsi" w:hAnsiTheme="minorHAnsi" w:cstheme="minorBidi"/>
          <w:sz w:val="22"/>
          <w:szCs w:val="22"/>
        </w:rPr>
      </w:pPr>
    </w:p>
    <w:p w:rsidR="0021497B" w:rsidRPr="00617BAE" w:rsidRDefault="0021497B" w:rsidP="0021497B">
      <w:pPr>
        <w:spacing w:before="0" w:after="0"/>
        <w:rPr>
          <w:rFonts w:asciiTheme="minorHAnsi" w:eastAsiaTheme="minorHAnsi" w:hAnsiTheme="minorHAnsi" w:cstheme="minorBidi"/>
          <w:sz w:val="22"/>
          <w:szCs w:val="22"/>
        </w:rPr>
      </w:pPr>
    </w:p>
    <w:p w:rsidR="0021497B" w:rsidRDefault="0021497B" w:rsidP="0021497B">
      <w:pPr>
        <w:rPr>
          <w:rFonts w:ascii="Arial" w:hAnsi="Arial" w:cs="Arial"/>
          <w:b/>
          <w:sz w:val="24"/>
          <w:szCs w:val="24"/>
        </w:rPr>
      </w:pPr>
      <w:r w:rsidRPr="00617BAE">
        <w:rPr>
          <w:rFonts w:ascii="Arial" w:hAnsi="Arial" w:cs="Arial"/>
          <w:b/>
          <w:sz w:val="24"/>
          <w:szCs w:val="24"/>
        </w:rPr>
        <w:lastRenderedPageBreak/>
        <w:t>Management Commentary (Cont’d)</w:t>
      </w:r>
    </w:p>
    <w:p w:rsidR="00727F30" w:rsidRDefault="00727F30" w:rsidP="0021497B">
      <w:pPr>
        <w:rPr>
          <w:rFonts w:ascii="Arial" w:hAnsi="Arial" w:cs="Arial"/>
          <w:b/>
          <w:sz w:val="24"/>
          <w:szCs w:val="24"/>
        </w:rPr>
      </w:pPr>
    </w:p>
    <w:p w:rsidR="00727F30" w:rsidRDefault="00727F30" w:rsidP="00BD4A12">
      <w:pPr>
        <w:spacing w:before="0" w:after="0"/>
        <w:rPr>
          <w:rFonts w:ascii="Arial" w:hAnsi="Arial" w:cs="Arial"/>
          <w:b/>
          <w:bCs/>
          <w:u w:val="single"/>
          <w:lang w:val="en-US"/>
        </w:rPr>
      </w:pPr>
      <w:r w:rsidRPr="00617BAE">
        <w:rPr>
          <w:rFonts w:ascii="Arial" w:hAnsi="Arial" w:cs="Arial"/>
          <w:b/>
          <w:bCs/>
          <w:u w:val="single"/>
          <w:lang w:val="en-US"/>
        </w:rPr>
        <w:t>Other Information (cont’d</w:t>
      </w:r>
      <w:r w:rsidR="00BD4A12">
        <w:rPr>
          <w:rFonts w:ascii="Arial" w:hAnsi="Arial" w:cs="Arial"/>
          <w:b/>
          <w:bCs/>
          <w:u w:val="single"/>
          <w:lang w:val="en-US"/>
        </w:rPr>
        <w:t>)</w:t>
      </w:r>
    </w:p>
    <w:p w:rsidR="00BD4A12" w:rsidRPr="00BD4A12" w:rsidRDefault="00BD4A12" w:rsidP="00BD4A12">
      <w:pPr>
        <w:spacing w:before="0" w:after="0"/>
        <w:rPr>
          <w:rFonts w:ascii="Arial" w:hAnsi="Arial" w:cs="Arial"/>
          <w:b/>
          <w:bCs/>
          <w:u w:val="single"/>
          <w:lang w:val="en-US"/>
        </w:rPr>
      </w:pPr>
    </w:p>
    <w:p w:rsidR="00727F30" w:rsidRPr="00617BAE" w:rsidRDefault="002B2005" w:rsidP="00727F30">
      <w:pPr>
        <w:spacing w:before="0" w:after="0"/>
        <w:jc w:val="both"/>
        <w:rPr>
          <w:rFonts w:ascii="Arial" w:hAnsi="Arial" w:cs="Arial"/>
          <w:b/>
          <w:color w:val="000000"/>
          <w:lang w:val="en-US"/>
        </w:rPr>
      </w:pPr>
      <w:r w:rsidRPr="002B2005">
        <w:rPr>
          <w:noProof/>
          <w:lang w:eastAsia="en-GB"/>
        </w:rPr>
        <w:drawing>
          <wp:inline distT="0" distB="0" distL="0" distR="0">
            <wp:extent cx="5731510" cy="3570375"/>
            <wp:effectExtent l="0" t="0" r="2540" b="0"/>
            <wp:docPr id="1" name="Picture 1" descr="perfromance indicators linked to General Services financing anf capital (prudence and affortability)" title="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3570375"/>
                    </a:xfrm>
                    <a:prstGeom prst="rect">
                      <a:avLst/>
                    </a:prstGeom>
                    <a:noFill/>
                    <a:ln>
                      <a:noFill/>
                    </a:ln>
                  </pic:spPr>
                </pic:pic>
              </a:graphicData>
            </a:graphic>
          </wp:inline>
        </w:drawing>
      </w:r>
    </w:p>
    <w:p w:rsidR="00727F30" w:rsidRPr="00617BAE" w:rsidRDefault="00727F30" w:rsidP="0021497B">
      <w:pPr>
        <w:rPr>
          <w:rFonts w:ascii="Arial" w:hAnsi="Arial" w:cs="Arial"/>
          <w:b/>
          <w:sz w:val="24"/>
          <w:szCs w:val="24"/>
        </w:rPr>
      </w:pPr>
    </w:p>
    <w:p w:rsidR="0021497B" w:rsidRPr="00617BAE" w:rsidRDefault="0021497B" w:rsidP="0021497B">
      <w:pPr>
        <w:spacing w:before="0" w:after="0"/>
        <w:jc w:val="both"/>
        <w:rPr>
          <w:rFonts w:ascii="Arial" w:hAnsi="Arial" w:cs="Arial"/>
          <w:b/>
          <w:color w:val="000000"/>
          <w:u w:val="single"/>
          <w:lang w:val="en-US"/>
        </w:rPr>
      </w:pPr>
      <w:r w:rsidRPr="00617BAE">
        <w:rPr>
          <w:rFonts w:ascii="Arial" w:hAnsi="Arial" w:cs="Arial"/>
          <w:b/>
          <w:color w:val="000000"/>
          <w:u w:val="single"/>
          <w:lang w:val="en-US"/>
        </w:rPr>
        <w:t>6. Where to find more information</w:t>
      </w:r>
    </w:p>
    <w:p w:rsidR="0021497B" w:rsidRPr="00617BAE" w:rsidRDefault="0021497B" w:rsidP="0021497B">
      <w:pPr>
        <w:spacing w:before="0" w:after="0"/>
        <w:jc w:val="both"/>
        <w:rPr>
          <w:rFonts w:ascii="Arial" w:hAnsi="Arial" w:cs="Arial"/>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 xml:space="preserve">In This Publication - </w:t>
      </w:r>
      <w:r w:rsidRPr="00617BAE">
        <w:rPr>
          <w:rFonts w:ascii="Arial" w:hAnsi="Arial" w:cs="Arial"/>
          <w:color w:val="000000"/>
          <w:lang w:val="en-US"/>
        </w:rPr>
        <w:t xml:space="preserve">An explanation of the Financial Statements which follow and their purpose are shown at the top of each page. The accounting policies and a glossary of terms can be found at the end of this publication and these provide an explanation of the main guidelines and terms used. </w:t>
      </w:r>
    </w:p>
    <w:p w:rsidR="0021497B" w:rsidRPr="00617BAE" w:rsidRDefault="0021497B" w:rsidP="0021497B">
      <w:pPr>
        <w:spacing w:before="0" w:after="0"/>
        <w:jc w:val="both"/>
        <w:rPr>
          <w:rFonts w:ascii="Arial" w:hAnsi="Arial" w:cs="Arial"/>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 xml:space="preserve">On Our Website - </w:t>
      </w:r>
      <w:r w:rsidRPr="00617BAE">
        <w:rPr>
          <w:rFonts w:ascii="Arial" w:hAnsi="Arial" w:cs="Arial"/>
          <w:color w:val="000000"/>
          <w:lang w:val="en-US"/>
        </w:rPr>
        <w:t>Further information about the council can be obtained on the council’s website (</w:t>
      </w:r>
      <w:hyperlink r:id="rId35" w:history="1">
        <w:r w:rsidR="00A803FC" w:rsidRPr="00A803FC">
          <w:rPr>
            <w:rStyle w:val="Hyperlink"/>
            <w:rFonts w:ascii="Arial" w:hAnsi="Arial" w:cs="Arial"/>
            <w:lang w:val="en-US"/>
          </w:rPr>
          <w:t>West Dunbartonshire Council</w:t>
        </w:r>
      </w:hyperlink>
      <w:r w:rsidRPr="00617BAE">
        <w:rPr>
          <w:rFonts w:ascii="Arial" w:hAnsi="Arial" w:cs="Arial"/>
          <w:color w:val="000000"/>
          <w:lang w:val="en-US"/>
        </w:rPr>
        <w:t xml:space="preserve">) or from Finance Services, 16 Church Street, Dumbarton, G82 1QL. </w:t>
      </w:r>
    </w:p>
    <w:p w:rsidR="0021497B" w:rsidRPr="00617BAE" w:rsidRDefault="0021497B" w:rsidP="0021497B">
      <w:pPr>
        <w:spacing w:before="0" w:after="0" w:line="276" w:lineRule="auto"/>
        <w:rPr>
          <w:rFonts w:ascii="Arial" w:hAnsi="Arial" w:cs="Arial"/>
          <w:lang w:val="en-US"/>
        </w:rPr>
      </w:pPr>
    </w:p>
    <w:p w:rsidR="0021497B" w:rsidRPr="00617BAE" w:rsidRDefault="0021497B" w:rsidP="0021497B">
      <w:pPr>
        <w:spacing w:before="0" w:after="0"/>
        <w:jc w:val="both"/>
        <w:rPr>
          <w:rFonts w:ascii="Arial" w:hAnsi="Arial" w:cs="Arial"/>
          <w:b/>
          <w:color w:val="000000"/>
          <w:u w:val="single"/>
          <w:lang w:val="en-US"/>
        </w:rPr>
      </w:pPr>
      <w:r w:rsidRPr="00617BAE">
        <w:rPr>
          <w:rFonts w:ascii="Arial" w:hAnsi="Arial" w:cs="Arial"/>
          <w:b/>
          <w:color w:val="000000"/>
          <w:u w:val="single"/>
          <w:lang w:val="en-US"/>
        </w:rPr>
        <w:t>7. Conclusion</w:t>
      </w:r>
    </w:p>
    <w:p w:rsidR="0021497B" w:rsidRPr="00617BAE" w:rsidRDefault="0021497B" w:rsidP="0021497B">
      <w:pPr>
        <w:spacing w:before="0" w:after="0"/>
        <w:jc w:val="both"/>
        <w:rPr>
          <w:rFonts w:ascii="Arial" w:hAnsi="Arial" w:cs="Arial"/>
          <w:color w:val="000000"/>
          <w:lang w:val="en-US"/>
        </w:rPr>
      </w:pPr>
      <w:r w:rsidRPr="00617BAE">
        <w:rPr>
          <w:rFonts w:ascii="Arial" w:hAnsi="Arial" w:cs="Arial"/>
          <w:color w:val="000000"/>
          <w:lang w:val="en-US"/>
        </w:rPr>
        <w:t>The financial results show the council’s finances in a fairly healthy position and, considering the ongoing significant financial pressures being faced by the council, we have successfully managed our affairs within the budget set and the financial objectives prescribed. This is a satisfactory outcome and reflects well on both the efforts and professionalism of management, budget holders and on the council’s financial management and monitoring procedures. However the impact of covid-19 moving into financial year 2020/21 will certainly bring challenges in terms of cost and uncertainty around availability of Scottish Government funding to support such cost implications.</w:t>
      </w:r>
      <w:r w:rsidR="0067574D" w:rsidRPr="0067574D">
        <w:rPr>
          <w:rFonts w:ascii="Arial" w:hAnsi="Arial" w:cs="Arial"/>
        </w:rPr>
        <w:t xml:space="preserve"> </w:t>
      </w:r>
      <w:r w:rsidR="0067574D">
        <w:rPr>
          <w:rFonts w:ascii="Arial" w:hAnsi="Arial" w:cs="Arial"/>
        </w:rPr>
        <w:t>The council’s Financial Statements continue to be reported on a going concern basis.</w:t>
      </w:r>
    </w:p>
    <w:p w:rsidR="0021497B" w:rsidRPr="00617BAE" w:rsidRDefault="0021497B" w:rsidP="0021497B">
      <w:pPr>
        <w:spacing w:before="0" w:after="0"/>
        <w:jc w:val="both"/>
        <w:rPr>
          <w:rFonts w:ascii="Arial" w:hAnsi="Arial" w:cs="Arial"/>
          <w:color w:val="000000"/>
          <w:lang w:val="en-US"/>
        </w:rPr>
      </w:pPr>
    </w:p>
    <w:p w:rsidR="0021497B" w:rsidRPr="00617BAE" w:rsidRDefault="0021497B" w:rsidP="0021497B">
      <w:pPr>
        <w:spacing w:before="0" w:after="0"/>
        <w:jc w:val="both"/>
        <w:rPr>
          <w:rFonts w:ascii="Arial" w:hAnsi="Arial" w:cs="Arial"/>
          <w:b/>
          <w:color w:val="000000"/>
          <w:lang w:val="en-US"/>
        </w:rPr>
      </w:pPr>
      <w:r w:rsidRPr="00617BAE">
        <w:rPr>
          <w:rFonts w:ascii="Arial" w:hAnsi="Arial" w:cs="Arial"/>
          <w:b/>
          <w:color w:val="000000"/>
          <w:lang w:val="en-US"/>
        </w:rPr>
        <w:t>Acknowledgement</w:t>
      </w:r>
    </w:p>
    <w:p w:rsidR="0021497B" w:rsidRDefault="0021497B" w:rsidP="00BD4A12">
      <w:pPr>
        <w:spacing w:before="0" w:after="0"/>
        <w:jc w:val="both"/>
        <w:rPr>
          <w:rFonts w:ascii="Arial" w:eastAsiaTheme="minorHAnsi" w:hAnsi="Arial" w:cs="Arial"/>
        </w:rPr>
      </w:pPr>
      <w:r w:rsidRPr="00617BAE">
        <w:rPr>
          <w:rFonts w:ascii="Arial" w:hAnsi="Arial" w:cs="Arial"/>
          <w:color w:val="000000"/>
          <w:lang w:val="en-US"/>
        </w:rPr>
        <w:t xml:space="preserve">The production of the Annual Financial Statements is very much a team effort and we wish to record our </w:t>
      </w:r>
      <w:r w:rsidRPr="00617BAE">
        <w:rPr>
          <w:rFonts w:ascii="Arial" w:eastAsiaTheme="minorHAnsi" w:hAnsi="Arial" w:cs="Arial"/>
        </w:rPr>
        <w:t>thanks to both Finance staff and to colleagues in all services whose efforts have contributed to the</w:t>
      </w:r>
      <w:r w:rsidRPr="00617BAE">
        <w:rPr>
          <w:rFonts w:ascii="Arial" w:hAnsi="Arial" w:cs="Arial"/>
          <w:color w:val="000000"/>
          <w:lang w:val="en-US"/>
        </w:rPr>
        <w:t xml:space="preserve"> </w:t>
      </w:r>
      <w:r w:rsidRPr="00617BAE">
        <w:rPr>
          <w:rFonts w:ascii="Arial" w:eastAsiaTheme="minorHAnsi" w:hAnsi="Arial" w:cs="Arial"/>
        </w:rPr>
        <w:t>completion of these Statements of Accounts.</w:t>
      </w:r>
    </w:p>
    <w:p w:rsidR="00BD4A12" w:rsidRDefault="00BD4A12" w:rsidP="00BD4A12">
      <w:pPr>
        <w:spacing w:before="0" w:after="0"/>
        <w:jc w:val="both"/>
        <w:rPr>
          <w:rFonts w:ascii="Arial" w:eastAsiaTheme="minorHAnsi" w:hAnsi="Arial" w:cs="Arial"/>
        </w:rPr>
      </w:pPr>
    </w:p>
    <w:p w:rsidR="00BD4A12" w:rsidRPr="00617BAE" w:rsidRDefault="00BD4A12" w:rsidP="00BD4A12">
      <w:pPr>
        <w:spacing w:before="0" w:after="0"/>
        <w:jc w:val="both"/>
        <w:rPr>
          <w:rFonts w:ascii="Arial" w:eastAsiaTheme="minorHAnsi" w:hAnsi="Arial" w:cs="Arial"/>
        </w:rPr>
      </w:pPr>
    </w:p>
    <w:p w:rsidR="0021497B" w:rsidRPr="00617BAE" w:rsidRDefault="0021497B" w:rsidP="0021497B">
      <w:pPr>
        <w:autoSpaceDE w:val="0"/>
        <w:autoSpaceDN w:val="0"/>
        <w:adjustRightInd w:val="0"/>
        <w:spacing w:before="0" w:after="0"/>
        <w:rPr>
          <w:rFonts w:ascii="Arial" w:eastAsiaTheme="minorHAnsi" w:hAnsi="Arial" w:cs="Arial"/>
        </w:rPr>
      </w:pPr>
    </w:p>
    <w:p w:rsidR="0021497B" w:rsidRPr="00617BAE" w:rsidRDefault="0021497B" w:rsidP="0021497B">
      <w:pPr>
        <w:autoSpaceDE w:val="0"/>
        <w:autoSpaceDN w:val="0"/>
        <w:adjustRightInd w:val="0"/>
        <w:spacing w:before="0" w:after="0"/>
        <w:rPr>
          <w:rFonts w:ascii="Arial" w:eastAsiaTheme="minorHAnsi" w:hAnsi="Arial" w:cs="Arial"/>
        </w:rPr>
      </w:pPr>
      <w:r w:rsidRPr="00617BAE">
        <w:rPr>
          <w:rFonts w:ascii="Arial" w:eastAsiaTheme="minorHAnsi" w:hAnsi="Arial" w:cs="Arial"/>
        </w:rPr>
        <w:t xml:space="preserve">Councillor Jonathan McColl </w:t>
      </w:r>
      <w:r w:rsidRPr="00617BAE">
        <w:rPr>
          <w:rFonts w:ascii="Arial" w:eastAsiaTheme="minorHAnsi" w:hAnsi="Arial" w:cs="Arial"/>
        </w:rPr>
        <w:tab/>
      </w:r>
      <w:r w:rsidRPr="00617BAE">
        <w:rPr>
          <w:rFonts w:ascii="Arial" w:eastAsiaTheme="minorHAnsi" w:hAnsi="Arial" w:cs="Arial"/>
        </w:rPr>
        <w:tab/>
        <w:t xml:space="preserve">Joyce White </w:t>
      </w:r>
      <w:r w:rsidRPr="00617BAE">
        <w:rPr>
          <w:rFonts w:ascii="Arial" w:eastAsiaTheme="minorHAnsi" w:hAnsi="Arial" w:cs="Arial"/>
        </w:rPr>
        <w:tab/>
      </w:r>
      <w:r w:rsidRPr="00617BAE">
        <w:rPr>
          <w:rFonts w:ascii="Arial" w:eastAsiaTheme="minorHAnsi" w:hAnsi="Arial" w:cs="Arial"/>
        </w:rPr>
        <w:tab/>
      </w:r>
      <w:r w:rsidRPr="00617BAE">
        <w:rPr>
          <w:rFonts w:ascii="Arial" w:eastAsiaTheme="minorHAnsi" w:hAnsi="Arial" w:cs="Arial"/>
        </w:rPr>
        <w:tab/>
        <w:t>Stephen West</w:t>
      </w:r>
    </w:p>
    <w:p w:rsidR="0021497B" w:rsidRPr="00617BAE" w:rsidRDefault="0021497B" w:rsidP="0021497B">
      <w:pPr>
        <w:autoSpaceDE w:val="0"/>
        <w:autoSpaceDN w:val="0"/>
        <w:adjustRightInd w:val="0"/>
        <w:spacing w:before="0" w:after="0"/>
        <w:rPr>
          <w:rFonts w:ascii="Arial" w:eastAsiaTheme="minorHAnsi" w:hAnsi="Arial" w:cs="Arial"/>
        </w:rPr>
      </w:pPr>
      <w:r w:rsidRPr="00617BAE">
        <w:rPr>
          <w:rFonts w:ascii="Arial" w:eastAsiaTheme="minorHAnsi" w:hAnsi="Arial" w:cs="Arial"/>
        </w:rPr>
        <w:t xml:space="preserve">Leader of the Council </w:t>
      </w:r>
      <w:r w:rsidRPr="00617BAE">
        <w:rPr>
          <w:rFonts w:ascii="Arial" w:eastAsiaTheme="minorHAnsi" w:hAnsi="Arial" w:cs="Arial"/>
        </w:rPr>
        <w:tab/>
      </w:r>
      <w:r w:rsidRPr="00617BAE">
        <w:rPr>
          <w:rFonts w:ascii="Arial" w:eastAsiaTheme="minorHAnsi" w:hAnsi="Arial" w:cs="Arial"/>
        </w:rPr>
        <w:tab/>
      </w:r>
      <w:r w:rsidRPr="00617BAE">
        <w:rPr>
          <w:rFonts w:ascii="Arial" w:eastAsiaTheme="minorHAnsi" w:hAnsi="Arial" w:cs="Arial"/>
        </w:rPr>
        <w:tab/>
        <w:t xml:space="preserve">Chief Executive </w:t>
      </w:r>
      <w:r w:rsidRPr="00617BAE">
        <w:rPr>
          <w:rFonts w:ascii="Arial" w:eastAsiaTheme="minorHAnsi" w:hAnsi="Arial" w:cs="Arial"/>
        </w:rPr>
        <w:tab/>
      </w:r>
      <w:r w:rsidRPr="00617BAE">
        <w:rPr>
          <w:rFonts w:ascii="Arial" w:eastAsiaTheme="minorHAnsi" w:hAnsi="Arial" w:cs="Arial"/>
        </w:rPr>
        <w:tab/>
        <w:t>Strategic Lead - Resources</w:t>
      </w:r>
    </w:p>
    <w:p w:rsidR="00852DF8" w:rsidRDefault="00BD4A12" w:rsidP="00845143">
      <w:pPr>
        <w:autoSpaceDE w:val="0"/>
        <w:autoSpaceDN w:val="0"/>
        <w:adjustRightInd w:val="0"/>
        <w:spacing w:before="0" w:after="0"/>
        <w:rPr>
          <w:rFonts w:ascii="Arial" w:eastAsiaTheme="majorEastAsia" w:hAnsi="Arial" w:cs="Arial"/>
          <w:b/>
          <w:bCs/>
          <w:sz w:val="24"/>
          <w:szCs w:val="24"/>
        </w:rPr>
      </w:pPr>
      <w:r>
        <w:rPr>
          <w:rFonts w:ascii="Arial" w:eastAsiaTheme="minorHAnsi" w:hAnsi="Arial" w:cs="Arial"/>
        </w:rPr>
        <w:t xml:space="preserve">Date: </w:t>
      </w:r>
      <w:r w:rsidR="00845143">
        <w:rPr>
          <w:rFonts w:ascii="Arial" w:eastAsiaTheme="minorHAnsi" w:hAnsi="Arial" w:cs="Arial"/>
        </w:rPr>
        <w:t>25 November 2020</w:t>
      </w:r>
      <w:r w:rsidR="00845143">
        <w:rPr>
          <w:rFonts w:ascii="Arial" w:eastAsiaTheme="minorHAnsi" w:hAnsi="Arial" w:cs="Arial"/>
        </w:rPr>
        <w:tab/>
      </w:r>
      <w:r w:rsidR="00845143">
        <w:rPr>
          <w:rFonts w:ascii="Arial" w:eastAsiaTheme="minorHAnsi" w:hAnsi="Arial" w:cs="Arial"/>
        </w:rPr>
        <w:tab/>
        <w:t>Date: 25 November 2020</w:t>
      </w:r>
      <w:r w:rsidR="00845143">
        <w:rPr>
          <w:rFonts w:ascii="Arial" w:eastAsiaTheme="minorHAnsi" w:hAnsi="Arial" w:cs="Arial"/>
        </w:rPr>
        <w:tab/>
        <w:t xml:space="preserve"> Date: 25 November</w:t>
      </w:r>
      <w:r w:rsidR="0021497B" w:rsidRPr="00617BAE">
        <w:rPr>
          <w:rFonts w:ascii="Arial" w:eastAsiaTheme="minorHAnsi" w:hAnsi="Arial" w:cs="Arial"/>
        </w:rPr>
        <w:t xml:space="preserve"> 2020</w:t>
      </w:r>
      <w:bookmarkEnd w:id="1"/>
      <w:r w:rsidR="00852DF8">
        <w:rPr>
          <w:rFonts w:ascii="Arial" w:hAnsi="Arial" w:cs="Arial"/>
          <w:sz w:val="24"/>
          <w:szCs w:val="24"/>
        </w:rPr>
        <w:br w:type="page"/>
      </w:r>
    </w:p>
    <w:p w:rsidR="002119EC" w:rsidRPr="00A31A2B" w:rsidRDefault="002119EC" w:rsidP="002119EC">
      <w:pPr>
        <w:pStyle w:val="Heading1"/>
        <w:spacing w:before="0"/>
        <w:rPr>
          <w:rFonts w:ascii="Arial" w:hAnsi="Arial" w:cs="Arial"/>
          <w:color w:val="auto"/>
          <w:sz w:val="24"/>
          <w:szCs w:val="24"/>
        </w:rPr>
      </w:pPr>
      <w:r w:rsidRPr="00A31A2B">
        <w:rPr>
          <w:rFonts w:ascii="Arial" w:hAnsi="Arial" w:cs="Arial"/>
          <w:color w:val="auto"/>
          <w:sz w:val="24"/>
          <w:szCs w:val="24"/>
        </w:rPr>
        <w:lastRenderedPageBreak/>
        <w:t>Statement of Responsibilities</w:t>
      </w:r>
    </w:p>
    <w:p w:rsidR="002119EC" w:rsidRPr="00A31A2B" w:rsidRDefault="002119EC" w:rsidP="002119EC">
      <w:pPr>
        <w:tabs>
          <w:tab w:val="left" w:pos="720"/>
          <w:tab w:val="right" w:pos="5130"/>
          <w:tab w:val="right" w:pos="6480"/>
        </w:tabs>
        <w:ind w:left="720" w:hanging="720"/>
        <w:jc w:val="both"/>
        <w:rPr>
          <w:rFonts w:ascii="Arial" w:hAnsi="Arial" w:cs="Arial"/>
        </w:rPr>
      </w:pPr>
    </w:p>
    <w:p w:rsidR="00222ABB" w:rsidRPr="00A31A2B" w:rsidRDefault="00222ABB" w:rsidP="00222ABB">
      <w:pPr>
        <w:tabs>
          <w:tab w:val="right" w:pos="5130"/>
        </w:tabs>
        <w:ind w:right="1559"/>
        <w:rPr>
          <w:rFonts w:ascii="Arial" w:hAnsi="Arial" w:cs="Arial"/>
          <w:b/>
        </w:rPr>
      </w:pPr>
      <w:r w:rsidRPr="00A31A2B">
        <w:rPr>
          <w:rFonts w:ascii="Arial" w:hAnsi="Arial" w:cs="Arial"/>
          <w:b/>
        </w:rPr>
        <w:t>The Authority’s Responsibilities:</w:t>
      </w:r>
    </w:p>
    <w:p w:rsidR="00222ABB" w:rsidRPr="00A31A2B" w:rsidRDefault="00222ABB" w:rsidP="00222ABB">
      <w:pPr>
        <w:tabs>
          <w:tab w:val="right" w:pos="5130"/>
        </w:tabs>
        <w:ind w:right="1559"/>
        <w:rPr>
          <w:rFonts w:ascii="Arial" w:hAnsi="Arial" w:cs="Arial"/>
        </w:rPr>
      </w:pPr>
    </w:p>
    <w:p w:rsidR="00222ABB" w:rsidRPr="00A31A2B" w:rsidRDefault="00222ABB" w:rsidP="00222ABB">
      <w:pPr>
        <w:tabs>
          <w:tab w:val="right" w:pos="5130"/>
        </w:tabs>
        <w:ind w:right="1559"/>
        <w:rPr>
          <w:rFonts w:ascii="Arial" w:hAnsi="Arial" w:cs="Arial"/>
        </w:rPr>
      </w:pPr>
      <w:r w:rsidRPr="00A31A2B">
        <w:rPr>
          <w:rFonts w:ascii="Arial" w:hAnsi="Arial" w:cs="Arial"/>
        </w:rPr>
        <w:t>The Authority is required:</w:t>
      </w:r>
    </w:p>
    <w:p w:rsidR="00222ABB" w:rsidRPr="00A31A2B" w:rsidRDefault="00222ABB" w:rsidP="00EA6E47">
      <w:pPr>
        <w:numPr>
          <w:ilvl w:val="0"/>
          <w:numId w:val="4"/>
        </w:numPr>
        <w:tabs>
          <w:tab w:val="right" w:pos="5130"/>
        </w:tabs>
        <w:ind w:right="26"/>
        <w:rPr>
          <w:rFonts w:ascii="Arial" w:hAnsi="Arial" w:cs="Arial"/>
        </w:rPr>
      </w:pPr>
      <w:r w:rsidRPr="00A31A2B">
        <w:rPr>
          <w:rFonts w:ascii="Arial" w:hAnsi="Arial" w:cs="Arial"/>
        </w:rPr>
        <w:t>to make arrangements for the proper administration of its financial affairs and to secure that one of its officers has the responsibility for the administration of those affairs (section 95 of the Local Government (Scotland) Act 1973).  In this authority, that officer is</w:t>
      </w:r>
      <w:r w:rsidR="0025726E">
        <w:rPr>
          <w:rFonts w:ascii="Arial" w:hAnsi="Arial" w:cs="Arial"/>
        </w:rPr>
        <w:t xml:space="preserve"> the Strategic Lead – Resources;</w:t>
      </w:r>
    </w:p>
    <w:p w:rsidR="00222ABB" w:rsidRPr="00A31A2B" w:rsidRDefault="00222ABB" w:rsidP="00EA6E47">
      <w:pPr>
        <w:numPr>
          <w:ilvl w:val="0"/>
          <w:numId w:val="4"/>
        </w:numPr>
        <w:tabs>
          <w:tab w:val="right" w:pos="5130"/>
        </w:tabs>
        <w:ind w:right="26"/>
        <w:rPr>
          <w:rFonts w:ascii="Arial" w:hAnsi="Arial" w:cs="Arial"/>
        </w:rPr>
      </w:pPr>
      <w:r w:rsidRPr="00A31A2B">
        <w:rPr>
          <w:rFonts w:ascii="Arial" w:hAnsi="Arial" w:cs="Arial"/>
          <w:lang w:val="en-US"/>
        </w:rPr>
        <w:tab/>
      </w:r>
      <w:r w:rsidRPr="00A31A2B">
        <w:rPr>
          <w:rFonts w:ascii="Arial" w:hAnsi="Arial" w:cs="Arial"/>
        </w:rPr>
        <w:t>to manage its affairs to secure economic, efficient and effective use of resources and safeguard its assets;</w:t>
      </w:r>
    </w:p>
    <w:p w:rsidR="00222ABB" w:rsidRPr="00A31A2B" w:rsidRDefault="00222ABB" w:rsidP="00EA6E47">
      <w:pPr>
        <w:numPr>
          <w:ilvl w:val="0"/>
          <w:numId w:val="4"/>
        </w:numPr>
        <w:tabs>
          <w:tab w:val="right" w:pos="5130"/>
        </w:tabs>
        <w:ind w:right="26"/>
        <w:rPr>
          <w:rFonts w:ascii="Arial" w:hAnsi="Arial" w:cs="Arial"/>
        </w:rPr>
      </w:pPr>
      <w:r w:rsidRPr="00A31A2B">
        <w:rPr>
          <w:rFonts w:ascii="Arial" w:hAnsi="Arial" w:cs="Arial"/>
        </w:rPr>
        <w:t>to ensure the Annual Accounts are prepared in accordance with legislation (The Local Authority Accounts (Scotland) Regulations 2014) and so far as is compatible with legislation, in accordance with proper accounting practices (Section 12 of the Local Government in Scotland Act 2003); and</w:t>
      </w:r>
    </w:p>
    <w:p w:rsidR="00222ABB" w:rsidRPr="00A31A2B" w:rsidRDefault="00222ABB" w:rsidP="00EA6E47">
      <w:pPr>
        <w:numPr>
          <w:ilvl w:val="0"/>
          <w:numId w:val="4"/>
        </w:numPr>
        <w:tabs>
          <w:tab w:val="right" w:pos="5130"/>
        </w:tabs>
        <w:ind w:right="26"/>
        <w:rPr>
          <w:rFonts w:ascii="Arial" w:hAnsi="Arial" w:cs="Arial"/>
        </w:rPr>
      </w:pPr>
      <w:r w:rsidRPr="00A31A2B">
        <w:rPr>
          <w:rFonts w:ascii="Arial" w:hAnsi="Arial" w:cs="Arial"/>
        </w:rPr>
        <w:t>to approve the Annual Accounts for signature.</w:t>
      </w:r>
    </w:p>
    <w:p w:rsidR="00222ABB" w:rsidRPr="00A31A2B" w:rsidRDefault="00222ABB" w:rsidP="00222ABB">
      <w:pPr>
        <w:tabs>
          <w:tab w:val="right" w:pos="5130"/>
        </w:tabs>
        <w:ind w:left="709" w:right="26"/>
        <w:rPr>
          <w:rFonts w:ascii="Arial" w:hAnsi="Arial" w:cs="Arial"/>
        </w:rPr>
      </w:pPr>
    </w:p>
    <w:p w:rsidR="00222ABB" w:rsidRPr="00DD20E5" w:rsidRDefault="00EA6E47" w:rsidP="009F5543">
      <w:pPr>
        <w:tabs>
          <w:tab w:val="right" w:pos="5130"/>
        </w:tabs>
        <w:ind w:right="26"/>
        <w:rPr>
          <w:rFonts w:ascii="Arial" w:hAnsi="Arial" w:cs="Arial"/>
        </w:rPr>
      </w:pPr>
      <w:r w:rsidRPr="00C445F5">
        <w:rPr>
          <w:rFonts w:ascii="Arial" w:hAnsi="Arial" w:cs="Arial"/>
        </w:rPr>
        <w:t>I confirm that these</w:t>
      </w:r>
      <w:r w:rsidR="005671AD" w:rsidRPr="00C445F5">
        <w:rPr>
          <w:rFonts w:ascii="Arial" w:hAnsi="Arial" w:cs="Arial"/>
        </w:rPr>
        <w:t xml:space="preserve"> </w:t>
      </w:r>
      <w:r w:rsidR="00845143">
        <w:rPr>
          <w:rFonts w:ascii="Arial" w:hAnsi="Arial" w:cs="Arial"/>
        </w:rPr>
        <w:t xml:space="preserve">audited </w:t>
      </w:r>
      <w:r w:rsidR="00222ABB" w:rsidRPr="00C445F5">
        <w:rPr>
          <w:rFonts w:ascii="Arial" w:hAnsi="Arial" w:cs="Arial"/>
        </w:rPr>
        <w:t xml:space="preserve">Annual Accounts were </w:t>
      </w:r>
      <w:r w:rsidR="00845143">
        <w:rPr>
          <w:rFonts w:ascii="Arial" w:hAnsi="Arial" w:cs="Arial"/>
        </w:rPr>
        <w:t>authorised for issue on 25 November</w:t>
      </w:r>
      <w:r w:rsidR="00C445F5" w:rsidRPr="00C445F5">
        <w:rPr>
          <w:rFonts w:ascii="Arial" w:hAnsi="Arial" w:cs="Arial"/>
        </w:rPr>
        <w:t xml:space="preserve"> 2020</w:t>
      </w:r>
      <w:r w:rsidR="00222ABB" w:rsidRPr="00C445F5">
        <w:rPr>
          <w:rFonts w:ascii="Arial" w:hAnsi="Arial" w:cs="Arial"/>
        </w:rPr>
        <w:t>.</w:t>
      </w:r>
    </w:p>
    <w:p w:rsidR="00222ABB" w:rsidRPr="00A31A2B" w:rsidRDefault="00222ABB" w:rsidP="00222ABB">
      <w:pPr>
        <w:tabs>
          <w:tab w:val="right" w:pos="5130"/>
        </w:tabs>
        <w:ind w:right="26"/>
        <w:rPr>
          <w:rFonts w:ascii="Arial" w:hAnsi="Arial" w:cs="Arial"/>
        </w:rPr>
      </w:pPr>
    </w:p>
    <w:p w:rsidR="00222ABB" w:rsidRPr="00A31A2B" w:rsidRDefault="00222ABB" w:rsidP="00222ABB">
      <w:pPr>
        <w:tabs>
          <w:tab w:val="right" w:pos="5130"/>
        </w:tabs>
        <w:ind w:right="26"/>
        <w:jc w:val="right"/>
        <w:rPr>
          <w:rFonts w:ascii="Arial" w:hAnsi="Arial" w:cs="Arial"/>
        </w:rPr>
      </w:pPr>
      <w:r w:rsidRPr="00A31A2B">
        <w:rPr>
          <w:rFonts w:ascii="Arial" w:hAnsi="Arial" w:cs="Arial"/>
        </w:rPr>
        <w:t>Signed on behalf of West Dunbartonshire Council</w:t>
      </w:r>
    </w:p>
    <w:p w:rsidR="00222ABB" w:rsidRPr="00A31A2B" w:rsidRDefault="00222ABB" w:rsidP="00222ABB">
      <w:pPr>
        <w:tabs>
          <w:tab w:val="right" w:pos="5130"/>
        </w:tabs>
        <w:ind w:right="26"/>
        <w:rPr>
          <w:rFonts w:ascii="Arial" w:hAnsi="Arial" w:cs="Arial"/>
        </w:rPr>
      </w:pPr>
    </w:p>
    <w:p w:rsidR="00222ABB" w:rsidRDefault="00222ABB" w:rsidP="00222ABB">
      <w:pPr>
        <w:tabs>
          <w:tab w:val="right" w:pos="5130"/>
        </w:tabs>
        <w:ind w:right="26"/>
        <w:jc w:val="both"/>
        <w:rPr>
          <w:rFonts w:ascii="Arial" w:hAnsi="Arial" w:cs="Arial"/>
        </w:rPr>
      </w:pPr>
    </w:p>
    <w:p w:rsidR="005F3B53" w:rsidRDefault="005F3B53" w:rsidP="00222ABB">
      <w:pPr>
        <w:tabs>
          <w:tab w:val="right" w:pos="5130"/>
        </w:tabs>
        <w:ind w:right="26"/>
        <w:jc w:val="both"/>
        <w:rPr>
          <w:rFonts w:ascii="Arial" w:hAnsi="Arial" w:cs="Arial"/>
        </w:rPr>
      </w:pPr>
    </w:p>
    <w:p w:rsidR="005F3B53" w:rsidRPr="00A31A2B" w:rsidRDefault="005F3B53" w:rsidP="00222ABB">
      <w:pPr>
        <w:tabs>
          <w:tab w:val="right" w:pos="5130"/>
        </w:tabs>
        <w:ind w:right="26"/>
        <w:jc w:val="both"/>
        <w:rPr>
          <w:rFonts w:ascii="Arial" w:hAnsi="Arial" w:cs="Arial"/>
        </w:rPr>
      </w:pPr>
    </w:p>
    <w:p w:rsidR="00222ABB" w:rsidRPr="00A31A2B" w:rsidRDefault="00222ABB" w:rsidP="00222ABB">
      <w:pPr>
        <w:tabs>
          <w:tab w:val="right" w:pos="5130"/>
        </w:tabs>
        <w:ind w:right="26"/>
        <w:jc w:val="both"/>
        <w:rPr>
          <w:rFonts w:ascii="Arial" w:hAnsi="Arial" w:cs="Arial"/>
        </w:rPr>
      </w:pPr>
    </w:p>
    <w:p w:rsidR="00222ABB" w:rsidRPr="00A31A2B" w:rsidRDefault="00222ABB" w:rsidP="00222ABB">
      <w:pPr>
        <w:tabs>
          <w:tab w:val="right" w:pos="5130"/>
        </w:tabs>
        <w:ind w:right="26"/>
        <w:jc w:val="right"/>
        <w:rPr>
          <w:rFonts w:ascii="Arial" w:hAnsi="Arial" w:cs="Arial"/>
        </w:rPr>
      </w:pPr>
      <w:r w:rsidRPr="00A31A2B">
        <w:rPr>
          <w:rFonts w:ascii="Arial" w:hAnsi="Arial" w:cs="Arial"/>
        </w:rPr>
        <w:t xml:space="preserve">Councillor </w:t>
      </w:r>
      <w:r w:rsidR="003B7DCB">
        <w:rPr>
          <w:rFonts w:ascii="Arial" w:hAnsi="Arial" w:cs="Arial"/>
        </w:rPr>
        <w:t>Jonathan McColl</w:t>
      </w:r>
    </w:p>
    <w:p w:rsidR="00222ABB" w:rsidRPr="00A31A2B" w:rsidRDefault="00222ABB" w:rsidP="00222ABB">
      <w:pPr>
        <w:tabs>
          <w:tab w:val="right" w:pos="5130"/>
        </w:tabs>
        <w:ind w:right="26"/>
        <w:jc w:val="right"/>
        <w:rPr>
          <w:rFonts w:ascii="Arial" w:hAnsi="Arial" w:cs="Arial"/>
        </w:rPr>
      </w:pPr>
      <w:r w:rsidRPr="00A31A2B">
        <w:rPr>
          <w:rFonts w:ascii="Arial" w:hAnsi="Arial" w:cs="Arial"/>
        </w:rPr>
        <w:t>Leader of the Council</w:t>
      </w:r>
    </w:p>
    <w:p w:rsidR="00222ABB" w:rsidRPr="00A31A2B" w:rsidRDefault="00222ABB" w:rsidP="00845143">
      <w:pPr>
        <w:tabs>
          <w:tab w:val="right" w:pos="5130"/>
        </w:tabs>
        <w:ind w:right="26"/>
        <w:jc w:val="right"/>
        <w:rPr>
          <w:rFonts w:ascii="Arial" w:hAnsi="Arial" w:cs="Arial"/>
        </w:rPr>
      </w:pPr>
      <w:r w:rsidRPr="00C445F5">
        <w:rPr>
          <w:rFonts w:ascii="Arial" w:hAnsi="Arial" w:cs="Arial"/>
        </w:rPr>
        <w:t xml:space="preserve">Date: </w:t>
      </w:r>
      <w:r w:rsidR="00845143">
        <w:rPr>
          <w:rFonts w:ascii="Arial" w:eastAsiaTheme="minorHAnsi" w:hAnsi="Arial" w:cs="Arial"/>
          <w:color w:val="000000"/>
        </w:rPr>
        <w:t>25 November</w:t>
      </w:r>
      <w:r w:rsidR="0044151F" w:rsidRPr="00C445F5">
        <w:rPr>
          <w:rFonts w:ascii="Arial" w:eastAsiaTheme="minorHAnsi" w:hAnsi="Arial" w:cs="Arial"/>
          <w:color w:val="000000"/>
        </w:rPr>
        <w:t xml:space="preserve"> </w:t>
      </w:r>
      <w:r w:rsidR="00334A9D" w:rsidRPr="00C445F5">
        <w:rPr>
          <w:rFonts w:ascii="Arial" w:eastAsiaTheme="minorHAnsi" w:hAnsi="Arial" w:cs="Arial"/>
          <w:color w:val="000000"/>
        </w:rPr>
        <w:t>2020</w:t>
      </w:r>
    </w:p>
    <w:p w:rsidR="00222ABB" w:rsidRPr="00A31A2B" w:rsidRDefault="00222ABB" w:rsidP="00222ABB">
      <w:pPr>
        <w:tabs>
          <w:tab w:val="right" w:pos="5130"/>
        </w:tabs>
        <w:ind w:right="26"/>
        <w:jc w:val="both"/>
        <w:rPr>
          <w:rFonts w:ascii="Arial" w:hAnsi="Arial" w:cs="Arial"/>
        </w:rPr>
      </w:pPr>
    </w:p>
    <w:p w:rsidR="00222ABB" w:rsidRPr="00A31A2B" w:rsidRDefault="00323AE4" w:rsidP="00222ABB">
      <w:pPr>
        <w:tabs>
          <w:tab w:val="right" w:pos="5130"/>
        </w:tabs>
        <w:ind w:right="26"/>
        <w:jc w:val="both"/>
        <w:rPr>
          <w:rFonts w:ascii="Arial" w:hAnsi="Arial" w:cs="Arial"/>
          <w:b/>
        </w:rPr>
      </w:pPr>
      <w:r>
        <w:rPr>
          <w:rFonts w:ascii="Arial" w:hAnsi="Arial" w:cs="Arial"/>
          <w:b/>
        </w:rPr>
        <w:t xml:space="preserve">The Strategic Lead - </w:t>
      </w:r>
      <w:r w:rsidR="00222ABB" w:rsidRPr="00A31A2B">
        <w:rPr>
          <w:rFonts w:ascii="Arial" w:hAnsi="Arial" w:cs="Arial"/>
          <w:b/>
        </w:rPr>
        <w:t>Resources Responsibilities:</w:t>
      </w:r>
    </w:p>
    <w:p w:rsidR="00222ABB" w:rsidRPr="00A31A2B" w:rsidRDefault="00222ABB" w:rsidP="00222ABB">
      <w:pPr>
        <w:tabs>
          <w:tab w:val="right" w:pos="5130"/>
        </w:tabs>
        <w:ind w:right="26"/>
        <w:jc w:val="both"/>
        <w:rPr>
          <w:rFonts w:ascii="Arial" w:hAnsi="Arial" w:cs="Arial"/>
        </w:rPr>
      </w:pPr>
    </w:p>
    <w:p w:rsidR="00222ABB" w:rsidRPr="00A31A2B" w:rsidRDefault="00222ABB" w:rsidP="00222ABB">
      <w:pPr>
        <w:tabs>
          <w:tab w:val="right" w:pos="5130"/>
        </w:tabs>
        <w:ind w:right="26"/>
        <w:rPr>
          <w:rFonts w:ascii="Arial" w:hAnsi="Arial" w:cs="Arial"/>
        </w:rPr>
      </w:pPr>
      <w:r w:rsidRPr="00A31A2B">
        <w:rPr>
          <w:rFonts w:ascii="Arial" w:hAnsi="Arial" w:cs="Arial"/>
        </w:rPr>
        <w:t>The Strategic Lead - Resources is responsible for the preparation of the Authority’s Annual Accounts in accordance with proper practices as required by legislation and as set out in the CIPFA/LASAAC Code of Practice on Local Authority Accounting in the United Kingdom (the Code).</w:t>
      </w:r>
    </w:p>
    <w:p w:rsidR="00222ABB" w:rsidRPr="00A31A2B" w:rsidRDefault="00222ABB" w:rsidP="00222ABB">
      <w:pPr>
        <w:tabs>
          <w:tab w:val="right" w:pos="5130"/>
        </w:tabs>
        <w:ind w:right="26"/>
        <w:rPr>
          <w:rFonts w:ascii="Arial" w:hAnsi="Arial" w:cs="Arial"/>
        </w:rPr>
      </w:pPr>
    </w:p>
    <w:p w:rsidR="00222ABB" w:rsidRPr="00A31A2B" w:rsidRDefault="00222ABB" w:rsidP="00222ABB">
      <w:pPr>
        <w:tabs>
          <w:tab w:val="right" w:pos="5130"/>
        </w:tabs>
        <w:ind w:right="26"/>
        <w:rPr>
          <w:rFonts w:ascii="Arial" w:hAnsi="Arial" w:cs="Arial"/>
        </w:rPr>
      </w:pPr>
      <w:r w:rsidRPr="00A31A2B">
        <w:rPr>
          <w:rFonts w:ascii="Arial" w:hAnsi="Arial" w:cs="Arial"/>
        </w:rPr>
        <w:t>In preparing this Statement of Accounts, the Strategic Lead - Resources has:</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rPr>
        <w:t>selected suitable accounting policies and then applied them consistently;</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rPr>
        <w:t xml:space="preserve">made judgements and estimates that were reasonable and prudent; </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rPr>
        <w:t>complied with legislation; and</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rPr>
        <w:t>complied with the local authority Accounting Code (in so far as it is compatible with legislation).</w:t>
      </w:r>
    </w:p>
    <w:p w:rsidR="00222ABB" w:rsidRPr="00A31A2B" w:rsidRDefault="00222ABB" w:rsidP="00222ABB">
      <w:pPr>
        <w:tabs>
          <w:tab w:val="right" w:pos="5130"/>
        </w:tabs>
        <w:ind w:left="284" w:right="26"/>
        <w:rPr>
          <w:rFonts w:ascii="Arial" w:hAnsi="Arial" w:cs="Arial"/>
        </w:rPr>
      </w:pPr>
    </w:p>
    <w:p w:rsidR="00222ABB" w:rsidRPr="00A31A2B" w:rsidRDefault="00222ABB" w:rsidP="00222ABB">
      <w:pPr>
        <w:tabs>
          <w:tab w:val="right" w:pos="5130"/>
        </w:tabs>
        <w:ind w:right="26"/>
        <w:rPr>
          <w:rFonts w:ascii="Arial" w:hAnsi="Arial" w:cs="Arial"/>
        </w:rPr>
      </w:pPr>
      <w:r w:rsidRPr="00A31A2B">
        <w:rPr>
          <w:rFonts w:ascii="Arial" w:hAnsi="Arial" w:cs="Arial"/>
        </w:rPr>
        <w:t>The Strategic Lead - Resources has also:</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rPr>
        <w:t>kept adequate accounting records which were up to date; and</w:t>
      </w:r>
    </w:p>
    <w:p w:rsidR="00222ABB" w:rsidRPr="00A31A2B" w:rsidRDefault="00222ABB" w:rsidP="00EA6E47">
      <w:pPr>
        <w:numPr>
          <w:ilvl w:val="0"/>
          <w:numId w:val="5"/>
        </w:numPr>
        <w:tabs>
          <w:tab w:val="right" w:pos="5130"/>
        </w:tabs>
        <w:ind w:right="26"/>
        <w:rPr>
          <w:rFonts w:ascii="Arial" w:hAnsi="Arial" w:cs="Arial"/>
        </w:rPr>
      </w:pPr>
      <w:r w:rsidRPr="00A31A2B">
        <w:rPr>
          <w:rFonts w:ascii="Arial" w:hAnsi="Arial" w:cs="Arial"/>
          <w:lang w:val="en-US"/>
        </w:rPr>
        <w:tab/>
      </w:r>
      <w:r w:rsidRPr="00A31A2B">
        <w:rPr>
          <w:rFonts w:ascii="Arial" w:hAnsi="Arial" w:cs="Arial"/>
        </w:rPr>
        <w:t>taken reasonable steps for the prevention and detection of fraud and other irregularities.</w:t>
      </w:r>
    </w:p>
    <w:p w:rsidR="00222ABB" w:rsidRPr="00A31A2B" w:rsidRDefault="00222ABB" w:rsidP="00222ABB">
      <w:pPr>
        <w:tabs>
          <w:tab w:val="right" w:pos="5130"/>
        </w:tabs>
        <w:ind w:left="709" w:right="26"/>
        <w:rPr>
          <w:rFonts w:ascii="Arial" w:hAnsi="Arial" w:cs="Arial"/>
        </w:rPr>
      </w:pPr>
    </w:p>
    <w:p w:rsidR="005F3B53" w:rsidRDefault="00222ABB" w:rsidP="00222ABB">
      <w:pPr>
        <w:spacing w:after="200" w:line="276" w:lineRule="auto"/>
        <w:rPr>
          <w:rFonts w:ascii="Arial" w:hAnsi="Arial" w:cs="Arial"/>
        </w:rPr>
      </w:pPr>
      <w:r w:rsidRPr="00A31A2B">
        <w:rPr>
          <w:rFonts w:ascii="Arial" w:hAnsi="Arial" w:cs="Arial"/>
        </w:rPr>
        <w:t xml:space="preserve">I certify that the Financial Statements give a true and fair view of the financial position of the local authority (and its group) at the reporting date and the transactions of the local authority (and its group) </w:t>
      </w:r>
      <w:r w:rsidR="005613D0">
        <w:rPr>
          <w:rFonts w:ascii="Arial" w:hAnsi="Arial" w:cs="Arial"/>
        </w:rPr>
        <w:t xml:space="preserve">for the year ended 31 </w:t>
      </w:r>
      <w:r w:rsidR="00334A9D">
        <w:rPr>
          <w:rFonts w:ascii="Arial" w:hAnsi="Arial" w:cs="Arial"/>
        </w:rPr>
        <w:t>March 2020</w:t>
      </w:r>
      <w:r w:rsidRPr="00A31A2B">
        <w:rPr>
          <w:rFonts w:ascii="Arial" w:hAnsi="Arial" w:cs="Arial"/>
        </w:rPr>
        <w:t>.</w:t>
      </w:r>
    </w:p>
    <w:p w:rsidR="005F3B53" w:rsidRDefault="005F3B53" w:rsidP="00222ABB">
      <w:pPr>
        <w:spacing w:after="200" w:line="276" w:lineRule="auto"/>
        <w:rPr>
          <w:rFonts w:ascii="Arial" w:hAnsi="Arial" w:cs="Arial"/>
        </w:rPr>
      </w:pPr>
    </w:p>
    <w:p w:rsidR="005F3B53" w:rsidRDefault="005F3B53" w:rsidP="00222ABB">
      <w:pPr>
        <w:spacing w:after="200" w:line="276" w:lineRule="auto"/>
        <w:rPr>
          <w:rFonts w:ascii="Arial" w:hAnsi="Arial" w:cs="Arial"/>
        </w:rPr>
      </w:pPr>
    </w:p>
    <w:p w:rsidR="005F3B53" w:rsidRPr="00A31A2B" w:rsidRDefault="005F3B53" w:rsidP="00222ABB">
      <w:pPr>
        <w:spacing w:after="200" w:line="276" w:lineRule="auto"/>
        <w:rPr>
          <w:rFonts w:ascii="Arial" w:hAnsi="Arial" w:cs="Arial"/>
        </w:rPr>
      </w:pPr>
    </w:p>
    <w:p w:rsidR="00222ABB" w:rsidRPr="00A31A2B" w:rsidRDefault="00222ABB" w:rsidP="00222ABB">
      <w:pPr>
        <w:rPr>
          <w:rFonts w:ascii="Arial" w:hAnsi="Arial" w:cs="Arial"/>
        </w:rPr>
      </w:pPr>
    </w:p>
    <w:p w:rsidR="00222ABB" w:rsidRPr="00A31A2B" w:rsidRDefault="00222ABB" w:rsidP="00222ABB">
      <w:pPr>
        <w:jc w:val="right"/>
        <w:rPr>
          <w:rFonts w:ascii="Arial" w:hAnsi="Arial" w:cs="Arial"/>
        </w:rPr>
      </w:pPr>
      <w:r w:rsidRPr="00A31A2B">
        <w:rPr>
          <w:rFonts w:ascii="Arial" w:hAnsi="Arial" w:cs="Arial"/>
        </w:rPr>
        <w:t>Stephen West</w:t>
      </w:r>
    </w:p>
    <w:p w:rsidR="00222ABB" w:rsidRPr="00C445F5" w:rsidRDefault="00222ABB" w:rsidP="00222ABB">
      <w:pPr>
        <w:jc w:val="right"/>
        <w:rPr>
          <w:rFonts w:ascii="Arial" w:hAnsi="Arial" w:cs="Arial"/>
        </w:rPr>
      </w:pPr>
      <w:r w:rsidRPr="00A31A2B">
        <w:rPr>
          <w:rFonts w:ascii="Arial" w:hAnsi="Arial" w:cs="Arial"/>
        </w:rPr>
        <w:t xml:space="preserve">Strategic Lead - </w:t>
      </w:r>
      <w:r w:rsidRPr="00C445F5">
        <w:rPr>
          <w:rFonts w:ascii="Arial" w:hAnsi="Arial" w:cs="Arial"/>
        </w:rPr>
        <w:t>Resources</w:t>
      </w:r>
    </w:p>
    <w:p w:rsidR="00222ABB" w:rsidRPr="00A31A2B" w:rsidRDefault="00222ABB" w:rsidP="00334A9D">
      <w:pPr>
        <w:tabs>
          <w:tab w:val="right" w:pos="5130"/>
        </w:tabs>
        <w:ind w:right="26"/>
        <w:jc w:val="right"/>
        <w:rPr>
          <w:rFonts w:ascii="Arial" w:hAnsi="Arial" w:cs="Arial"/>
        </w:rPr>
      </w:pPr>
      <w:r w:rsidRPr="00C445F5">
        <w:rPr>
          <w:rFonts w:ascii="Arial" w:hAnsi="Arial" w:cs="Arial"/>
        </w:rPr>
        <w:t xml:space="preserve">Date: </w:t>
      </w:r>
      <w:r w:rsidR="00845143">
        <w:rPr>
          <w:rFonts w:ascii="Arial" w:eastAsiaTheme="minorHAnsi" w:hAnsi="Arial" w:cs="Arial"/>
          <w:color w:val="000000"/>
        </w:rPr>
        <w:t>25 November</w:t>
      </w:r>
      <w:r w:rsidR="0044151F" w:rsidRPr="00C445F5">
        <w:rPr>
          <w:rFonts w:ascii="Arial" w:eastAsiaTheme="minorHAnsi" w:hAnsi="Arial" w:cs="Arial"/>
          <w:color w:val="000000"/>
        </w:rPr>
        <w:t xml:space="preserve"> </w:t>
      </w:r>
      <w:r w:rsidR="00334A9D" w:rsidRPr="00C445F5">
        <w:rPr>
          <w:rFonts w:ascii="Arial" w:eastAsiaTheme="minorHAnsi" w:hAnsi="Arial" w:cs="Arial"/>
          <w:color w:val="000000"/>
        </w:rPr>
        <w:t>2020</w:t>
      </w:r>
    </w:p>
    <w:p w:rsidR="003E62E5" w:rsidRPr="00375FD4" w:rsidRDefault="003E62E5">
      <w:pPr>
        <w:spacing w:before="0" w:after="200" w:line="276" w:lineRule="auto"/>
        <w:rPr>
          <w:rFonts w:ascii="Arial" w:hAnsi="Arial" w:cs="Arial"/>
        </w:rPr>
      </w:pPr>
      <w:r w:rsidRPr="00375FD4">
        <w:rPr>
          <w:rFonts w:ascii="Arial" w:hAnsi="Arial" w:cs="Arial"/>
        </w:rPr>
        <w:br w:type="page"/>
      </w:r>
    </w:p>
    <w:p w:rsidR="003802D8" w:rsidRPr="003802D8" w:rsidRDefault="003802D8" w:rsidP="003802D8">
      <w:pPr>
        <w:keepNext/>
        <w:keepLines/>
        <w:spacing w:before="0" w:after="0"/>
        <w:outlineLvl w:val="0"/>
        <w:rPr>
          <w:rFonts w:ascii="Arial" w:eastAsiaTheme="majorEastAsia" w:hAnsi="Arial" w:cs="Arial"/>
          <w:b/>
          <w:bCs/>
          <w:sz w:val="24"/>
          <w:szCs w:val="24"/>
        </w:rPr>
      </w:pPr>
      <w:r w:rsidRPr="003802D8">
        <w:rPr>
          <w:rFonts w:ascii="Arial" w:eastAsiaTheme="majorEastAsia" w:hAnsi="Arial" w:cs="Arial"/>
          <w:b/>
          <w:bCs/>
          <w:sz w:val="24"/>
          <w:szCs w:val="24"/>
        </w:rPr>
        <w:lastRenderedPageBreak/>
        <w:t>Annual Governance Statement</w:t>
      </w:r>
    </w:p>
    <w:p w:rsidR="003802D8" w:rsidRPr="003802D8" w:rsidRDefault="003802D8" w:rsidP="003802D8">
      <w:pPr>
        <w:spacing w:before="0" w:after="0"/>
        <w:rPr>
          <w:rFonts w:ascii="Arial" w:hAnsi="Arial" w:cs="Arial"/>
          <w:b/>
        </w:rPr>
      </w:pPr>
    </w:p>
    <w:p w:rsidR="003802D8" w:rsidRPr="003802D8" w:rsidRDefault="003802D8" w:rsidP="003802D8">
      <w:pPr>
        <w:rPr>
          <w:rFonts w:ascii="Arial" w:hAnsi="Arial" w:cs="Arial"/>
        </w:rPr>
      </w:pPr>
      <w:r w:rsidRPr="003802D8">
        <w:rPr>
          <w:rFonts w:ascii="Arial" w:hAnsi="Arial" w:cs="Arial"/>
        </w:rPr>
        <w:t>The Annual Governance Statement explains the Council’s governance arrangements as it meets the requirements of the “Code of Practice for Local Authority Accounting in the UK” (the Code) and reports on the effectiveness of its system of internal control, including the reliance placed on the governance frameworks of our partners. It is included within the Council’s Financial Statements to assure stakeholders on how the council directs and controls its functions and how it relates to communities in order to enhance transparency and scrutiny of the Council’s activities.</w:t>
      </w:r>
    </w:p>
    <w:p w:rsidR="003802D8" w:rsidRPr="003802D8" w:rsidRDefault="003802D8" w:rsidP="003802D8">
      <w:pPr>
        <w:rPr>
          <w:rFonts w:ascii="Arial" w:hAnsi="Arial" w:cs="Arial"/>
        </w:rPr>
      </w:pPr>
    </w:p>
    <w:p w:rsidR="003802D8" w:rsidRPr="003802D8" w:rsidRDefault="003802D8" w:rsidP="003802D8">
      <w:pPr>
        <w:rPr>
          <w:rFonts w:ascii="Arial" w:hAnsi="Arial" w:cs="Arial"/>
          <w:b/>
        </w:rPr>
      </w:pPr>
      <w:r w:rsidRPr="003802D8">
        <w:rPr>
          <w:rFonts w:ascii="Arial" w:hAnsi="Arial" w:cs="Arial"/>
          <w:b/>
        </w:rPr>
        <w:t>Scope of Responsibility</w:t>
      </w:r>
    </w:p>
    <w:p w:rsidR="003802D8" w:rsidRPr="003802D8" w:rsidRDefault="003802D8" w:rsidP="003802D8">
      <w:pPr>
        <w:rPr>
          <w:rFonts w:ascii="Arial" w:hAnsi="Arial" w:cs="Arial"/>
        </w:rPr>
      </w:pPr>
      <w:r w:rsidRPr="003802D8">
        <w:rPr>
          <w:rFonts w:ascii="Arial" w:hAnsi="Arial" w:cs="Arial"/>
        </w:rPr>
        <w:t>West Dunbartonshire Council is responsible for ensuring that its business is conducted in accordance with the law and proper standards, and that public money is safeguarded and properly accounted for, and used economically, efficiently and effectively. It also has a statutory duty to make arrangements to secure best value under the Local Government in Scotland Act 2003.</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In discharging this overall responsibility, the council's Members and Corporate Management Team (CMT) are responsible for putting in place proper arrangements for the governance of its affairs and facilitating the effective exercise of its functions, which includes arrangements for the management of risk. The council has established an arms-length external organisation: West Dunbartonshire Leisure Trust – to deliver leisure services more effectively on the council’s behalf, which reports regularly to Elected Members. From 1 July 2015 the West Dunbartonshire Health and Social Care Partnership was established to continue the development of the integration of social care and health services between the council and NHS Greater Glasgow and Clyde.</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The Council has approved and adopted a Local Code of Corporate Governance (“the Local Code”), which is consistent with the principles of the Chartered Institute of Public Finance and Accountancy (CIPFA) and the Society of Local Authority Chief Executives (SOLACE) Framework: “</w:t>
      </w:r>
      <w:r w:rsidRPr="003802D8">
        <w:rPr>
          <w:rFonts w:ascii="Arial" w:hAnsi="Arial" w:cs="Arial"/>
          <w:i/>
        </w:rPr>
        <w:t>Delivering Good Governance in Local Government”</w:t>
      </w:r>
      <w:r w:rsidRPr="003802D8">
        <w:rPr>
          <w:rFonts w:ascii="Arial" w:hAnsi="Arial" w:cs="Arial"/>
        </w:rPr>
        <w:t>. The Local Code evidences the council's commitment to achieving good governance and demonstrates how it complies with the governance standards recommended by CIPFA. A copy of this Code is available from the council website at:</w:t>
      </w:r>
    </w:p>
    <w:p w:rsidR="003802D8" w:rsidRPr="003802D8" w:rsidRDefault="003802D8" w:rsidP="003802D8"/>
    <w:p w:rsidR="003802D8" w:rsidRPr="003802D8" w:rsidRDefault="00F227F2" w:rsidP="003802D8">
      <w:pPr>
        <w:rPr>
          <w:rFonts w:ascii="Arial" w:hAnsi="Arial" w:cs="Arial"/>
        </w:rPr>
      </w:pPr>
      <w:hyperlink r:id="rId36" w:history="1">
        <w:r w:rsidR="003802D8" w:rsidRPr="003802D8">
          <w:rPr>
            <w:rFonts w:ascii="Arial" w:hAnsi="Arial" w:cs="Arial"/>
            <w:u w:val="single"/>
          </w:rPr>
          <w:t>http://www.west-dunbarton.gov.uk/media/4312582/wdc-local-code.pdf</w:t>
        </w:r>
      </w:hyperlink>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 xml:space="preserve">This statement explains how the council expects to comply with the Local Code and also meets the Code of Practice on Local Authority Accounting in the UK, which details the requirements for the Annual Governance Statement. </w:t>
      </w:r>
    </w:p>
    <w:p w:rsidR="003802D8" w:rsidRPr="003802D8" w:rsidRDefault="003802D8" w:rsidP="003802D8">
      <w:pPr>
        <w:rPr>
          <w:rFonts w:ascii="Arial" w:hAnsi="Arial" w:cs="Arial"/>
        </w:rPr>
      </w:pPr>
    </w:p>
    <w:p w:rsidR="003802D8" w:rsidRPr="003802D8" w:rsidRDefault="003802D8" w:rsidP="003802D8">
      <w:pPr>
        <w:rPr>
          <w:rFonts w:ascii="Arial" w:hAnsi="Arial" w:cs="Arial"/>
          <w:b/>
        </w:rPr>
      </w:pPr>
      <w:r w:rsidRPr="003802D8">
        <w:rPr>
          <w:rFonts w:ascii="Arial" w:hAnsi="Arial" w:cs="Arial"/>
          <w:b/>
        </w:rPr>
        <w:t>The Purpose of the Governance Framework</w:t>
      </w:r>
    </w:p>
    <w:p w:rsidR="003802D8" w:rsidRPr="003802D8" w:rsidRDefault="003802D8" w:rsidP="003802D8">
      <w:pPr>
        <w:rPr>
          <w:rFonts w:ascii="Arial" w:hAnsi="Arial" w:cs="Arial"/>
        </w:rPr>
      </w:pPr>
      <w:r w:rsidRPr="003802D8">
        <w:rPr>
          <w:rFonts w:ascii="Arial" w:hAnsi="Arial" w:cs="Arial"/>
        </w:rPr>
        <w:t>The governance framework comprises: the systems and processes; and culture and values - by which the council is directed and controlled and through which it accounts to and engages with communities. It enables the council to monitor the achievement of the strategic objectives set out in the Strategic Plan. It enables the council to consider whether those objectives have led to the delivery of appropriate and value for money services.</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 xml:space="preserve">The council has put in place a system of internal financial control designed to manage risk to a reasonable level. Internal controls cannot eliminate risk of failure to achieve policies, aims and objectives and can therefore only provide reasonable and not absolute assurance of effectiveness. The system of internal financial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 </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The governance framework has been in place at the Council for the year ended 31 March 2020 and up to the date of the approval of the Statement of Accounts.</w:t>
      </w:r>
    </w:p>
    <w:p w:rsidR="003802D8" w:rsidRPr="003802D8" w:rsidRDefault="003802D8" w:rsidP="003802D8">
      <w:pPr>
        <w:rPr>
          <w:rFonts w:ascii="Arial" w:hAnsi="Arial" w:cs="Arial"/>
          <w:b/>
        </w:rPr>
      </w:pPr>
    </w:p>
    <w:p w:rsidR="003802D8" w:rsidRPr="003802D8" w:rsidRDefault="003802D8" w:rsidP="003802D8">
      <w:pPr>
        <w:rPr>
          <w:rFonts w:ascii="Arial" w:hAnsi="Arial" w:cs="Arial"/>
          <w:b/>
        </w:rPr>
      </w:pPr>
      <w:r w:rsidRPr="003802D8">
        <w:rPr>
          <w:rFonts w:ascii="Arial" w:hAnsi="Arial" w:cs="Arial"/>
          <w:b/>
        </w:rPr>
        <w:t>The Governance Framework</w:t>
      </w:r>
    </w:p>
    <w:p w:rsidR="003802D8" w:rsidRPr="003802D8" w:rsidRDefault="003802D8" w:rsidP="003802D8">
      <w:pPr>
        <w:spacing w:before="0" w:after="0"/>
        <w:rPr>
          <w:rFonts w:ascii="Arial" w:hAnsi="Arial" w:cs="Arial"/>
          <w:b/>
          <w:sz w:val="24"/>
          <w:szCs w:val="24"/>
        </w:rPr>
      </w:pPr>
      <w:r w:rsidRPr="003802D8">
        <w:rPr>
          <w:rFonts w:ascii="Arial" w:hAnsi="Arial" w:cs="Arial"/>
        </w:rPr>
        <w:t>The main features of our governance arrangements are described in the Local Code but are summarised below:</w:t>
      </w:r>
      <w:r w:rsidRPr="003802D8">
        <w:rPr>
          <w:rFonts w:ascii="Arial" w:hAnsi="Arial" w:cs="Arial"/>
          <w:b/>
          <w:sz w:val="24"/>
          <w:szCs w:val="24"/>
        </w:rPr>
        <w:t xml:space="preserve"> </w:t>
      </w:r>
    </w:p>
    <w:p w:rsidR="003802D8" w:rsidRPr="003802D8" w:rsidRDefault="003802D8" w:rsidP="003802D8">
      <w:pPr>
        <w:spacing w:before="0" w:after="0"/>
        <w:rPr>
          <w:rFonts w:ascii="Arial" w:hAnsi="Arial" w:cs="Arial"/>
          <w:b/>
          <w:sz w:val="24"/>
          <w:szCs w:val="24"/>
        </w:rPr>
      </w:pPr>
    </w:p>
    <w:p w:rsidR="003802D8" w:rsidRPr="003802D8" w:rsidRDefault="003802D8" w:rsidP="003802D8">
      <w:pPr>
        <w:spacing w:before="0" w:after="0"/>
        <w:rPr>
          <w:rFonts w:ascii="Arial" w:hAnsi="Arial" w:cs="Arial"/>
          <w:b/>
          <w:sz w:val="24"/>
          <w:szCs w:val="24"/>
        </w:rPr>
      </w:pPr>
    </w:p>
    <w:p w:rsidR="003802D8" w:rsidRPr="003802D8" w:rsidRDefault="003802D8" w:rsidP="003802D8">
      <w:pPr>
        <w:spacing w:before="0" w:after="0"/>
        <w:rPr>
          <w:rFonts w:ascii="Arial" w:hAnsi="Arial" w:cs="Arial"/>
          <w:b/>
          <w:sz w:val="24"/>
          <w:szCs w:val="24"/>
        </w:rPr>
      </w:pPr>
      <w:r w:rsidRPr="003802D8">
        <w:rPr>
          <w:rFonts w:ascii="Arial" w:hAnsi="Arial" w:cs="Arial"/>
          <w:b/>
          <w:sz w:val="24"/>
          <w:szCs w:val="24"/>
        </w:rPr>
        <w:lastRenderedPageBreak/>
        <w:t>Annual Governance Statement (Cont’d)</w:t>
      </w:r>
    </w:p>
    <w:p w:rsidR="003802D8" w:rsidRPr="003802D8" w:rsidRDefault="003802D8" w:rsidP="003802D8">
      <w:pPr>
        <w:rPr>
          <w:rFonts w:ascii="Arial" w:hAnsi="Arial" w:cs="Arial"/>
        </w:rPr>
      </w:pPr>
    </w:p>
    <w:p w:rsidR="003802D8" w:rsidRPr="003802D8" w:rsidRDefault="003802D8" w:rsidP="003802D8">
      <w:pPr>
        <w:rPr>
          <w:rFonts w:ascii="Arial" w:hAnsi="Arial" w:cs="Arial"/>
          <w:b/>
        </w:rPr>
      </w:pPr>
      <w:r w:rsidRPr="003802D8">
        <w:rPr>
          <w:rFonts w:ascii="Arial" w:hAnsi="Arial" w:cs="Arial"/>
          <w:b/>
        </w:rPr>
        <w:t>The Governance Framework (cont’d)</w:t>
      </w:r>
    </w:p>
    <w:p w:rsidR="003802D8" w:rsidRPr="003802D8" w:rsidRDefault="003802D8" w:rsidP="003802D8">
      <w:pPr>
        <w:rPr>
          <w:rFonts w:ascii="Arial" w:hAnsi="Arial" w:cs="Arial"/>
        </w:rPr>
      </w:pPr>
    </w:p>
    <w:p w:rsidR="003802D8" w:rsidRPr="003802D8" w:rsidRDefault="003802D8" w:rsidP="003802D8">
      <w:pPr>
        <w:numPr>
          <w:ilvl w:val="0"/>
          <w:numId w:val="36"/>
        </w:numPr>
        <w:spacing w:before="0" w:after="200"/>
        <w:ind w:left="426" w:hanging="426"/>
        <w:contextualSpacing/>
        <w:rPr>
          <w:rFonts w:ascii="Arial" w:hAnsi="Arial" w:cs="Arial"/>
        </w:rPr>
      </w:pPr>
      <w:r w:rsidRPr="003802D8">
        <w:rPr>
          <w:rFonts w:ascii="Arial" w:hAnsi="Arial" w:cs="Arial"/>
        </w:rPr>
        <w:t>the overarching strategic vision and objectives of the council are detailed in the Strategic Plan 2017/22, which sets out the key priorities of the council and key outcomes the council is committed to delivering with its partners, as set out in the Local Outcome Improvement Plan;</w:t>
      </w:r>
    </w:p>
    <w:p w:rsidR="003802D8" w:rsidRPr="003802D8" w:rsidRDefault="003802D8" w:rsidP="003802D8">
      <w:pPr>
        <w:numPr>
          <w:ilvl w:val="0"/>
          <w:numId w:val="36"/>
        </w:numPr>
        <w:spacing w:before="0" w:after="200"/>
        <w:ind w:left="426" w:hanging="426"/>
        <w:contextualSpacing/>
        <w:rPr>
          <w:rFonts w:ascii="Arial" w:hAnsi="Arial" w:cs="Arial"/>
        </w:rPr>
      </w:pPr>
      <w:r w:rsidRPr="003802D8">
        <w:rPr>
          <w:rFonts w:ascii="Arial" w:hAnsi="Arial" w:cs="Arial"/>
        </w:rPr>
        <w:t>Services are able to demonstrate how their own activities link to the council's vision and priorities through their Delivery Plans. Performance management and monitoring of service delivery is reported through service committees regularly. The CMT monitors performance information regularly. The council regularly publishes information about its performance;</w:t>
      </w:r>
    </w:p>
    <w:p w:rsidR="003802D8" w:rsidRPr="003802D8" w:rsidRDefault="003802D8" w:rsidP="003802D8">
      <w:pPr>
        <w:numPr>
          <w:ilvl w:val="0"/>
          <w:numId w:val="36"/>
        </w:numPr>
        <w:spacing w:before="0" w:after="200"/>
        <w:ind w:left="426"/>
        <w:contextualSpacing/>
        <w:rPr>
          <w:rFonts w:ascii="Arial" w:hAnsi="Arial" w:cs="Arial"/>
        </w:rPr>
      </w:pPr>
      <w:r w:rsidRPr="003802D8">
        <w:rPr>
          <w:rFonts w:ascii="Arial" w:hAnsi="Arial" w:cs="Arial"/>
        </w:rPr>
        <w:t>The West Dunbartonshire Community Alliance, which supports Community Planning West Dunbartonshire, represents the views of community organisations, communities of interest and geographical communities.  In addition the council has an Engaging Communities Framework in place which sets out our approach to engaging with citizens, community organisations and stakeholders. Consultation on the future vision and activities of the partnership is undertaken in a range of ways, including seeking the views of  the Alliance and through specific service consultations and the council actively engages with its partners through community planning arrangements;</w:t>
      </w:r>
    </w:p>
    <w:p w:rsidR="003802D8" w:rsidRPr="003802D8" w:rsidRDefault="003802D8" w:rsidP="003802D8">
      <w:pPr>
        <w:numPr>
          <w:ilvl w:val="0"/>
          <w:numId w:val="36"/>
        </w:numPr>
        <w:spacing w:before="0" w:after="200"/>
        <w:ind w:left="426" w:hanging="426"/>
        <w:contextualSpacing/>
        <w:rPr>
          <w:rFonts w:ascii="Arial" w:hAnsi="Arial" w:cs="Arial"/>
        </w:rPr>
      </w:pPr>
      <w:r w:rsidRPr="003802D8">
        <w:rPr>
          <w:rFonts w:ascii="Arial" w:hAnsi="Arial" w:cs="Arial"/>
        </w:rPr>
        <w:t xml:space="preserve">The council has adopted a Code of Conduct and associated employment policies for its employees. Elected members adhere to the nationally prescribed Code of Conduct for Members in a localised format. In addition, the council has in place a protocol on member/ officer relations and an inter-party protocol; </w:t>
      </w:r>
    </w:p>
    <w:p w:rsidR="003802D8" w:rsidRPr="003802D8" w:rsidRDefault="003802D8" w:rsidP="003802D8">
      <w:pPr>
        <w:numPr>
          <w:ilvl w:val="0"/>
          <w:numId w:val="36"/>
        </w:numPr>
        <w:spacing w:before="0" w:after="200"/>
        <w:ind w:left="426" w:hanging="426"/>
        <w:contextualSpacing/>
        <w:rPr>
          <w:rFonts w:ascii="Arial" w:hAnsi="Arial" w:cs="Arial"/>
        </w:rPr>
      </w:pPr>
      <w:r w:rsidRPr="003802D8">
        <w:rPr>
          <w:rFonts w:ascii="Arial" w:hAnsi="Arial" w:cs="Arial"/>
        </w:rPr>
        <w:t>The council operates within an established procedural framework which incorporates a scheme of delegation, standing orders and financial regulations. These describe the roles and responsibilities of Elected Members and officers and are subject to regular review. The council facilitates policy and decision making through the agreed committee structure;</w:t>
      </w:r>
    </w:p>
    <w:p w:rsidR="003802D8" w:rsidRPr="003802D8" w:rsidRDefault="003802D8" w:rsidP="003802D8">
      <w:pPr>
        <w:numPr>
          <w:ilvl w:val="0"/>
          <w:numId w:val="36"/>
        </w:numPr>
        <w:spacing w:before="0" w:after="200"/>
        <w:ind w:left="426" w:hanging="426"/>
        <w:contextualSpacing/>
        <w:rPr>
          <w:rFonts w:ascii="Arial" w:hAnsi="Arial" w:cs="Arial"/>
        </w:rPr>
      </w:pPr>
      <w:r w:rsidRPr="003802D8">
        <w:rPr>
          <w:rFonts w:ascii="Arial" w:hAnsi="Arial" w:cs="Arial"/>
        </w:rPr>
        <w:t>Responsibility for maintaining and operating an effective system of internal financial control rests with the council’s Chief Financial Officer as Section 95 Officer. The system of internal financial control is based on a framework of regular management information, the Financial Regulations, administrative procedures (including separation of duties), management and supervision, and a system of delegation and accountability. Development and maintenance of the system is undertaken by managers within the council;</w:t>
      </w:r>
    </w:p>
    <w:p w:rsidR="003802D8" w:rsidRPr="003802D8" w:rsidRDefault="003802D8" w:rsidP="003802D8">
      <w:pPr>
        <w:numPr>
          <w:ilvl w:val="0"/>
          <w:numId w:val="36"/>
        </w:numPr>
        <w:spacing w:before="0" w:after="200"/>
        <w:ind w:left="425" w:hanging="425"/>
        <w:contextualSpacing/>
        <w:rPr>
          <w:rFonts w:ascii="Arial" w:hAnsi="Arial" w:cs="Arial"/>
        </w:rPr>
      </w:pPr>
      <w:r w:rsidRPr="003802D8">
        <w:rPr>
          <w:rFonts w:ascii="Arial" w:hAnsi="Arial" w:cs="Arial"/>
        </w:rPr>
        <w:t>The council’s approach to risk management is set out in the risk management framework. A strategic risk register is in place and an update report on this is regularly submitted to the Corporate Services Committee. The approach is embedded within the council’s strategic planning and performance management framework with regular reporting of risk management reported to service committees; and</w:t>
      </w:r>
    </w:p>
    <w:p w:rsidR="003802D8" w:rsidRPr="003802D8" w:rsidRDefault="003802D8" w:rsidP="003802D8">
      <w:pPr>
        <w:numPr>
          <w:ilvl w:val="0"/>
          <w:numId w:val="36"/>
        </w:numPr>
        <w:spacing w:before="0" w:after="200"/>
        <w:ind w:left="425" w:hanging="425"/>
        <w:contextualSpacing/>
        <w:rPr>
          <w:rFonts w:ascii="Arial" w:hAnsi="Arial" w:cs="Arial"/>
        </w:rPr>
      </w:pPr>
      <w:r w:rsidRPr="003802D8">
        <w:rPr>
          <w:rFonts w:ascii="Arial" w:hAnsi="Arial" w:cs="Arial"/>
        </w:rPr>
        <w:t>Comprehensive arrangements are in place to ensure members and officers are supported by appropriate training and development.</w:t>
      </w:r>
    </w:p>
    <w:p w:rsidR="003802D8" w:rsidRPr="003802D8" w:rsidRDefault="003802D8" w:rsidP="003802D8">
      <w:pPr>
        <w:spacing w:before="0"/>
        <w:contextualSpacing/>
        <w:rPr>
          <w:rFonts w:ascii="Arial" w:hAnsi="Arial" w:cs="Arial"/>
        </w:rPr>
      </w:pPr>
    </w:p>
    <w:p w:rsidR="003802D8" w:rsidRPr="003802D8" w:rsidRDefault="003802D8" w:rsidP="003802D8">
      <w:pPr>
        <w:rPr>
          <w:rFonts w:ascii="Arial" w:hAnsi="Arial" w:cs="Arial"/>
          <w:b/>
        </w:rPr>
      </w:pPr>
      <w:r w:rsidRPr="003802D8">
        <w:rPr>
          <w:rFonts w:ascii="Arial" w:hAnsi="Arial" w:cs="Arial"/>
          <w:b/>
        </w:rPr>
        <w:t>Review of Effectiveness</w:t>
      </w:r>
    </w:p>
    <w:p w:rsidR="003802D8" w:rsidRPr="003802D8" w:rsidRDefault="003802D8" w:rsidP="003802D8">
      <w:pPr>
        <w:rPr>
          <w:rFonts w:ascii="Arial" w:hAnsi="Arial" w:cs="Arial"/>
        </w:rPr>
      </w:pPr>
      <w:r w:rsidRPr="003802D8">
        <w:rPr>
          <w:rFonts w:ascii="Arial" w:hAnsi="Arial" w:cs="Arial"/>
        </w:rPr>
        <w:t>The council has a responsibility, at least annually, to review the effectiveness of its governance framework including the system of internal financial control. The review of effectiveness of the framework is informed by the work of the Corporate Management Team which has responsibility for the development, implementation and maintenance of the governance environment, the Chief Internal Auditor’s annual report; and reports from the external auditors and other review agencies and inspectorates.</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 xml:space="preserve">The council’s current Code of Good Governance was approved at the Audit &amp; Performance Review Committee on 8 March 2017. An assessment of the council’s compliance with the Code of Good Governance is supported by a process of self-assessment and assurance certification by Strategic Leads and the outcome of this assessment was reported to the Audit Committee on 17 June 2020. </w:t>
      </w:r>
    </w:p>
    <w:p w:rsidR="003802D8" w:rsidRPr="003802D8" w:rsidRDefault="003802D8" w:rsidP="003802D8">
      <w:pPr>
        <w:rPr>
          <w:rFonts w:ascii="Arial" w:hAnsi="Arial" w:cs="Arial"/>
        </w:rPr>
      </w:pPr>
    </w:p>
    <w:p w:rsidR="003802D8" w:rsidRPr="003802D8" w:rsidRDefault="003802D8" w:rsidP="003802D8">
      <w:pPr>
        <w:spacing w:before="0" w:after="0"/>
        <w:rPr>
          <w:rFonts w:ascii="Arial" w:hAnsi="Arial" w:cs="Arial"/>
          <w:b/>
          <w:sz w:val="24"/>
          <w:szCs w:val="24"/>
        </w:rPr>
      </w:pPr>
      <w:r w:rsidRPr="003802D8">
        <w:rPr>
          <w:rFonts w:ascii="Arial" w:hAnsi="Arial" w:cs="Arial"/>
        </w:rPr>
        <w:t>Each member of the council’s Corporate Management Team was presented with a self-assessment checklist to complete and return as evidence of review of seven key areas of the council’s governance framework.  The Strategic Directors then considered the completed evaluations and provided a certificate of assurance for their directorate areas.</w:t>
      </w:r>
      <w:r w:rsidRPr="003802D8">
        <w:rPr>
          <w:rFonts w:ascii="Arial" w:hAnsi="Arial" w:cs="Arial"/>
          <w:b/>
          <w:sz w:val="24"/>
          <w:szCs w:val="24"/>
        </w:rPr>
        <w:t xml:space="preserve"> </w:t>
      </w:r>
    </w:p>
    <w:p w:rsidR="00C5259D" w:rsidRDefault="00C5259D" w:rsidP="003802D8">
      <w:pPr>
        <w:spacing w:before="0" w:after="0"/>
        <w:rPr>
          <w:rFonts w:ascii="Arial" w:hAnsi="Arial" w:cs="Arial"/>
          <w:b/>
          <w:sz w:val="24"/>
          <w:szCs w:val="24"/>
        </w:rPr>
      </w:pPr>
    </w:p>
    <w:p w:rsidR="003802D8" w:rsidRPr="003802D8" w:rsidRDefault="003802D8" w:rsidP="003802D8">
      <w:pPr>
        <w:spacing w:before="0" w:after="0"/>
        <w:rPr>
          <w:rFonts w:ascii="Arial" w:hAnsi="Arial" w:cs="Arial"/>
          <w:b/>
          <w:sz w:val="24"/>
          <w:szCs w:val="24"/>
        </w:rPr>
      </w:pPr>
      <w:r w:rsidRPr="003802D8">
        <w:rPr>
          <w:rFonts w:ascii="Arial" w:hAnsi="Arial" w:cs="Arial"/>
          <w:b/>
          <w:sz w:val="24"/>
          <w:szCs w:val="24"/>
        </w:rPr>
        <w:lastRenderedPageBreak/>
        <w:t>Annual Governance Statement (Cont’d)</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b/>
        </w:rPr>
        <w:t>Review of Effectiveness (cont’d)</w:t>
      </w:r>
    </w:p>
    <w:p w:rsidR="003802D8" w:rsidRPr="003802D8" w:rsidRDefault="003802D8" w:rsidP="003802D8">
      <w:pPr>
        <w:rPr>
          <w:rFonts w:ascii="Arial" w:hAnsi="Arial" w:cs="Arial"/>
        </w:rPr>
      </w:pPr>
      <w:r w:rsidRPr="003802D8">
        <w:rPr>
          <w:rFonts w:ascii="Arial" w:hAnsi="Arial" w:cs="Arial"/>
        </w:rPr>
        <w:t>The Audit Committee performs a scrutiny role in relation to the application of the Code of Good Governance and regularly monitors the performance of the council's Internal Audit service.</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In relation to the effectiveness of governance arrangements and systems of internal control for the council’s group entities, the council places reliance upon the individual bodies’ management assurances in relation to the soundness of their systems of internal control.</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The Internal Audit service operates in accordance with the Public Sector Internal Audit Standards (PSIAS) 2017, and reports to the Audit Committee.  An annual programme of work is determined and undertaken by Internal Audit, approved by the Audit Committee, based upon an established risk based methodology. The Shared S</w:t>
      </w:r>
      <w:r w:rsidR="00AB7DE4">
        <w:rPr>
          <w:rFonts w:ascii="Arial" w:hAnsi="Arial" w:cs="Arial"/>
        </w:rPr>
        <w:t xml:space="preserve">ervice Manager – Audit &amp; Fraud </w:t>
      </w:r>
      <w:r w:rsidRPr="003802D8">
        <w:rPr>
          <w:rFonts w:ascii="Arial" w:hAnsi="Arial" w:cs="Arial"/>
        </w:rPr>
        <w:t>provides an independent opinion on the adequacy and effectiveness of the council’s System of Internal Financial Control. The Audit Committee performs a scrutiny role in relation to the application of PSIAS and regularly monitors the performance of the Internal Audit service. The council's Shared Service Manager – Audit &amp; Fraud (the council’s Chief Internal Auditor) has responsibility for reviewing independently and reporting to the Audit Committee annually, to provide assurance on the adequacy and effectiveness of the code and the extent of compliance with it.</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It is our view that the council has in place a sound system of internal financial control and that appropriate mechanisms are in place to identify areas of weakness. This is corroborated by an annual assurance statement prepared by the Shared Service Manager – Audit &amp; Fraud stating that reasonable assurance can be placed upon the adequacy and effectiveness of the council's internal control systems.</w:t>
      </w:r>
    </w:p>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 xml:space="preserve">The system of governance (including the system of internal control) can provide only reasonable and not absolute assurance that the assets are safeguarded, the transactions are authorised and properly recorded, that material errors or irregularities are either prevented or would be detected within a timely period and that significant risks impacting on the achievement of the council's objectives have been mitigated. </w:t>
      </w:r>
    </w:p>
    <w:p w:rsidR="003802D8" w:rsidRPr="003802D8" w:rsidRDefault="003802D8" w:rsidP="003802D8">
      <w:pPr>
        <w:rPr>
          <w:rFonts w:ascii="Arial" w:hAnsi="Arial" w:cs="Arial"/>
        </w:rPr>
      </w:pPr>
    </w:p>
    <w:p w:rsidR="003802D8" w:rsidRPr="003802D8" w:rsidRDefault="003802D8" w:rsidP="003802D8">
      <w:pPr>
        <w:rPr>
          <w:rFonts w:ascii="Arial" w:hAnsi="Arial" w:cs="Arial"/>
          <w:b/>
          <w:bCs/>
        </w:rPr>
      </w:pPr>
      <w:r w:rsidRPr="003802D8">
        <w:rPr>
          <w:rFonts w:ascii="Arial" w:hAnsi="Arial" w:cs="Arial"/>
          <w:b/>
          <w:bCs/>
        </w:rPr>
        <w:t>COVID-19</w:t>
      </w:r>
    </w:p>
    <w:p w:rsidR="003802D8" w:rsidRPr="003802D8" w:rsidRDefault="003802D8" w:rsidP="003802D8">
      <w:pPr>
        <w:autoSpaceDE w:val="0"/>
        <w:autoSpaceDN w:val="0"/>
        <w:adjustRightInd w:val="0"/>
        <w:spacing w:before="0" w:after="0"/>
        <w:rPr>
          <w:rFonts w:ascii="Arial" w:hAnsi="Arial" w:cs="Arial"/>
        </w:rPr>
      </w:pPr>
      <w:r w:rsidRPr="003802D8">
        <w:rPr>
          <w:rFonts w:ascii="Arial" w:hAnsi="Arial" w:cs="Arial"/>
        </w:rPr>
        <w:t xml:space="preserve">The significant incident in late March 2020 and the council’s responses as a Category 1 responder during the COVID-19 pandemic tested how well the Council’s risk management, governance and internal controls framework is operating.  There were examples of innovations, new business processes and solutions, and new technology being embraced in order to deliver services to the community in its role as a Category 1 responder to carry out the following three essential functions: Caring for the Vulnerable; Liaising with Resilience Partners; and Supporting Economic Recovery.  This was achieved using amended governance arrangements, new ways of decision-making, leadership and implementation including virtual meetings, conference calls and systems remote access.  Meetings of the Audit Committee and Council have been held remotely since April 2020 to allow Members to undertake their scrutiny role.  </w:t>
      </w:r>
      <w:r w:rsidRPr="003802D8">
        <w:rPr>
          <w:rFonts w:ascii="Arial" w:eastAsiaTheme="minorHAnsi" w:hAnsi="Arial" w:cs="Arial"/>
        </w:rPr>
        <w:t xml:space="preserve">There were regular Elected Member briefings and cross party meetings in order to further share updates on the developments as a result of the COVID-19 pandemic.  It was agreed at the Cross Party Group that committee business would be kept to a minimum with only necessary and urgent papers being considered by committee.  A small number of temporary delegations were agreed to enable services within Regulatory to continue, assist with the preparation of the annual accounts and deal with taxation matters.  The Council’s existing Scheme of Governance was also used to enable decisions to be taken which would normally be taken by committee.  </w:t>
      </w:r>
      <w:r w:rsidRPr="003802D8">
        <w:rPr>
          <w:rFonts w:ascii="Arial" w:hAnsi="Arial" w:cs="Arial"/>
        </w:rPr>
        <w:t xml:space="preserve">A report was presented to Council in June 2020 which provided an update </w:t>
      </w:r>
      <w:r w:rsidRPr="003802D8">
        <w:rPr>
          <w:rFonts w:ascii="Arial" w:eastAsiaTheme="minorHAnsi" w:hAnsi="Arial" w:cs="Arial"/>
        </w:rPr>
        <w:t xml:space="preserve">in relation to actions and decisions taken under the revised governance arrangements put in place following the Government lockdown on 24 March 2020. A link to this report can be found </w:t>
      </w:r>
      <w:hyperlink r:id="rId37" w:history="1">
        <w:r w:rsidRPr="003802D8">
          <w:rPr>
            <w:rFonts w:ascii="Arial" w:eastAsiaTheme="minorHAnsi" w:hAnsi="Arial" w:cs="Arial"/>
            <w:u w:val="single"/>
          </w:rPr>
          <w:t>here</w:t>
        </w:r>
      </w:hyperlink>
      <w:r w:rsidRPr="003802D8">
        <w:rPr>
          <w:rFonts w:ascii="Arial" w:eastAsiaTheme="minorHAnsi" w:hAnsi="Arial" w:cs="Arial"/>
        </w:rPr>
        <w:t>.</w:t>
      </w:r>
    </w:p>
    <w:p w:rsidR="003802D8" w:rsidRPr="003802D8" w:rsidRDefault="003802D8" w:rsidP="003802D8">
      <w:pPr>
        <w:rPr>
          <w:rFonts w:ascii="Arial" w:hAnsi="Arial" w:cs="Arial"/>
        </w:rPr>
      </w:pPr>
    </w:p>
    <w:p w:rsidR="003802D8" w:rsidRPr="003802D8" w:rsidRDefault="003802D8" w:rsidP="003802D8">
      <w:r w:rsidRPr="003802D8">
        <w:rPr>
          <w:rFonts w:ascii="Arial" w:hAnsi="Arial" w:cs="Arial"/>
        </w:rPr>
        <w:t>All members of the council’s Senior Leadership Team and key stakeholders are participants in a variety of Local Authority specific Covid-19/Business Continuity response groups supported by the Civil Contingencies Service.  A comprehensive Covid-19 Impact Risk Register has been developed covering all aspects of service delivery affected by the pandemic which is maintained on a weekly basis.</w:t>
      </w:r>
    </w:p>
    <w:p w:rsidR="003802D8" w:rsidRPr="003802D8" w:rsidRDefault="003802D8" w:rsidP="003802D8">
      <w:r w:rsidRPr="003802D8">
        <w:rPr>
          <w:rFonts w:ascii="Arial" w:hAnsi="Arial" w:cs="Arial"/>
        </w:rPr>
        <w:t> </w:t>
      </w:r>
    </w:p>
    <w:p w:rsidR="003802D8" w:rsidRPr="003802D8" w:rsidRDefault="003802D8" w:rsidP="003802D8">
      <w:pPr>
        <w:spacing w:before="0" w:after="0"/>
        <w:rPr>
          <w:rFonts w:ascii="Arial" w:hAnsi="Arial" w:cs="Arial"/>
          <w:b/>
          <w:sz w:val="24"/>
          <w:szCs w:val="24"/>
        </w:rPr>
      </w:pPr>
      <w:r w:rsidRPr="003802D8">
        <w:rPr>
          <w:rFonts w:ascii="Arial" w:hAnsi="Arial" w:cs="Arial"/>
          <w:b/>
          <w:sz w:val="24"/>
          <w:szCs w:val="24"/>
        </w:rPr>
        <w:lastRenderedPageBreak/>
        <w:t>Annual Governance Statement (Cont’d)</w:t>
      </w:r>
    </w:p>
    <w:p w:rsidR="003802D8" w:rsidRPr="003802D8" w:rsidRDefault="003802D8" w:rsidP="003802D8">
      <w:pPr>
        <w:spacing w:before="0" w:after="0"/>
        <w:rPr>
          <w:rFonts w:ascii="Arial" w:hAnsi="Arial" w:cs="Arial"/>
          <w:b/>
          <w:sz w:val="24"/>
          <w:szCs w:val="24"/>
        </w:rPr>
      </w:pPr>
    </w:p>
    <w:p w:rsidR="003802D8" w:rsidRPr="003802D8" w:rsidRDefault="003802D8" w:rsidP="003802D8">
      <w:pPr>
        <w:rPr>
          <w:rFonts w:ascii="Arial" w:hAnsi="Arial" w:cs="Arial"/>
        </w:rPr>
      </w:pPr>
      <w:r w:rsidRPr="003802D8">
        <w:rPr>
          <w:rFonts w:ascii="Arial" w:hAnsi="Arial" w:cs="Arial"/>
          <w:b/>
        </w:rPr>
        <w:t>COVID-19 (cont’d)</w:t>
      </w:r>
    </w:p>
    <w:p w:rsidR="003802D8" w:rsidRPr="003802D8" w:rsidRDefault="003802D8" w:rsidP="003802D8">
      <w:pPr>
        <w:autoSpaceDE w:val="0"/>
        <w:autoSpaceDN w:val="0"/>
        <w:rPr>
          <w:rFonts w:ascii="Arial" w:hAnsi="Arial" w:cs="Arial"/>
        </w:rPr>
      </w:pPr>
      <w:r w:rsidRPr="003802D8">
        <w:rPr>
          <w:rFonts w:ascii="Arial" w:hAnsi="Arial" w:cs="Arial"/>
        </w:rPr>
        <w:t xml:space="preserve">With significant disruption to how services are currently being delivered and are likely to continue in the short and medium term, the CMT are developing plans to capture the shift from business as usual activity and ensure the council can continue to meet requirements and achieve the strategic priorities set out in the Strategic Plan.  </w:t>
      </w:r>
    </w:p>
    <w:p w:rsidR="003802D8" w:rsidRPr="003802D8" w:rsidRDefault="003802D8" w:rsidP="003802D8">
      <w:pPr>
        <w:autoSpaceDE w:val="0"/>
        <w:autoSpaceDN w:val="0"/>
        <w:rPr>
          <w:rFonts w:ascii="Arial" w:hAnsi="Arial" w:cs="Arial"/>
        </w:rPr>
      </w:pPr>
    </w:p>
    <w:p w:rsidR="003802D8" w:rsidRPr="003802D8" w:rsidRDefault="003802D8" w:rsidP="003802D8">
      <w:pPr>
        <w:autoSpaceDE w:val="0"/>
        <w:autoSpaceDN w:val="0"/>
      </w:pPr>
      <w:r w:rsidRPr="003802D8">
        <w:rPr>
          <w:rFonts w:ascii="Arial" w:hAnsi="Arial" w:cs="Arial"/>
        </w:rPr>
        <w:t xml:space="preserve">This planning activity will take into consideration the reflective learning from the first phase of responding to the pandemic and engaging with key stakeholders in planning future service provision.  </w:t>
      </w:r>
    </w:p>
    <w:p w:rsidR="003802D8" w:rsidRPr="003802D8" w:rsidRDefault="003802D8" w:rsidP="003802D8">
      <w:r w:rsidRPr="003802D8">
        <w:rPr>
          <w:rFonts w:ascii="Arial" w:hAnsi="Arial" w:cs="Arial"/>
        </w:rPr>
        <w:t> </w:t>
      </w:r>
    </w:p>
    <w:p w:rsidR="003802D8" w:rsidRPr="003802D8" w:rsidRDefault="003802D8" w:rsidP="003802D8">
      <w:pPr>
        <w:autoSpaceDE w:val="0"/>
        <w:autoSpaceDN w:val="0"/>
        <w:rPr>
          <w:rFonts w:ascii="Arial" w:hAnsi="Arial" w:cs="Arial"/>
        </w:rPr>
      </w:pPr>
      <w:r w:rsidRPr="003802D8">
        <w:rPr>
          <w:rFonts w:ascii="Arial" w:hAnsi="Arial" w:cs="Arial"/>
        </w:rPr>
        <w:t xml:space="preserve">The financial impact of implementing the required changes to services and service delivery models (eg to support social distancing requirements, support staff with the appropriate PPE and manage the new and changing levels of need and demand) is significant and likely to be ongoing and evolving.  </w:t>
      </w:r>
    </w:p>
    <w:p w:rsidR="003802D8" w:rsidRPr="003802D8" w:rsidRDefault="003802D8" w:rsidP="003802D8">
      <w:pPr>
        <w:rPr>
          <w:rFonts w:ascii="Arial" w:hAnsi="Arial" w:cs="Arial"/>
        </w:rPr>
      </w:pPr>
    </w:p>
    <w:p w:rsidR="003802D8" w:rsidRPr="003802D8" w:rsidRDefault="003802D8" w:rsidP="003802D8">
      <w:pPr>
        <w:autoSpaceDE w:val="0"/>
        <w:autoSpaceDN w:val="0"/>
      </w:pPr>
      <w:r w:rsidRPr="003802D8">
        <w:rPr>
          <w:rFonts w:ascii="Arial" w:hAnsi="Arial" w:cs="Arial"/>
        </w:rPr>
        <w:t>A detailed approval log is being maintained and scrutinised by senior management, including approval requirements of any decisions with financial implications for the council.  The “new normal” will have an impact on service demand and the consequences of this will have to be clearly laid out within the current performance management and reporting framework.  It will be important for the Council, at the appropriate time, to carry out a post-incident review and highlight any lessons learned.</w:t>
      </w:r>
    </w:p>
    <w:p w:rsidR="003802D8" w:rsidRPr="003802D8" w:rsidRDefault="003802D8" w:rsidP="003802D8">
      <w:pPr>
        <w:rPr>
          <w:rFonts w:ascii="Arial" w:hAnsi="Arial" w:cs="Arial"/>
          <w:b/>
          <w:bCs/>
        </w:rPr>
      </w:pPr>
    </w:p>
    <w:p w:rsidR="003802D8" w:rsidRPr="003802D8" w:rsidRDefault="003802D8" w:rsidP="003802D8">
      <w:pPr>
        <w:rPr>
          <w:rFonts w:ascii="Arial" w:hAnsi="Arial" w:cs="Arial"/>
          <w:b/>
          <w:bCs/>
        </w:rPr>
      </w:pPr>
      <w:r w:rsidRPr="003802D8">
        <w:rPr>
          <w:rFonts w:ascii="Arial" w:hAnsi="Arial" w:cs="Arial"/>
          <w:b/>
          <w:bCs/>
        </w:rPr>
        <w:t>Governance Issues and Planned Actions</w:t>
      </w:r>
    </w:p>
    <w:p w:rsidR="003802D8" w:rsidRPr="003802D8" w:rsidRDefault="003802D8" w:rsidP="003802D8">
      <w:pPr>
        <w:rPr>
          <w:rFonts w:ascii="Arial" w:hAnsi="Arial" w:cs="Arial"/>
        </w:rPr>
      </w:pPr>
      <w:r w:rsidRPr="003802D8">
        <w:rPr>
          <w:rFonts w:ascii="Arial" w:hAnsi="Arial" w:cs="Arial"/>
        </w:rPr>
        <w:t>The following main issues and areas for improvement during 2019/20 have been identified through the self-assessment exercise against the Local Code of Governance:</w:t>
      </w:r>
    </w:p>
    <w:p w:rsidR="003802D8" w:rsidRPr="003802D8" w:rsidRDefault="003802D8" w:rsidP="003802D8">
      <w:pPr>
        <w:rPr>
          <w:rFonts w:ascii="Arial" w:hAnsi="Arial" w:cs="Arial"/>
        </w:rPr>
      </w:pPr>
    </w:p>
    <w:tbl>
      <w:tblPr>
        <w:tblStyle w:val="TableGrid2"/>
        <w:tblW w:w="9072" w:type="dxa"/>
        <w:tblInd w:w="108" w:type="dxa"/>
        <w:tblLayout w:type="fixed"/>
        <w:tblLook w:val="04A0" w:firstRow="1" w:lastRow="0" w:firstColumn="1" w:lastColumn="0" w:noHBand="0" w:noVBand="1"/>
        <w:tblCaption w:val="governance statement"/>
        <w:tblDescription w:val="update on improvement areas identified"/>
      </w:tblPr>
      <w:tblGrid>
        <w:gridCol w:w="5387"/>
        <w:gridCol w:w="3685"/>
      </w:tblGrid>
      <w:tr w:rsidR="003802D8" w:rsidRPr="003802D8" w:rsidTr="00274F66">
        <w:trPr>
          <w:tblHeader/>
        </w:trPr>
        <w:tc>
          <w:tcPr>
            <w:tcW w:w="5387" w:type="dxa"/>
          </w:tcPr>
          <w:p w:rsidR="003802D8" w:rsidRPr="003802D8" w:rsidRDefault="003802D8" w:rsidP="003802D8">
            <w:pPr>
              <w:tabs>
                <w:tab w:val="right" w:pos="2864"/>
              </w:tabs>
              <w:spacing w:before="0" w:after="0"/>
              <w:rPr>
                <w:rFonts w:ascii="Arial" w:eastAsiaTheme="minorHAnsi" w:hAnsi="Arial" w:cs="Arial"/>
                <w:b/>
              </w:rPr>
            </w:pPr>
            <w:r w:rsidRPr="003802D8">
              <w:rPr>
                <w:rFonts w:ascii="Arial" w:eastAsiaTheme="minorHAnsi" w:hAnsi="Arial" w:cs="Arial"/>
                <w:b/>
              </w:rPr>
              <w:t>Improvement Area identified by 2019/20 Exercise</w:t>
            </w:r>
          </w:p>
        </w:tc>
        <w:tc>
          <w:tcPr>
            <w:tcW w:w="3685"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Responsible Officer</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Embedding Be the Best Conversations within all service teams.</w:t>
            </w:r>
          </w:p>
          <w:p w:rsidR="003802D8" w:rsidRPr="003802D8" w:rsidRDefault="003802D8" w:rsidP="003802D8">
            <w:pPr>
              <w:spacing w:before="0" w:after="0"/>
              <w:rPr>
                <w:rFonts w:ascii="Arial" w:eastAsiaTheme="minorHAnsi" w:hAnsi="Arial" w:cs="Arial"/>
              </w:rPr>
            </w:pP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Strategic Leads</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Following COVID-19 work is required in some services to review and update business continuity planning documentation.</w:t>
            </w: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Strategic Leads</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Aspects of the Business Classification Scheme require to be implemented in some services.</w:t>
            </w: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Strategic Leads</w:t>
            </w:r>
          </w:p>
        </w:tc>
      </w:tr>
      <w:tr w:rsidR="003802D8" w:rsidRPr="003802D8" w:rsidTr="000C689B">
        <w:tc>
          <w:tcPr>
            <w:tcW w:w="5387" w:type="dxa"/>
          </w:tcPr>
          <w:p w:rsidR="003802D8" w:rsidRPr="003802D8" w:rsidRDefault="003802D8" w:rsidP="003802D8">
            <w:pPr>
              <w:shd w:val="clear" w:color="auto" w:fill="FFFFFF"/>
              <w:tabs>
                <w:tab w:val="left" w:pos="284"/>
              </w:tabs>
              <w:spacing w:before="0" w:after="0"/>
              <w:rPr>
                <w:rFonts w:ascii="Arial" w:eastAsiaTheme="minorHAnsi" w:hAnsi="Arial" w:cs="Arial"/>
                <w:lang w:eastAsia="en-GB"/>
              </w:rPr>
            </w:pPr>
            <w:r w:rsidRPr="003802D8">
              <w:rPr>
                <w:rFonts w:ascii="Arial" w:eastAsiaTheme="minorHAnsi" w:hAnsi="Arial" w:cs="Arial"/>
                <w:lang w:eastAsia="en-GB"/>
              </w:rPr>
              <w:t>Within HSCP, there are occasions when complaints timescales are being missed due to the complexity of response or NHS Policy where the Chief Officer approves all responses. HSCP-wide improvements are currently being reviewed to ensure full compliance.</w:t>
            </w: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Chief Officer - HSCP</w:t>
            </w:r>
          </w:p>
        </w:tc>
      </w:tr>
      <w:tr w:rsidR="003802D8" w:rsidRPr="003802D8" w:rsidTr="000C689B">
        <w:tc>
          <w:tcPr>
            <w:tcW w:w="5387" w:type="dxa"/>
          </w:tcPr>
          <w:p w:rsidR="003802D8" w:rsidRPr="003802D8" w:rsidRDefault="003802D8" w:rsidP="003802D8">
            <w:pPr>
              <w:shd w:val="clear" w:color="auto" w:fill="FFFFFF"/>
              <w:tabs>
                <w:tab w:val="left" w:pos="284"/>
              </w:tabs>
              <w:spacing w:before="0" w:after="0"/>
              <w:rPr>
                <w:rFonts w:ascii="Arial" w:eastAsiaTheme="minorHAnsi" w:hAnsi="Arial" w:cs="Arial"/>
                <w:lang w:eastAsia="en-GB"/>
              </w:rPr>
            </w:pPr>
            <w:r w:rsidRPr="003802D8">
              <w:rPr>
                <w:rFonts w:ascii="Arial" w:eastAsiaTheme="minorHAnsi" w:hAnsi="Arial" w:cs="Arial"/>
                <w:lang w:eastAsia="en-GB"/>
              </w:rPr>
              <w:t>Within HSCP, improvement is required in relation to streamlining community engagement and service user feedback across services.  Self-evaluation and benchmarking activity takes place but a review of services is planned to ensure that the service is meeting user needs.  This will be embedded within service delivery plans which are currently being developed.</w:t>
            </w: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Chief Officer - HSCP</w:t>
            </w:r>
          </w:p>
        </w:tc>
      </w:tr>
      <w:tr w:rsidR="003802D8" w:rsidRPr="003802D8" w:rsidTr="000C689B">
        <w:tc>
          <w:tcPr>
            <w:tcW w:w="5387" w:type="dxa"/>
          </w:tcPr>
          <w:p w:rsidR="003802D8" w:rsidRPr="003802D8" w:rsidRDefault="003802D8" w:rsidP="003802D8">
            <w:pPr>
              <w:shd w:val="clear" w:color="auto" w:fill="FFFFFF"/>
              <w:tabs>
                <w:tab w:val="left" w:pos="284"/>
              </w:tabs>
              <w:spacing w:before="0" w:after="0"/>
              <w:rPr>
                <w:rFonts w:ascii="Arial" w:eastAsiaTheme="minorHAnsi" w:hAnsi="Arial" w:cs="Arial"/>
                <w:lang w:eastAsia="en-GB"/>
              </w:rPr>
            </w:pPr>
            <w:r w:rsidRPr="003802D8">
              <w:rPr>
                <w:rFonts w:ascii="Arial" w:eastAsiaTheme="minorHAnsi" w:hAnsi="Arial" w:cs="Arial"/>
                <w:lang w:eastAsia="en-GB"/>
              </w:rPr>
              <w:t xml:space="preserve">Within HSCP, stronger governance is required in relation to tracking of action plans and ensuring action deadlines are met.  </w:t>
            </w:r>
          </w:p>
        </w:tc>
        <w:tc>
          <w:tcPr>
            <w:tcW w:w="3685" w:type="dxa"/>
          </w:tcPr>
          <w:p w:rsidR="003802D8" w:rsidRPr="003802D8" w:rsidRDefault="003802D8" w:rsidP="003802D8">
            <w:pPr>
              <w:spacing w:before="0" w:after="0"/>
              <w:rPr>
                <w:rFonts w:ascii="Arial" w:eastAsiaTheme="minorHAnsi" w:hAnsi="Arial" w:cs="Arial"/>
                <w:bCs/>
              </w:rPr>
            </w:pPr>
            <w:r w:rsidRPr="003802D8">
              <w:rPr>
                <w:rFonts w:ascii="Arial" w:eastAsiaTheme="minorHAnsi" w:hAnsi="Arial" w:cs="Arial"/>
                <w:bCs/>
              </w:rPr>
              <w:t>Chief Officer - HSCP</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Continue to lead the implementation of and embed the Contract and Supplier Management Policy across services.</w:t>
            </w:r>
          </w:p>
        </w:tc>
        <w:tc>
          <w:tcPr>
            <w:tcW w:w="3685" w:type="dxa"/>
          </w:tcPr>
          <w:p w:rsidR="003802D8" w:rsidRPr="003802D8" w:rsidRDefault="003802D8" w:rsidP="003802D8">
            <w:pPr>
              <w:spacing w:before="0" w:after="0"/>
              <w:rPr>
                <w:rFonts w:ascii="Arial" w:eastAsiaTheme="minorHAnsi" w:hAnsi="Arial" w:cs="Arial"/>
              </w:rPr>
            </w:pPr>
            <w:r w:rsidRPr="003802D8">
              <w:rPr>
                <w:rFonts w:ascii="Arial" w:eastAsia="Calibri" w:hAnsi="Arial" w:cs="Arial"/>
              </w:rPr>
              <w:t>Procurement Manager</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Further develop the Workforce Management System</w:t>
            </w:r>
          </w:p>
        </w:tc>
        <w:tc>
          <w:tcPr>
            <w:tcW w:w="3685" w:type="dxa"/>
          </w:tcPr>
          <w:p w:rsidR="003802D8" w:rsidRPr="003802D8" w:rsidRDefault="003802D8" w:rsidP="003802D8">
            <w:pPr>
              <w:spacing w:before="0" w:after="0"/>
              <w:rPr>
                <w:rFonts w:ascii="Arial" w:eastAsiaTheme="minorHAnsi" w:hAnsi="Arial" w:cs="Arial"/>
              </w:rPr>
            </w:pPr>
            <w:r w:rsidRPr="003802D8">
              <w:rPr>
                <w:rFonts w:ascii="Arial" w:eastAsia="Calibri" w:hAnsi="Arial" w:cs="Arial"/>
              </w:rPr>
              <w:t>Business Support Manager</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Maintenance of HRA housing rental income stream following full rollout of Universal Credit and other welfare reforms.  This requires to be monitored as this income stream will be impacted issues arising from COVID-19.</w:t>
            </w:r>
          </w:p>
        </w:tc>
        <w:tc>
          <w:tcPr>
            <w:tcW w:w="3685" w:type="dxa"/>
          </w:tcPr>
          <w:p w:rsidR="003802D8" w:rsidRPr="003802D8" w:rsidRDefault="003802D8" w:rsidP="003802D8">
            <w:pPr>
              <w:spacing w:before="0" w:after="0"/>
              <w:rPr>
                <w:rFonts w:ascii="Arial" w:eastAsia="Calibri" w:hAnsi="Arial" w:cs="Arial"/>
              </w:rPr>
            </w:pPr>
            <w:r w:rsidRPr="003802D8">
              <w:rPr>
                <w:rFonts w:ascii="Arial" w:eastAsiaTheme="minorHAnsi" w:hAnsi="Arial" w:cs="Arial"/>
              </w:rPr>
              <w:t>Strategic Lead – Housing &amp; Employability</w:t>
            </w:r>
          </w:p>
        </w:tc>
      </w:tr>
    </w:tbl>
    <w:p w:rsidR="003802D8" w:rsidRPr="003802D8" w:rsidRDefault="003802D8" w:rsidP="003802D8">
      <w:pPr>
        <w:spacing w:before="0" w:after="200" w:line="276" w:lineRule="auto"/>
        <w:rPr>
          <w:rFonts w:ascii="Arial" w:hAnsi="Arial" w:cs="Arial"/>
          <w:b/>
          <w:sz w:val="24"/>
          <w:szCs w:val="24"/>
        </w:rPr>
      </w:pPr>
    </w:p>
    <w:p w:rsidR="003802D8" w:rsidRPr="003802D8" w:rsidRDefault="003802D8" w:rsidP="003802D8">
      <w:pPr>
        <w:spacing w:before="0" w:after="200" w:line="276" w:lineRule="auto"/>
        <w:rPr>
          <w:rFonts w:ascii="Arial" w:hAnsi="Arial" w:cs="Arial"/>
          <w:b/>
          <w:sz w:val="24"/>
          <w:szCs w:val="24"/>
        </w:rPr>
      </w:pPr>
      <w:r w:rsidRPr="003802D8">
        <w:rPr>
          <w:rFonts w:ascii="Arial" w:hAnsi="Arial" w:cs="Arial"/>
          <w:b/>
          <w:sz w:val="24"/>
          <w:szCs w:val="24"/>
        </w:rPr>
        <w:lastRenderedPageBreak/>
        <w:t>Annual Governance Statement (Cont’d)</w:t>
      </w:r>
    </w:p>
    <w:p w:rsidR="003802D8" w:rsidRPr="003802D8" w:rsidRDefault="003802D8" w:rsidP="003802D8">
      <w:pPr>
        <w:rPr>
          <w:rFonts w:ascii="Arial" w:hAnsi="Arial" w:cs="Arial"/>
          <w:b/>
          <w:sz w:val="24"/>
          <w:szCs w:val="24"/>
        </w:rPr>
      </w:pPr>
    </w:p>
    <w:p w:rsidR="003802D8" w:rsidRPr="003802D8" w:rsidRDefault="003802D8" w:rsidP="003802D8">
      <w:pPr>
        <w:rPr>
          <w:rFonts w:ascii="Arial" w:hAnsi="Arial" w:cs="Arial"/>
          <w:b/>
          <w:bCs/>
        </w:rPr>
      </w:pPr>
      <w:r w:rsidRPr="003802D8">
        <w:rPr>
          <w:rFonts w:ascii="Arial" w:hAnsi="Arial" w:cs="Arial"/>
          <w:b/>
          <w:bCs/>
        </w:rPr>
        <w:t xml:space="preserve">Governance Issues and Planned Actions </w:t>
      </w:r>
      <w:r w:rsidRPr="003802D8">
        <w:rPr>
          <w:rFonts w:ascii="Arial" w:hAnsi="Arial" w:cs="Arial"/>
          <w:b/>
        </w:rPr>
        <w:t>(cont’d)</w:t>
      </w:r>
    </w:p>
    <w:p w:rsidR="003802D8" w:rsidRPr="003802D8" w:rsidRDefault="003802D8" w:rsidP="003802D8">
      <w:pPr>
        <w:rPr>
          <w:rFonts w:ascii="Arial" w:hAnsi="Arial" w:cs="Arial"/>
        </w:rPr>
      </w:pPr>
    </w:p>
    <w:tbl>
      <w:tblPr>
        <w:tblStyle w:val="TableGrid2"/>
        <w:tblW w:w="9072" w:type="dxa"/>
        <w:tblInd w:w="108" w:type="dxa"/>
        <w:tblLayout w:type="fixed"/>
        <w:tblLook w:val="04A0" w:firstRow="1" w:lastRow="0" w:firstColumn="1" w:lastColumn="0" w:noHBand="0" w:noVBand="1"/>
        <w:tblCaption w:val="governance statement"/>
        <w:tblDescription w:val="update on improvement areas previously identified"/>
      </w:tblPr>
      <w:tblGrid>
        <w:gridCol w:w="5387"/>
        <w:gridCol w:w="3685"/>
      </w:tblGrid>
      <w:tr w:rsidR="003802D8" w:rsidRPr="003802D8" w:rsidTr="00274F66">
        <w:trPr>
          <w:tblHeader/>
        </w:trPr>
        <w:tc>
          <w:tcPr>
            <w:tcW w:w="5387" w:type="dxa"/>
          </w:tcPr>
          <w:p w:rsidR="003802D8" w:rsidRPr="003802D8" w:rsidRDefault="003802D8" w:rsidP="003802D8">
            <w:pPr>
              <w:tabs>
                <w:tab w:val="right" w:pos="2864"/>
              </w:tabs>
              <w:spacing w:before="0" w:after="0"/>
              <w:rPr>
                <w:rFonts w:ascii="Arial" w:eastAsiaTheme="minorHAnsi" w:hAnsi="Arial" w:cs="Arial"/>
                <w:b/>
              </w:rPr>
            </w:pPr>
            <w:r w:rsidRPr="003802D8">
              <w:rPr>
                <w:rFonts w:ascii="Arial" w:eastAsiaTheme="minorHAnsi" w:hAnsi="Arial" w:cs="Arial"/>
                <w:b/>
              </w:rPr>
              <w:t>Improvement Area identified by 2019/20 Exercise</w:t>
            </w:r>
          </w:p>
        </w:tc>
        <w:tc>
          <w:tcPr>
            <w:tcW w:w="3685"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Responsible Officer</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Consolidation of Procurement and Commissioning arrangements ensuring compliance and efficiencies.  There are still a number of risk areas contained within the HSCP procurement pipeline priorities.</w:t>
            </w:r>
          </w:p>
          <w:p w:rsidR="003802D8" w:rsidRPr="003802D8" w:rsidRDefault="003802D8" w:rsidP="003802D8">
            <w:pPr>
              <w:spacing w:before="0" w:after="0"/>
              <w:rPr>
                <w:rFonts w:ascii="Arial" w:eastAsiaTheme="minorHAnsi" w:hAnsi="Arial" w:cs="Arial"/>
              </w:rPr>
            </w:pP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The HSCP SMT has agreed that Commissioning resource requires to be strengthened and a commissioning manager post will be advertised in 20/21.</w:t>
            </w:r>
          </w:p>
        </w:tc>
        <w:tc>
          <w:tcPr>
            <w:tcW w:w="36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HSCP – Heads of Service</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Continue to develop plans in response to the ageing population.  </w:t>
            </w:r>
            <w:r w:rsidRPr="003802D8">
              <w:rPr>
                <w:rFonts w:ascii="Arial" w:hAnsi="Arial" w:cs="Arial"/>
              </w:rPr>
              <w:t xml:space="preserve">We continue to develop and review services in response to the changing demographic. </w:t>
            </w:r>
          </w:p>
        </w:tc>
        <w:tc>
          <w:tcPr>
            <w:tcW w:w="36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Head of Health and Community Care</w:t>
            </w:r>
          </w:p>
        </w:tc>
      </w:tr>
      <w:tr w:rsidR="003802D8" w:rsidRPr="003802D8" w:rsidTr="000C689B">
        <w:tc>
          <w:tcPr>
            <w:tcW w:w="5387" w:type="dxa"/>
          </w:tcPr>
          <w:p w:rsidR="003802D8" w:rsidRPr="003802D8" w:rsidRDefault="003802D8" w:rsidP="003802D8">
            <w:pPr>
              <w:spacing w:before="0" w:after="0"/>
              <w:rPr>
                <w:rFonts w:ascii="Arial" w:hAnsi="Arial"/>
              </w:rPr>
            </w:pPr>
            <w:r w:rsidRPr="003802D8">
              <w:rPr>
                <w:rFonts w:ascii="Arial" w:hAnsi="Arial"/>
              </w:rPr>
              <w:t>Review of Learning Disability Service to improve on ways of working to ensure the service is fit for the future demands.  S</w:t>
            </w:r>
            <w:r w:rsidRPr="003802D8">
              <w:rPr>
                <w:rFonts w:ascii="Arial" w:hAnsi="Arial" w:cs="Arial"/>
              </w:rPr>
              <w:t>ervice Improvement lead aligned to service. Full review to be picked up as part of renewal and recovery work.</w:t>
            </w:r>
          </w:p>
        </w:tc>
        <w:tc>
          <w:tcPr>
            <w:tcW w:w="3685" w:type="dxa"/>
          </w:tcPr>
          <w:p w:rsidR="003802D8" w:rsidRPr="003802D8" w:rsidRDefault="003802D8" w:rsidP="003802D8">
            <w:pPr>
              <w:spacing w:before="0" w:after="0"/>
              <w:rPr>
                <w:rFonts w:ascii="Arial" w:eastAsia="Calibri" w:hAnsi="Arial" w:cs="Arial"/>
              </w:rPr>
            </w:pPr>
            <w:r w:rsidRPr="003802D8">
              <w:rPr>
                <w:rFonts w:ascii="Arial" w:hAnsi="Arial"/>
                <w:bCs/>
              </w:rPr>
              <w:t>Head of Mental Health, Addictions &amp; Learning Disabilities</w:t>
            </w:r>
          </w:p>
        </w:tc>
      </w:tr>
      <w:tr w:rsidR="003802D8" w:rsidRPr="003802D8" w:rsidTr="000C689B">
        <w:tc>
          <w:tcPr>
            <w:tcW w:w="5387" w:type="dxa"/>
          </w:tcPr>
          <w:p w:rsidR="003802D8" w:rsidRPr="003802D8" w:rsidRDefault="003802D8" w:rsidP="003802D8">
            <w:pPr>
              <w:spacing w:before="0" w:after="0"/>
              <w:rPr>
                <w:rFonts w:ascii="Arial" w:hAnsi="Arial"/>
              </w:rPr>
            </w:pPr>
            <w:r w:rsidRPr="003802D8">
              <w:rPr>
                <w:rFonts w:ascii="Arial" w:hAnsi="Arial"/>
              </w:rPr>
              <w:t xml:space="preserve">Improved case recording and assessment for children and families who receive statutory social work services.  </w:t>
            </w:r>
          </w:p>
        </w:tc>
        <w:tc>
          <w:tcPr>
            <w:tcW w:w="3685" w:type="dxa"/>
          </w:tcPr>
          <w:p w:rsidR="003802D8" w:rsidRPr="003802D8" w:rsidRDefault="003802D8" w:rsidP="003802D8">
            <w:pPr>
              <w:spacing w:before="0" w:after="0"/>
              <w:rPr>
                <w:rFonts w:ascii="Arial" w:hAnsi="Arial"/>
                <w:bCs/>
              </w:rPr>
            </w:pPr>
            <w:r w:rsidRPr="003802D8">
              <w:rPr>
                <w:rFonts w:ascii="Arial" w:hAnsi="Arial"/>
                <w:bCs/>
              </w:rPr>
              <w:t>Head of Children’s Health Care and Criminal Justice</w:t>
            </w:r>
          </w:p>
        </w:tc>
      </w:tr>
      <w:tr w:rsidR="003802D8" w:rsidRPr="003802D8" w:rsidTr="000C689B">
        <w:tc>
          <w:tcPr>
            <w:tcW w:w="5387" w:type="dxa"/>
          </w:tcPr>
          <w:p w:rsidR="003802D8" w:rsidRPr="003802D8" w:rsidRDefault="003802D8" w:rsidP="003802D8">
            <w:pPr>
              <w:spacing w:before="0" w:after="0"/>
              <w:rPr>
                <w:rFonts w:ascii="Arial" w:eastAsiaTheme="minorHAnsi" w:hAnsi="Arial" w:cs="Arial"/>
              </w:rPr>
            </w:pPr>
            <w:r w:rsidRPr="003802D8">
              <w:br w:type="page"/>
            </w:r>
            <w:r w:rsidRPr="003802D8">
              <w:rPr>
                <w:rFonts w:ascii="Arial" w:hAnsi="Arial"/>
              </w:rPr>
              <w:t>Further efforts to reduce absence, supporting both staff wellbeing and containing costs</w:t>
            </w:r>
          </w:p>
        </w:tc>
        <w:tc>
          <w:tcPr>
            <w:tcW w:w="3685" w:type="dxa"/>
          </w:tcPr>
          <w:p w:rsidR="003802D8" w:rsidRPr="003802D8" w:rsidRDefault="003802D8" w:rsidP="003802D8">
            <w:pPr>
              <w:spacing w:before="0" w:after="0"/>
              <w:rPr>
                <w:rFonts w:ascii="Arial" w:eastAsiaTheme="minorHAnsi" w:hAnsi="Arial" w:cs="Arial"/>
              </w:rPr>
            </w:pPr>
            <w:r w:rsidRPr="003802D8">
              <w:rPr>
                <w:rFonts w:ascii="Arial" w:hAnsi="Arial"/>
                <w:bCs/>
              </w:rPr>
              <w:t>Chief Officer – HSCP</w:t>
            </w:r>
          </w:p>
        </w:tc>
      </w:tr>
      <w:tr w:rsidR="003802D8" w:rsidRPr="003802D8" w:rsidTr="000C689B">
        <w:tc>
          <w:tcPr>
            <w:tcW w:w="5387" w:type="dxa"/>
          </w:tcPr>
          <w:p w:rsidR="003802D8" w:rsidRPr="003802D8" w:rsidRDefault="003802D8" w:rsidP="003802D8">
            <w:pPr>
              <w:rPr>
                <w:rFonts w:ascii="Arial" w:hAnsi="Arial" w:cs="Arial"/>
              </w:rPr>
            </w:pPr>
            <w:r w:rsidRPr="003802D8">
              <w:rPr>
                <w:rFonts w:ascii="Arial" w:hAnsi="Arial" w:cs="Arial"/>
              </w:rPr>
              <w:t>Continue the implementation of the strategic improvement framework activity on benchmarking, including customer feedback and proof of “best value”</w:t>
            </w:r>
          </w:p>
        </w:tc>
        <w:tc>
          <w:tcPr>
            <w:tcW w:w="36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Performance and Strategy Manager</w:t>
            </w:r>
          </w:p>
        </w:tc>
      </w:tr>
    </w:tbl>
    <w:p w:rsidR="003802D8" w:rsidRPr="003802D8" w:rsidRDefault="003802D8" w:rsidP="003802D8"/>
    <w:p w:rsidR="003802D8" w:rsidRPr="003802D8" w:rsidRDefault="003802D8" w:rsidP="003802D8">
      <w:pPr>
        <w:spacing w:before="0" w:after="0"/>
        <w:contextualSpacing/>
        <w:rPr>
          <w:rFonts w:ascii="Arial" w:hAnsi="Arial" w:cs="Arial"/>
        </w:rPr>
      </w:pPr>
      <w:r w:rsidRPr="003802D8">
        <w:rPr>
          <w:rFonts w:ascii="Arial" w:hAnsi="Arial" w:cs="Arial"/>
        </w:rPr>
        <w:t>In addition, the self-assessment exercise carried out by Strategic Directors has identified improvements in the following areas:</w:t>
      </w:r>
    </w:p>
    <w:p w:rsidR="003802D8" w:rsidRPr="003802D8" w:rsidRDefault="003802D8" w:rsidP="003802D8">
      <w:pPr>
        <w:spacing w:before="0" w:after="0"/>
        <w:contextualSpacing/>
        <w:rPr>
          <w:rFonts w:ascii="Arial" w:hAnsi="Arial" w:cs="Arial"/>
        </w:rPr>
      </w:pPr>
    </w:p>
    <w:tbl>
      <w:tblPr>
        <w:tblStyle w:val="TableGrid2"/>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governance statement"/>
        <w:tblDescription w:val="update on further improvement areas identified"/>
      </w:tblPr>
      <w:tblGrid>
        <w:gridCol w:w="9214"/>
      </w:tblGrid>
      <w:tr w:rsidR="003802D8" w:rsidRPr="003802D8" w:rsidTr="00274F66">
        <w:trPr>
          <w:tblHeader/>
        </w:trPr>
        <w:tc>
          <w:tcPr>
            <w:tcW w:w="9214" w:type="dxa"/>
          </w:tcPr>
          <w:p w:rsidR="003802D8" w:rsidRPr="003802D8" w:rsidRDefault="003802D8" w:rsidP="003802D8">
            <w:pPr>
              <w:numPr>
                <w:ilvl w:val="0"/>
                <w:numId w:val="59"/>
              </w:numPr>
              <w:spacing w:before="0" w:after="0"/>
              <w:contextualSpacing/>
              <w:rPr>
                <w:rFonts w:ascii="Arial" w:eastAsiaTheme="minorHAnsi" w:hAnsi="Arial" w:cs="Arial"/>
              </w:rPr>
            </w:pPr>
            <w:r w:rsidRPr="003802D8">
              <w:rPr>
                <w:rFonts w:ascii="Arial" w:eastAsiaTheme="minorHAnsi" w:hAnsi="Arial" w:cs="Arial"/>
              </w:rPr>
              <w:t>The new integrated housing management system went live in November 2019.  There were and continue to be challenges with the system and a monitoring and development action plan will be in place for 2020/21 to ensure that remaining issues are fully addressed.</w:t>
            </w:r>
          </w:p>
        </w:tc>
      </w:tr>
      <w:tr w:rsidR="003802D8" w:rsidRPr="003802D8" w:rsidTr="000C689B">
        <w:tc>
          <w:tcPr>
            <w:tcW w:w="9214" w:type="dxa"/>
          </w:tcPr>
          <w:p w:rsidR="003802D8" w:rsidRPr="003802D8" w:rsidRDefault="003802D8" w:rsidP="003802D8">
            <w:pPr>
              <w:numPr>
                <w:ilvl w:val="0"/>
                <w:numId w:val="59"/>
              </w:numPr>
              <w:spacing w:before="0" w:after="0"/>
              <w:contextualSpacing/>
              <w:rPr>
                <w:rFonts w:ascii="Arial" w:eastAsiaTheme="minorHAnsi" w:hAnsi="Arial" w:cs="Arial"/>
              </w:rPr>
            </w:pPr>
            <w:r w:rsidRPr="003802D8">
              <w:rPr>
                <w:rFonts w:ascii="Arial" w:eastAsiaTheme="minorHAnsi" w:hAnsi="Arial" w:cs="Arial"/>
              </w:rPr>
              <w:t>At the appropriate time, a post-incident review will be carried out in relation to the COVID-19 Pandemic highlighting any lessons learned which will inform future emergency response and recovery arrangements.</w:t>
            </w:r>
          </w:p>
        </w:tc>
      </w:tr>
    </w:tbl>
    <w:p w:rsidR="003802D8" w:rsidRPr="003802D8" w:rsidRDefault="003802D8" w:rsidP="003802D8">
      <w:pPr>
        <w:rPr>
          <w:rFonts w:ascii="Arial" w:hAnsi="Arial" w:cs="Arial"/>
        </w:rPr>
      </w:pPr>
    </w:p>
    <w:p w:rsidR="003802D8" w:rsidRPr="003802D8" w:rsidRDefault="003802D8" w:rsidP="003802D8">
      <w:pPr>
        <w:rPr>
          <w:rFonts w:ascii="Arial" w:hAnsi="Arial" w:cs="Arial"/>
        </w:rPr>
      </w:pPr>
      <w:r w:rsidRPr="003802D8">
        <w:rPr>
          <w:rFonts w:ascii="Arial" w:hAnsi="Arial" w:cs="Arial"/>
        </w:rPr>
        <w:t>In the 2018/19 Annual Governance Statement officers identified a range of areas for improvement during 2018/19. The following table provides an update on progress with these with a number having been completed or are areas which continue to have ongoing focus:</w:t>
      </w:r>
    </w:p>
    <w:p w:rsidR="003802D8" w:rsidRPr="003802D8" w:rsidRDefault="003802D8" w:rsidP="003802D8">
      <w:pPr>
        <w:rPr>
          <w:rFonts w:ascii="Arial" w:hAnsi="Arial" w:cs="Arial"/>
        </w:rPr>
      </w:pPr>
    </w:p>
    <w:tbl>
      <w:tblPr>
        <w:tblStyle w:val="TableGrid3"/>
        <w:tblW w:w="9072" w:type="dxa"/>
        <w:tblInd w:w="108" w:type="dxa"/>
        <w:tblLayout w:type="fixed"/>
        <w:tblLook w:val="04A0" w:firstRow="1" w:lastRow="0" w:firstColumn="1" w:lastColumn="0" w:noHBand="0" w:noVBand="1"/>
        <w:tblCaption w:val="governance statement"/>
        <w:tblDescription w:val="update on 2018/19 performance improvement areas"/>
      </w:tblPr>
      <w:tblGrid>
        <w:gridCol w:w="3544"/>
        <w:gridCol w:w="1985"/>
        <w:gridCol w:w="3543"/>
      </w:tblGrid>
      <w:tr w:rsidR="003802D8" w:rsidRPr="003802D8" w:rsidTr="00274F66">
        <w:trPr>
          <w:trHeight w:val="298"/>
          <w:tblHeader/>
        </w:trPr>
        <w:tc>
          <w:tcPr>
            <w:tcW w:w="3544" w:type="dxa"/>
          </w:tcPr>
          <w:p w:rsidR="003802D8" w:rsidRPr="003802D8" w:rsidRDefault="003802D8" w:rsidP="003802D8">
            <w:pPr>
              <w:tabs>
                <w:tab w:val="right" w:pos="2864"/>
              </w:tabs>
              <w:spacing w:before="0" w:after="0"/>
              <w:rPr>
                <w:rFonts w:ascii="Arial" w:eastAsiaTheme="minorHAnsi" w:hAnsi="Arial" w:cs="Arial"/>
                <w:b/>
              </w:rPr>
            </w:pPr>
            <w:r w:rsidRPr="003802D8">
              <w:rPr>
                <w:rFonts w:ascii="Arial" w:eastAsiaTheme="minorHAnsi" w:hAnsi="Arial" w:cs="Arial"/>
                <w:b/>
              </w:rPr>
              <w:t>Improvement Area identified by 2018/19 Exercise</w:t>
            </w:r>
          </w:p>
        </w:tc>
        <w:tc>
          <w:tcPr>
            <w:tcW w:w="1985"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Responsible Officer</w:t>
            </w:r>
          </w:p>
        </w:tc>
        <w:tc>
          <w:tcPr>
            <w:tcW w:w="3543"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Status</w:t>
            </w:r>
          </w:p>
        </w:tc>
      </w:tr>
      <w:tr w:rsidR="003802D8" w:rsidRPr="003802D8" w:rsidTr="00C5259D">
        <w:tc>
          <w:tcPr>
            <w:tcW w:w="3544" w:type="dxa"/>
          </w:tcPr>
          <w:p w:rsidR="003802D8" w:rsidRPr="003802D8" w:rsidRDefault="003802D8" w:rsidP="003802D8">
            <w:pPr>
              <w:rPr>
                <w:rFonts w:ascii="Arial" w:hAnsi="Arial" w:cs="Arial"/>
              </w:rPr>
            </w:pPr>
            <w:r w:rsidRPr="003802D8">
              <w:rPr>
                <w:rFonts w:ascii="Arial" w:hAnsi="Arial" w:cs="Arial"/>
              </w:rPr>
              <w:t>Continue to review the effectiveness of Be the Best Conversations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Strategic People and Change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Work is ongoing with Services to embed the process.</w:t>
            </w:r>
          </w:p>
        </w:tc>
      </w:tr>
      <w:tr w:rsidR="003802D8" w:rsidRPr="003802D8" w:rsidTr="00C5259D">
        <w:tc>
          <w:tcPr>
            <w:tcW w:w="3544" w:type="dxa"/>
          </w:tcPr>
          <w:p w:rsidR="003802D8" w:rsidRPr="003802D8" w:rsidRDefault="003802D8" w:rsidP="003802D8">
            <w:pPr>
              <w:rPr>
                <w:rFonts w:ascii="Arial" w:hAnsi="Arial" w:cs="Arial"/>
              </w:rPr>
            </w:pPr>
            <w:r w:rsidRPr="003802D8">
              <w:rPr>
                <w:rFonts w:ascii="Arial" w:hAnsi="Arial" w:cs="Arial"/>
              </w:rPr>
              <w:t>Increase the percentage of spend that CPU view as being compliant with Financial Regulations</w:t>
            </w:r>
          </w:p>
          <w:p w:rsidR="003802D8" w:rsidRPr="003802D8" w:rsidRDefault="003802D8" w:rsidP="003802D8">
            <w:pPr>
              <w:rPr>
                <w:rFonts w:ascii="Arial" w:hAnsi="Arial" w:cs="Arial"/>
              </w:rPr>
            </w:pPr>
          </w:p>
        </w:tc>
        <w:tc>
          <w:tcPr>
            <w:tcW w:w="19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Procurement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Complete.  The target of 90% compliance for 19/20 has been achieved and exceeded. (91%).  Work is ongoing with relevant Services to increase their percentage of compliant spend. </w:t>
            </w:r>
          </w:p>
        </w:tc>
      </w:tr>
      <w:tr w:rsidR="00C5259D" w:rsidRPr="003802D8" w:rsidTr="00C5259D">
        <w:tc>
          <w:tcPr>
            <w:tcW w:w="3544" w:type="dxa"/>
          </w:tcPr>
          <w:p w:rsidR="00C5259D" w:rsidRPr="003802D8" w:rsidRDefault="00C5259D" w:rsidP="00EE0667">
            <w:pPr>
              <w:rPr>
                <w:rFonts w:ascii="Arial" w:hAnsi="Arial" w:cs="Arial"/>
              </w:rPr>
            </w:pPr>
            <w:r w:rsidRPr="003802D8">
              <w:rPr>
                <w:rFonts w:ascii="Arial" w:hAnsi="Arial" w:cs="Arial"/>
              </w:rPr>
              <w:t>Continue the implementation of the strategic improvement framework activity on benchmarking, including customer feedback and proof of “best value”</w:t>
            </w:r>
          </w:p>
        </w:tc>
        <w:tc>
          <w:tcPr>
            <w:tcW w:w="1985" w:type="dxa"/>
          </w:tcPr>
          <w:p w:rsidR="00C5259D" w:rsidRPr="003802D8" w:rsidRDefault="00C5259D" w:rsidP="00EE0667">
            <w:pPr>
              <w:spacing w:before="0" w:after="0"/>
              <w:rPr>
                <w:rFonts w:ascii="Arial" w:eastAsia="Calibri" w:hAnsi="Arial" w:cs="Arial"/>
              </w:rPr>
            </w:pPr>
            <w:r w:rsidRPr="003802D8">
              <w:rPr>
                <w:rFonts w:ascii="Arial" w:eastAsia="Calibri" w:hAnsi="Arial" w:cs="Arial"/>
              </w:rPr>
              <w:t>Performance and Strategy Manager</w:t>
            </w:r>
          </w:p>
        </w:tc>
        <w:tc>
          <w:tcPr>
            <w:tcW w:w="3543" w:type="dxa"/>
          </w:tcPr>
          <w:p w:rsidR="00C5259D" w:rsidRPr="003802D8" w:rsidRDefault="00C5259D" w:rsidP="00EE0667">
            <w:pPr>
              <w:spacing w:before="0" w:after="0"/>
              <w:rPr>
                <w:rFonts w:ascii="Arial" w:eastAsiaTheme="minorHAnsi" w:hAnsi="Arial" w:cs="Arial"/>
              </w:rPr>
            </w:pPr>
            <w:r w:rsidRPr="003802D8">
              <w:rPr>
                <w:rFonts w:ascii="Arial" w:eastAsiaTheme="minorHAnsi" w:hAnsi="Arial" w:cs="Arial"/>
              </w:rPr>
              <w:t>Work is ongoing with Services to embed the process.</w:t>
            </w:r>
          </w:p>
        </w:tc>
      </w:tr>
    </w:tbl>
    <w:p w:rsidR="003802D8" w:rsidRPr="003802D8" w:rsidRDefault="003802D8" w:rsidP="003802D8">
      <w:pPr>
        <w:spacing w:before="0" w:after="200" w:line="276" w:lineRule="auto"/>
        <w:rPr>
          <w:rFonts w:ascii="Arial" w:hAnsi="Arial" w:cs="Arial"/>
          <w:b/>
          <w:sz w:val="24"/>
          <w:szCs w:val="24"/>
        </w:rPr>
      </w:pPr>
      <w:r w:rsidRPr="003802D8">
        <w:rPr>
          <w:rFonts w:ascii="Arial" w:hAnsi="Arial" w:cs="Arial"/>
          <w:b/>
          <w:sz w:val="24"/>
          <w:szCs w:val="24"/>
        </w:rPr>
        <w:lastRenderedPageBreak/>
        <w:t>Annual Governance Statement (Cont’d)</w:t>
      </w:r>
    </w:p>
    <w:p w:rsidR="003802D8" w:rsidRPr="003802D8" w:rsidRDefault="003802D8" w:rsidP="003802D8"/>
    <w:p w:rsidR="003802D8" w:rsidRPr="003802D8" w:rsidRDefault="003802D8" w:rsidP="003802D8">
      <w:pPr>
        <w:rPr>
          <w:rFonts w:ascii="Arial" w:hAnsi="Arial" w:cs="Arial"/>
        </w:rPr>
      </w:pPr>
      <w:r w:rsidRPr="003802D8">
        <w:rPr>
          <w:rFonts w:ascii="Arial" w:hAnsi="Arial" w:cs="Arial"/>
          <w:b/>
          <w:bCs/>
        </w:rPr>
        <w:t xml:space="preserve">Governance Issues and Planned Actions </w:t>
      </w:r>
      <w:r w:rsidRPr="003802D8">
        <w:rPr>
          <w:rFonts w:ascii="Arial" w:hAnsi="Arial" w:cs="Arial"/>
          <w:b/>
        </w:rPr>
        <w:t>(cont’d)</w:t>
      </w:r>
    </w:p>
    <w:p w:rsidR="003802D8" w:rsidRPr="003802D8" w:rsidRDefault="003802D8" w:rsidP="003802D8"/>
    <w:tbl>
      <w:tblPr>
        <w:tblStyle w:val="TableGrid3"/>
        <w:tblW w:w="9072" w:type="dxa"/>
        <w:tblInd w:w="108" w:type="dxa"/>
        <w:tblLayout w:type="fixed"/>
        <w:tblLook w:val="04A0" w:firstRow="1" w:lastRow="0" w:firstColumn="1" w:lastColumn="0" w:noHBand="0" w:noVBand="1"/>
        <w:tblCaption w:val="goverenance statement"/>
        <w:tblDescription w:val="update on improvement areas 2018/19"/>
      </w:tblPr>
      <w:tblGrid>
        <w:gridCol w:w="3544"/>
        <w:gridCol w:w="1985"/>
        <w:gridCol w:w="3543"/>
      </w:tblGrid>
      <w:tr w:rsidR="003802D8" w:rsidRPr="003802D8" w:rsidTr="00274F66">
        <w:trPr>
          <w:trHeight w:val="298"/>
          <w:tblHeader/>
        </w:trPr>
        <w:tc>
          <w:tcPr>
            <w:tcW w:w="3544" w:type="dxa"/>
          </w:tcPr>
          <w:p w:rsidR="003802D8" w:rsidRPr="003802D8" w:rsidRDefault="003802D8" w:rsidP="003802D8">
            <w:pPr>
              <w:tabs>
                <w:tab w:val="right" w:pos="2864"/>
              </w:tabs>
              <w:spacing w:before="0" w:after="0"/>
              <w:rPr>
                <w:rFonts w:ascii="Arial" w:eastAsiaTheme="minorHAnsi" w:hAnsi="Arial" w:cs="Arial"/>
                <w:b/>
              </w:rPr>
            </w:pPr>
            <w:r w:rsidRPr="003802D8">
              <w:rPr>
                <w:rFonts w:ascii="Arial" w:eastAsiaTheme="minorHAnsi" w:hAnsi="Arial" w:cs="Arial"/>
                <w:b/>
              </w:rPr>
              <w:t>Improvement Area identified by 2018/19 Exercise</w:t>
            </w:r>
          </w:p>
        </w:tc>
        <w:tc>
          <w:tcPr>
            <w:tcW w:w="1985"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Responsible Officer</w:t>
            </w:r>
          </w:p>
        </w:tc>
        <w:tc>
          <w:tcPr>
            <w:tcW w:w="3543"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Status</w:t>
            </w:r>
          </w:p>
        </w:tc>
      </w:tr>
      <w:tr w:rsidR="003802D8" w:rsidRPr="003802D8" w:rsidTr="00274F66">
        <w:tc>
          <w:tcPr>
            <w:tcW w:w="3544" w:type="dxa"/>
          </w:tcPr>
          <w:p w:rsidR="003802D8" w:rsidRPr="003802D8" w:rsidRDefault="003802D8" w:rsidP="003802D8">
            <w:pPr>
              <w:rPr>
                <w:rFonts w:ascii="Arial" w:hAnsi="Arial" w:cs="Arial"/>
              </w:rPr>
            </w:pPr>
            <w:r w:rsidRPr="003802D8">
              <w:rPr>
                <w:rFonts w:ascii="Arial" w:hAnsi="Arial" w:cs="Arial"/>
              </w:rPr>
              <w:t>Consider approaches to identifying, reporting and monitoring wider partnership risk</w:t>
            </w:r>
          </w:p>
          <w:p w:rsidR="003802D8" w:rsidRPr="003802D8" w:rsidRDefault="003802D8" w:rsidP="003802D8">
            <w:pPr>
              <w:rPr>
                <w:rFonts w:ascii="Arial" w:hAnsi="Arial" w:cs="Arial"/>
              </w:rPr>
            </w:pPr>
          </w:p>
        </w:tc>
        <w:tc>
          <w:tcPr>
            <w:tcW w:w="1985" w:type="dxa"/>
          </w:tcPr>
          <w:p w:rsidR="003802D8" w:rsidRPr="003802D8" w:rsidRDefault="003802D8" w:rsidP="003802D8">
            <w:pPr>
              <w:rPr>
                <w:rFonts w:ascii="Arial" w:hAnsi="Arial" w:cs="Arial"/>
              </w:rPr>
            </w:pPr>
            <w:r w:rsidRPr="003802D8">
              <w:rPr>
                <w:rFonts w:ascii="Arial" w:eastAsiaTheme="minorHAnsi" w:hAnsi="Arial" w:cs="Arial"/>
              </w:rPr>
              <w:t>Strategic People and Change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rPr>
                <w:rFonts w:ascii="Arial" w:hAnsi="Arial" w:cs="Arial"/>
              </w:rPr>
            </w:pPr>
            <w:r w:rsidRPr="003802D8">
              <w:rPr>
                <w:rFonts w:ascii="Arial" w:hAnsi="Arial" w:cs="Arial"/>
              </w:rPr>
              <w:t>Improve reporting of failing KPI’s to Members as appropriate</w:t>
            </w:r>
          </w:p>
        </w:tc>
        <w:tc>
          <w:tcPr>
            <w:tcW w:w="1985" w:type="dxa"/>
          </w:tcPr>
          <w:p w:rsidR="003802D8" w:rsidRPr="003802D8" w:rsidRDefault="003802D8" w:rsidP="003802D8">
            <w:pPr>
              <w:rPr>
                <w:rFonts w:ascii="Arial" w:hAnsi="Arial" w:cs="Arial"/>
              </w:rPr>
            </w:pPr>
            <w:r w:rsidRPr="003802D8">
              <w:rPr>
                <w:rFonts w:ascii="Arial" w:eastAsia="Calibri" w:hAnsi="Arial" w:cs="Arial"/>
              </w:rPr>
              <w:t>Performance and Strategy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C5259D">
            <w:pPr>
              <w:rPr>
                <w:rFonts w:ascii="Arial" w:hAnsi="Arial" w:cs="Arial"/>
              </w:rPr>
            </w:pPr>
            <w:r w:rsidRPr="003802D8">
              <w:rPr>
                <w:rFonts w:ascii="Arial" w:hAnsi="Arial" w:cs="Arial"/>
              </w:rPr>
              <w:t>Embed sensitivity analysis in service level budget and service planning</w:t>
            </w:r>
          </w:p>
        </w:tc>
        <w:tc>
          <w:tcPr>
            <w:tcW w:w="1985" w:type="dxa"/>
          </w:tcPr>
          <w:p w:rsidR="003802D8" w:rsidRPr="003802D8" w:rsidRDefault="003802D8" w:rsidP="003802D8">
            <w:pPr>
              <w:rPr>
                <w:rFonts w:ascii="Arial" w:hAnsi="Arial" w:cs="Arial"/>
              </w:rPr>
            </w:pPr>
            <w:r w:rsidRPr="003802D8">
              <w:rPr>
                <w:rFonts w:ascii="Arial" w:hAnsi="Arial" w:cs="Arial"/>
              </w:rPr>
              <w:t>Finance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Continue to implement the Contract and Supplier Management Policy.</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Calibri" w:hAnsi="Arial" w:cs="Arial"/>
              </w:rPr>
              <w:t>Procurement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Work is ongoing with Services to embed the process.</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rPr>
              <w:t>Review of processes and procedures for Internal Audit’s approach to investigations.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Audit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Further develop Fraud Risk Assessment process.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Audit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rPr>
              <w:t>Implementation of actions identified in the Building Standards Action Plan.</w:t>
            </w:r>
          </w:p>
        </w:tc>
        <w:tc>
          <w:tcPr>
            <w:tcW w:w="19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Strategic Lead - Regulatory</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Further develop the Workforce Management System</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Calibri" w:hAnsi="Arial" w:cs="Arial"/>
              </w:rPr>
              <w:t>Business Support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Ongoing – due to technical issues, a few tasks have not been achieved.  These will be included along with other improvement areas identified for 20/21.</w:t>
            </w:r>
          </w:p>
        </w:tc>
      </w:tr>
      <w:tr w:rsidR="003802D8" w:rsidRPr="003802D8" w:rsidTr="00274F66">
        <w:trPr>
          <w:trHeight w:val="288"/>
        </w:trPr>
        <w:tc>
          <w:tcPr>
            <w:tcW w:w="3544" w:type="dxa"/>
          </w:tcPr>
          <w:p w:rsidR="003802D8" w:rsidRPr="003802D8" w:rsidRDefault="003802D8" w:rsidP="00C5259D">
            <w:pPr>
              <w:rPr>
                <w:rFonts w:ascii="Arial" w:eastAsiaTheme="minorHAnsi" w:hAnsi="Arial" w:cs="Arial"/>
              </w:rPr>
            </w:pPr>
            <w:r w:rsidRPr="003802D8">
              <w:rPr>
                <w:rFonts w:ascii="Arial" w:hAnsi="Arial"/>
              </w:rPr>
              <w:t xml:space="preserve">IT Infrastructure improvements </w:t>
            </w:r>
          </w:p>
        </w:tc>
        <w:tc>
          <w:tcPr>
            <w:tcW w:w="1985" w:type="dxa"/>
          </w:tcPr>
          <w:p w:rsidR="003802D8" w:rsidRPr="003802D8" w:rsidRDefault="003802D8" w:rsidP="003802D8">
            <w:pPr>
              <w:spacing w:before="0" w:after="0"/>
              <w:rPr>
                <w:rFonts w:ascii="Arial" w:eastAsia="Calibri" w:hAnsi="Arial" w:cs="Arial"/>
              </w:rPr>
            </w:pPr>
            <w:r w:rsidRPr="003802D8">
              <w:rPr>
                <w:rFonts w:ascii="Arial" w:eastAsia="Calibri" w:hAnsi="Arial" w:cs="Arial"/>
              </w:rPr>
              <w:t>ICT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rPr>
              <w:t>Ensure policies and strategies are compliant with new code of practice, Well Maintained Highways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Roads &amp; Transportation Manager</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Maintenance of HRA housing rental income stream following full rollout of Universal Credit and other welfare reforms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Strategic Lead – Housing &amp; Employability</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This action is complete but requires to be monitored as this income stream will be impacted issues arising from COVID-19.</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cs="Arial"/>
              </w:rPr>
              <w:t>The delivery of a whole system approach to preventing homelessness including the provision of sustainable housing support solutions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hAnsi="Arial"/>
                <w:bCs/>
              </w:rPr>
              <w:t>Strategic Lead, Housing &amp; Employability</w:t>
            </w:r>
            <w:r w:rsidRPr="003802D8" w:rsidDel="005A19FE">
              <w:rPr>
                <w:rFonts w:ascii="Arial" w:eastAsiaTheme="minorHAnsi" w:hAnsi="Arial" w:cs="Arial"/>
                <w:bCs/>
              </w:rPr>
              <w:t xml:space="preserve"> </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Identify opportunities to maximise collaborative working to improve delivery of the roads service</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Shared Head of Service (Roads &amp; Transportation)</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rPr>
              <w:t>Best Value Assurance Plan – Capital Projects. Develop Action Plan following Audit Scotland recommendations.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Strategic Lead - Regeneration</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3802D8" w:rsidRPr="003802D8" w:rsidTr="00274F66">
        <w:tc>
          <w:tcPr>
            <w:tcW w:w="3544" w:type="dxa"/>
          </w:tcPr>
          <w:p w:rsidR="003802D8" w:rsidRPr="003802D8" w:rsidRDefault="003802D8" w:rsidP="003802D8">
            <w:pPr>
              <w:spacing w:before="0" w:after="0"/>
              <w:rPr>
                <w:rFonts w:ascii="Arial" w:hAnsi="Arial"/>
              </w:rPr>
            </w:pPr>
            <w:r w:rsidRPr="003802D8">
              <w:rPr>
                <w:rFonts w:ascii="Arial" w:hAnsi="Arial"/>
              </w:rPr>
              <w:t>Audit Fire Alarm Systems – Implement Action Plan</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Strategic Lead - Regeneration</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Complete</w:t>
            </w:r>
          </w:p>
        </w:tc>
      </w:tr>
      <w:tr w:rsidR="00C5259D" w:rsidRPr="003802D8" w:rsidTr="00274F66">
        <w:tc>
          <w:tcPr>
            <w:tcW w:w="3544" w:type="dxa"/>
          </w:tcPr>
          <w:p w:rsidR="00C5259D" w:rsidRPr="003802D8" w:rsidRDefault="00C5259D" w:rsidP="00EE0667">
            <w:pPr>
              <w:spacing w:before="0" w:after="0"/>
              <w:rPr>
                <w:rFonts w:ascii="Arial" w:eastAsiaTheme="minorHAnsi" w:hAnsi="Arial" w:cs="Arial"/>
              </w:rPr>
            </w:pPr>
            <w:r w:rsidRPr="003802D8">
              <w:rPr>
                <w:rFonts w:ascii="Arial" w:eastAsiaTheme="minorHAnsi" w:hAnsi="Arial" w:cs="Arial"/>
              </w:rPr>
              <w:t>Improve monitoring and review arrangements for the Pupil Equity Funding and Care Experienced Children’s Fund expenditure to seek to identify aggregate spend across the school estate for the same external provider and procure in an efficient and compliant manner</w:t>
            </w:r>
          </w:p>
        </w:tc>
        <w:tc>
          <w:tcPr>
            <w:tcW w:w="1985" w:type="dxa"/>
          </w:tcPr>
          <w:p w:rsidR="00C5259D" w:rsidRPr="003802D8" w:rsidRDefault="00C5259D" w:rsidP="00EE0667">
            <w:pPr>
              <w:spacing w:before="0" w:after="0"/>
              <w:rPr>
                <w:rFonts w:ascii="Arial" w:eastAsiaTheme="minorHAnsi" w:hAnsi="Arial" w:cs="Arial"/>
              </w:rPr>
            </w:pPr>
            <w:r w:rsidRPr="003802D8">
              <w:rPr>
                <w:rFonts w:ascii="Arial" w:eastAsiaTheme="minorHAnsi" w:hAnsi="Arial" w:cs="Arial"/>
              </w:rPr>
              <w:t>Strategic Lead – Education, Learning &amp; Attainment</w:t>
            </w:r>
          </w:p>
        </w:tc>
        <w:tc>
          <w:tcPr>
            <w:tcW w:w="3543" w:type="dxa"/>
          </w:tcPr>
          <w:p w:rsidR="00C5259D" w:rsidRPr="003802D8" w:rsidRDefault="00C5259D" w:rsidP="00EE0667">
            <w:pPr>
              <w:spacing w:before="0" w:after="0"/>
              <w:rPr>
                <w:rFonts w:ascii="Arial" w:eastAsiaTheme="minorHAnsi" w:hAnsi="Arial" w:cs="Arial"/>
              </w:rPr>
            </w:pPr>
            <w:r w:rsidRPr="003802D8">
              <w:rPr>
                <w:rFonts w:ascii="Arial" w:eastAsiaTheme="minorHAnsi" w:hAnsi="Arial" w:cs="Arial"/>
              </w:rPr>
              <w:t>Complete</w:t>
            </w:r>
          </w:p>
        </w:tc>
      </w:tr>
    </w:tbl>
    <w:p w:rsidR="003802D8" w:rsidRPr="003802D8" w:rsidRDefault="003802D8" w:rsidP="003802D8">
      <w:pPr>
        <w:spacing w:before="0" w:after="200" w:line="276" w:lineRule="auto"/>
        <w:rPr>
          <w:rFonts w:ascii="Arial" w:hAnsi="Arial" w:cs="Arial"/>
          <w:b/>
          <w:sz w:val="24"/>
          <w:szCs w:val="24"/>
        </w:rPr>
      </w:pPr>
      <w:r w:rsidRPr="003802D8">
        <w:br w:type="page"/>
      </w:r>
      <w:r w:rsidRPr="003802D8">
        <w:rPr>
          <w:rFonts w:ascii="Arial" w:hAnsi="Arial" w:cs="Arial"/>
          <w:b/>
          <w:sz w:val="24"/>
          <w:szCs w:val="24"/>
        </w:rPr>
        <w:lastRenderedPageBreak/>
        <w:t>Annual Governance Statement (Cont’d)</w:t>
      </w:r>
    </w:p>
    <w:p w:rsidR="003802D8" w:rsidRPr="003802D8" w:rsidRDefault="003802D8" w:rsidP="003802D8"/>
    <w:p w:rsidR="003802D8" w:rsidRPr="003802D8" w:rsidRDefault="003802D8" w:rsidP="003802D8">
      <w:pPr>
        <w:rPr>
          <w:rFonts w:ascii="Arial" w:hAnsi="Arial" w:cs="Arial"/>
          <w:b/>
        </w:rPr>
      </w:pPr>
      <w:r w:rsidRPr="003802D8">
        <w:rPr>
          <w:rFonts w:ascii="Arial" w:hAnsi="Arial" w:cs="Arial"/>
          <w:b/>
          <w:bCs/>
        </w:rPr>
        <w:t xml:space="preserve">Governance Issues and Planned Actions </w:t>
      </w:r>
      <w:r w:rsidRPr="003802D8">
        <w:rPr>
          <w:rFonts w:ascii="Arial" w:hAnsi="Arial" w:cs="Arial"/>
          <w:b/>
        </w:rPr>
        <w:t>(cont’d)</w:t>
      </w:r>
    </w:p>
    <w:p w:rsidR="003802D8" w:rsidRPr="003802D8" w:rsidRDefault="003802D8" w:rsidP="003802D8">
      <w:pPr>
        <w:rPr>
          <w:rFonts w:ascii="Arial" w:hAnsi="Arial" w:cs="Arial"/>
        </w:rPr>
      </w:pPr>
    </w:p>
    <w:tbl>
      <w:tblPr>
        <w:tblStyle w:val="TableGrid3"/>
        <w:tblW w:w="9072" w:type="dxa"/>
        <w:tblInd w:w="108" w:type="dxa"/>
        <w:tblLayout w:type="fixed"/>
        <w:tblLook w:val="04A0" w:firstRow="1" w:lastRow="0" w:firstColumn="1" w:lastColumn="0" w:noHBand="0" w:noVBand="1"/>
        <w:tblCaption w:val="governance statement"/>
        <w:tblDescription w:val="update on 2018/19 further improvement areas identified"/>
      </w:tblPr>
      <w:tblGrid>
        <w:gridCol w:w="3544"/>
        <w:gridCol w:w="1985"/>
        <w:gridCol w:w="3543"/>
      </w:tblGrid>
      <w:tr w:rsidR="003802D8" w:rsidRPr="003802D8" w:rsidTr="00274F66">
        <w:trPr>
          <w:trHeight w:val="298"/>
          <w:tblHeader/>
        </w:trPr>
        <w:tc>
          <w:tcPr>
            <w:tcW w:w="3544" w:type="dxa"/>
          </w:tcPr>
          <w:p w:rsidR="003802D8" w:rsidRPr="003802D8" w:rsidRDefault="003802D8" w:rsidP="003802D8">
            <w:pPr>
              <w:tabs>
                <w:tab w:val="right" w:pos="2864"/>
              </w:tabs>
              <w:spacing w:before="0" w:after="0"/>
              <w:rPr>
                <w:rFonts w:ascii="Arial" w:eastAsiaTheme="minorHAnsi" w:hAnsi="Arial" w:cs="Arial"/>
                <w:b/>
              </w:rPr>
            </w:pPr>
            <w:r w:rsidRPr="003802D8">
              <w:br w:type="page"/>
            </w:r>
            <w:r w:rsidRPr="003802D8">
              <w:rPr>
                <w:rFonts w:ascii="Arial" w:eastAsiaTheme="minorHAnsi" w:hAnsi="Arial" w:cs="Arial"/>
                <w:b/>
              </w:rPr>
              <w:t>Improvement Area identified by 2018/19 Exercise</w:t>
            </w:r>
          </w:p>
        </w:tc>
        <w:tc>
          <w:tcPr>
            <w:tcW w:w="1985"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Responsible Officer</w:t>
            </w:r>
          </w:p>
        </w:tc>
        <w:tc>
          <w:tcPr>
            <w:tcW w:w="3543" w:type="dxa"/>
          </w:tcPr>
          <w:p w:rsidR="003802D8" w:rsidRPr="003802D8" w:rsidRDefault="003802D8" w:rsidP="003802D8">
            <w:pPr>
              <w:spacing w:before="0" w:after="0"/>
              <w:rPr>
                <w:rFonts w:ascii="Arial" w:eastAsiaTheme="minorHAnsi" w:hAnsi="Arial" w:cs="Arial"/>
                <w:b/>
              </w:rPr>
            </w:pPr>
            <w:r w:rsidRPr="003802D8">
              <w:rPr>
                <w:rFonts w:ascii="Arial" w:eastAsiaTheme="minorHAnsi" w:hAnsi="Arial" w:cs="Arial"/>
                <w:b/>
              </w:rPr>
              <w:t>Status</w:t>
            </w:r>
          </w:p>
        </w:tc>
      </w:tr>
      <w:tr w:rsidR="003802D8" w:rsidRPr="003802D8" w:rsidTr="00C5259D">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Consolidation of Procurement and Commissioning arrangements ensuring compliance and efficiencies.</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West Dunbartonshire Health and Social Care Partnership (HSCP) – Heads of Service</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Ongoing - significant process has been made in 2019/20, however there are still a number of risk areas contained within the HSCP procurement pipeline priorities.</w:t>
            </w:r>
          </w:p>
          <w:p w:rsidR="003802D8" w:rsidRPr="003802D8" w:rsidRDefault="003802D8" w:rsidP="003802D8">
            <w:pPr>
              <w:spacing w:before="0" w:after="0"/>
              <w:rPr>
                <w:rFonts w:ascii="Arial" w:eastAsiaTheme="minorHAnsi" w:hAnsi="Arial" w:cs="Arial"/>
              </w:rPr>
            </w:pP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The HSCP SMT has agreed that Commissioning resource requires to be strengthened and a commissioning manager post will be advertised in 20/21.</w:t>
            </w:r>
          </w:p>
        </w:tc>
      </w:tr>
      <w:tr w:rsidR="003802D8" w:rsidRPr="003802D8" w:rsidTr="00C5259D">
        <w:tc>
          <w:tcPr>
            <w:tcW w:w="3544" w:type="dxa"/>
          </w:tcPr>
          <w:p w:rsidR="003802D8" w:rsidRPr="003802D8" w:rsidRDefault="003802D8" w:rsidP="003802D8">
            <w:pPr>
              <w:spacing w:before="0" w:after="0"/>
              <w:rPr>
                <w:rFonts w:ascii="Arial" w:hAnsi="Arial"/>
              </w:rPr>
            </w:pPr>
            <w:r w:rsidRPr="003802D8">
              <w:rPr>
                <w:rFonts w:ascii="Arial" w:hAnsi="Arial"/>
              </w:rPr>
              <w:t>Review of Learning Disability Service to improve on ways of working to ensure the service is fit for the future demands</w:t>
            </w:r>
          </w:p>
        </w:tc>
        <w:tc>
          <w:tcPr>
            <w:tcW w:w="1985" w:type="dxa"/>
          </w:tcPr>
          <w:p w:rsidR="003802D8" w:rsidRPr="003802D8" w:rsidRDefault="003802D8" w:rsidP="003802D8">
            <w:pPr>
              <w:spacing w:before="0" w:after="0"/>
              <w:rPr>
                <w:rFonts w:ascii="Arial" w:hAnsi="Arial"/>
                <w:bCs/>
              </w:rPr>
            </w:pPr>
            <w:r w:rsidRPr="003802D8">
              <w:rPr>
                <w:rFonts w:ascii="Arial" w:hAnsi="Arial"/>
                <w:bCs/>
              </w:rPr>
              <w:t>Head of Mental Health, Addictions &amp; Learning Disabilities</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hAnsi="Arial" w:cs="Arial"/>
              </w:rPr>
              <w:t>Ongoing - Service Improvement lead aligned to service prior to COVID period. Benchmarking against other LD services completed by Ops manager prior to COVID. Full review to be picked up as part of renewal and recovery work.</w:t>
            </w:r>
          </w:p>
        </w:tc>
      </w:tr>
      <w:tr w:rsidR="003802D8" w:rsidRPr="003802D8" w:rsidTr="00C5259D">
        <w:tc>
          <w:tcPr>
            <w:tcW w:w="3544"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Continue to develop plans in response to the ageing population </w:t>
            </w:r>
          </w:p>
        </w:tc>
        <w:tc>
          <w:tcPr>
            <w:tcW w:w="1985"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Head of Health and Community Care</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hAnsi="Arial" w:cs="Arial"/>
              </w:rPr>
              <w:t>Ongoing - we continue to develop and review services in response to the changing demographic. We have rolled out use of the Rockwood frailty tool across all primary and community settings. Our new Focussed Intervention Team has been designed to support people avoid hospital admission. In addition, we are focussing on rolling out ACPs to a much wider proportion of the population. Through Community Planning, the Independence Delivery Group focuses on shared work across agencies and with communities to support all people to remain as independent as possible.</w:t>
            </w:r>
          </w:p>
        </w:tc>
      </w:tr>
      <w:tr w:rsidR="003802D8" w:rsidRPr="003802D8" w:rsidTr="00C5259D">
        <w:tc>
          <w:tcPr>
            <w:tcW w:w="3544" w:type="dxa"/>
          </w:tcPr>
          <w:p w:rsidR="003802D8" w:rsidRPr="003802D8" w:rsidRDefault="003802D8" w:rsidP="003802D8">
            <w:pPr>
              <w:spacing w:before="0" w:after="0"/>
              <w:rPr>
                <w:rFonts w:ascii="Arial" w:eastAsiaTheme="minorHAnsi" w:hAnsi="Arial" w:cs="Arial"/>
              </w:rPr>
            </w:pPr>
            <w:r w:rsidRPr="003802D8">
              <w:rPr>
                <w:rFonts w:ascii="Arial" w:hAnsi="Arial"/>
              </w:rPr>
              <w:t>Improved case recording and assessment for children and families who receive statutory social work services.</w:t>
            </w:r>
          </w:p>
        </w:tc>
        <w:tc>
          <w:tcPr>
            <w:tcW w:w="1985" w:type="dxa"/>
          </w:tcPr>
          <w:p w:rsidR="003802D8" w:rsidRPr="003802D8" w:rsidRDefault="003802D8" w:rsidP="003802D8">
            <w:pPr>
              <w:spacing w:before="0" w:after="0"/>
              <w:rPr>
                <w:rFonts w:ascii="Arial" w:eastAsiaTheme="minorHAnsi" w:hAnsi="Arial" w:cs="Arial"/>
                <w:bCs/>
              </w:rPr>
            </w:pPr>
            <w:r w:rsidRPr="003802D8">
              <w:rPr>
                <w:rFonts w:ascii="Arial" w:hAnsi="Arial"/>
                <w:bCs/>
              </w:rPr>
              <w:t>Head of Children’s Health Care and Criminal Justice</w:t>
            </w:r>
          </w:p>
        </w:tc>
        <w:tc>
          <w:tcPr>
            <w:tcW w:w="3543" w:type="dxa"/>
          </w:tcPr>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Ongoing - work to improve case recording is continuing – most recent updates include changes to capture activity for the Scottish Government National Covid-19 dataset.</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 </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Review of Care First case recording system by Information Team to be scheduled following lockdown.</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 </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Improvement activity around assessments and reports is supported by monthly meetings with the Area Locality Reporter (SCRA).  </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 xml:space="preserve"> </w:t>
            </w:r>
          </w:p>
          <w:p w:rsidR="003802D8" w:rsidRPr="003802D8" w:rsidRDefault="003802D8" w:rsidP="003802D8">
            <w:pPr>
              <w:spacing w:before="0" w:after="0"/>
              <w:rPr>
                <w:rFonts w:ascii="Arial" w:eastAsiaTheme="minorHAnsi" w:hAnsi="Arial" w:cs="Arial"/>
              </w:rPr>
            </w:pPr>
            <w:r w:rsidRPr="003802D8">
              <w:rPr>
                <w:rFonts w:ascii="Arial" w:eastAsiaTheme="minorHAnsi" w:hAnsi="Arial" w:cs="Arial"/>
              </w:rPr>
              <w:t>Case sampling for children on the child protection register will report to the Child Protection Committee after June 2020.</w:t>
            </w:r>
          </w:p>
        </w:tc>
      </w:tr>
    </w:tbl>
    <w:p w:rsidR="00C5259D" w:rsidRPr="003802D8" w:rsidRDefault="00C5259D" w:rsidP="00C5259D">
      <w:pPr>
        <w:spacing w:before="0" w:after="200" w:line="276" w:lineRule="auto"/>
        <w:rPr>
          <w:rFonts w:ascii="Arial" w:hAnsi="Arial" w:cs="Arial"/>
          <w:b/>
          <w:sz w:val="24"/>
          <w:szCs w:val="24"/>
        </w:rPr>
      </w:pPr>
      <w:r w:rsidRPr="003802D8">
        <w:rPr>
          <w:rFonts w:ascii="Arial" w:hAnsi="Arial" w:cs="Arial"/>
          <w:b/>
          <w:sz w:val="24"/>
          <w:szCs w:val="24"/>
        </w:rPr>
        <w:lastRenderedPageBreak/>
        <w:t>Annual Governance Statement (Cont’d)</w:t>
      </w:r>
    </w:p>
    <w:p w:rsidR="00C5259D" w:rsidRPr="003802D8" w:rsidRDefault="00C5259D" w:rsidP="00C5259D"/>
    <w:p w:rsidR="00C5259D" w:rsidRPr="003802D8" w:rsidRDefault="00C5259D" w:rsidP="00C5259D">
      <w:pPr>
        <w:rPr>
          <w:rFonts w:ascii="Arial" w:hAnsi="Arial" w:cs="Arial"/>
          <w:b/>
        </w:rPr>
      </w:pPr>
      <w:r w:rsidRPr="003802D8">
        <w:rPr>
          <w:rFonts w:ascii="Arial" w:hAnsi="Arial" w:cs="Arial"/>
          <w:b/>
          <w:bCs/>
        </w:rPr>
        <w:t xml:space="preserve">Governance Issues and Planned Actions </w:t>
      </w:r>
      <w:r w:rsidRPr="003802D8">
        <w:rPr>
          <w:rFonts w:ascii="Arial" w:hAnsi="Arial" w:cs="Arial"/>
          <w:b/>
        </w:rPr>
        <w:t>(cont’d)</w:t>
      </w:r>
    </w:p>
    <w:p w:rsidR="00C5259D" w:rsidRDefault="00C5259D" w:rsidP="003802D8">
      <w:pPr>
        <w:rPr>
          <w:rFonts w:ascii="Arial" w:hAnsi="Arial" w:cs="Arial"/>
          <w:b/>
        </w:rPr>
      </w:pPr>
    </w:p>
    <w:tbl>
      <w:tblPr>
        <w:tblStyle w:val="TableGrid3"/>
        <w:tblW w:w="9072" w:type="dxa"/>
        <w:tblInd w:w="108" w:type="dxa"/>
        <w:tblLayout w:type="fixed"/>
        <w:tblLook w:val="04A0" w:firstRow="1" w:lastRow="0" w:firstColumn="1" w:lastColumn="0" w:noHBand="0" w:noVBand="1"/>
        <w:tblCaption w:val="governance statement"/>
        <w:tblDescription w:val="update on 2018/19 improvement areas"/>
      </w:tblPr>
      <w:tblGrid>
        <w:gridCol w:w="3544"/>
        <w:gridCol w:w="1985"/>
        <w:gridCol w:w="3543"/>
      </w:tblGrid>
      <w:tr w:rsidR="00C5259D" w:rsidRPr="003802D8" w:rsidTr="00274F66">
        <w:trPr>
          <w:trHeight w:val="298"/>
          <w:tblHeader/>
        </w:trPr>
        <w:tc>
          <w:tcPr>
            <w:tcW w:w="3544" w:type="dxa"/>
          </w:tcPr>
          <w:p w:rsidR="00C5259D" w:rsidRPr="003802D8" w:rsidRDefault="00C5259D" w:rsidP="00EE0667">
            <w:pPr>
              <w:tabs>
                <w:tab w:val="right" w:pos="2864"/>
              </w:tabs>
              <w:spacing w:before="0" w:after="0"/>
              <w:rPr>
                <w:rFonts w:ascii="Arial" w:eastAsiaTheme="minorHAnsi" w:hAnsi="Arial" w:cs="Arial"/>
                <w:b/>
              </w:rPr>
            </w:pPr>
            <w:r w:rsidRPr="003802D8">
              <w:br w:type="page"/>
            </w:r>
            <w:r w:rsidRPr="003802D8">
              <w:rPr>
                <w:rFonts w:ascii="Arial" w:eastAsiaTheme="minorHAnsi" w:hAnsi="Arial" w:cs="Arial"/>
                <w:b/>
              </w:rPr>
              <w:t>Improvement Area identified by 2018/19 Exercise</w:t>
            </w:r>
          </w:p>
        </w:tc>
        <w:tc>
          <w:tcPr>
            <w:tcW w:w="1985" w:type="dxa"/>
          </w:tcPr>
          <w:p w:rsidR="00C5259D" w:rsidRPr="003802D8" w:rsidRDefault="00C5259D" w:rsidP="00EE0667">
            <w:pPr>
              <w:spacing w:before="0" w:after="0"/>
              <w:rPr>
                <w:rFonts w:ascii="Arial" w:eastAsiaTheme="minorHAnsi" w:hAnsi="Arial" w:cs="Arial"/>
                <w:b/>
              </w:rPr>
            </w:pPr>
            <w:r w:rsidRPr="003802D8">
              <w:rPr>
                <w:rFonts w:ascii="Arial" w:eastAsiaTheme="minorHAnsi" w:hAnsi="Arial" w:cs="Arial"/>
                <w:b/>
              </w:rPr>
              <w:t>Responsible Officer</w:t>
            </w:r>
          </w:p>
        </w:tc>
        <w:tc>
          <w:tcPr>
            <w:tcW w:w="3543" w:type="dxa"/>
          </w:tcPr>
          <w:p w:rsidR="00C5259D" w:rsidRPr="003802D8" w:rsidRDefault="00C5259D" w:rsidP="00EE0667">
            <w:pPr>
              <w:spacing w:before="0" w:after="0"/>
              <w:rPr>
                <w:rFonts w:ascii="Arial" w:eastAsiaTheme="minorHAnsi" w:hAnsi="Arial" w:cs="Arial"/>
                <w:b/>
              </w:rPr>
            </w:pPr>
            <w:r w:rsidRPr="003802D8">
              <w:rPr>
                <w:rFonts w:ascii="Arial" w:eastAsiaTheme="minorHAnsi" w:hAnsi="Arial" w:cs="Arial"/>
                <w:b/>
              </w:rPr>
              <w:t>Status</w:t>
            </w:r>
          </w:p>
        </w:tc>
      </w:tr>
      <w:tr w:rsidR="00C5259D" w:rsidRPr="003802D8" w:rsidTr="00EE0667">
        <w:tc>
          <w:tcPr>
            <w:tcW w:w="3544" w:type="dxa"/>
          </w:tcPr>
          <w:p w:rsidR="00C5259D" w:rsidRPr="003802D8" w:rsidRDefault="00C5259D" w:rsidP="00EE0667">
            <w:pPr>
              <w:spacing w:before="0" w:after="0"/>
              <w:rPr>
                <w:rFonts w:ascii="Arial" w:eastAsiaTheme="minorHAnsi" w:hAnsi="Arial" w:cs="Arial"/>
              </w:rPr>
            </w:pPr>
            <w:r w:rsidRPr="003802D8">
              <w:br w:type="page"/>
            </w:r>
            <w:r w:rsidRPr="003802D8">
              <w:rPr>
                <w:rFonts w:ascii="Arial" w:hAnsi="Arial"/>
              </w:rPr>
              <w:t>Further efforts to reduce absence, supporting both staff wellbeing and containing costs</w:t>
            </w:r>
          </w:p>
        </w:tc>
        <w:tc>
          <w:tcPr>
            <w:tcW w:w="1985" w:type="dxa"/>
          </w:tcPr>
          <w:p w:rsidR="00C5259D" w:rsidRPr="003802D8" w:rsidRDefault="00C5259D" w:rsidP="00EE0667">
            <w:pPr>
              <w:spacing w:before="0" w:after="0"/>
              <w:rPr>
                <w:rFonts w:ascii="Arial" w:eastAsiaTheme="minorHAnsi" w:hAnsi="Arial" w:cs="Arial"/>
              </w:rPr>
            </w:pPr>
            <w:r w:rsidRPr="003802D8">
              <w:rPr>
                <w:rFonts w:ascii="Arial" w:hAnsi="Arial"/>
                <w:bCs/>
              </w:rPr>
              <w:t>Chief Officer - HSCP</w:t>
            </w:r>
          </w:p>
        </w:tc>
        <w:tc>
          <w:tcPr>
            <w:tcW w:w="3543" w:type="dxa"/>
          </w:tcPr>
          <w:p w:rsidR="00C5259D" w:rsidRPr="003802D8" w:rsidRDefault="00C5259D" w:rsidP="00EE0667">
            <w:pPr>
              <w:spacing w:before="0" w:after="0"/>
              <w:rPr>
                <w:rFonts w:ascii="Arial" w:eastAsiaTheme="minorHAnsi" w:hAnsi="Arial" w:cs="Arial"/>
              </w:rPr>
            </w:pPr>
            <w:r w:rsidRPr="003802D8">
              <w:rPr>
                <w:rFonts w:ascii="Arial" w:eastAsiaTheme="minorHAnsi" w:hAnsi="Arial" w:cs="Arial"/>
              </w:rPr>
              <w:t>Ongoing - analysis of absence data shows a downward trend from the start of this performance year.  New Supporting Employee Wellbeing Policy for WDC launched last year, with master classes rolled out.</w:t>
            </w:r>
          </w:p>
        </w:tc>
      </w:tr>
    </w:tbl>
    <w:p w:rsidR="00C5259D" w:rsidRPr="003802D8" w:rsidRDefault="00C5259D" w:rsidP="003802D8">
      <w:pPr>
        <w:rPr>
          <w:rFonts w:ascii="Arial" w:hAnsi="Arial" w:cs="Arial"/>
          <w:b/>
        </w:rPr>
      </w:pPr>
    </w:p>
    <w:p w:rsidR="003802D8" w:rsidRPr="003802D8" w:rsidRDefault="003802D8" w:rsidP="003802D8">
      <w:pPr>
        <w:rPr>
          <w:rFonts w:ascii="Arial" w:hAnsi="Arial" w:cs="Arial"/>
        </w:rPr>
      </w:pPr>
      <w:r w:rsidRPr="003802D8">
        <w:rPr>
          <w:rFonts w:ascii="Arial" w:hAnsi="Arial" w:cs="Arial"/>
        </w:rPr>
        <w:t>The council continues to recognise the need to exercise strong management arrangements to manage financial pressures common to all local authorities and the Chief Financial Officer will continue to provide regular updates to council on this subject, including a revised long-term finance strategy.</w:t>
      </w:r>
    </w:p>
    <w:p w:rsidR="003802D8" w:rsidRPr="003802D8" w:rsidRDefault="003802D8" w:rsidP="003802D8">
      <w:pPr>
        <w:rPr>
          <w:rFonts w:ascii="Arial" w:hAnsi="Arial" w:cs="Arial"/>
        </w:rPr>
      </w:pPr>
    </w:p>
    <w:p w:rsidR="003802D8" w:rsidRDefault="003802D8" w:rsidP="003802D8">
      <w:pPr>
        <w:rPr>
          <w:rFonts w:ascii="Arial" w:hAnsi="Arial" w:cs="Arial"/>
        </w:rPr>
      </w:pPr>
      <w:r w:rsidRPr="003802D8">
        <w:rPr>
          <w:rFonts w:ascii="Arial" w:hAnsi="Arial" w:cs="Arial"/>
        </w:rPr>
        <w:t xml:space="preserve">As highlighted in the 2018/2019 Annual Governance Statement, in relation to procurement, an Internal Audit report provided to Audit Committee in December 2018 highlighted weaknesses in the Council’s procurement arrangements within Roads and Greenspace in that a number of procurement processes had been completed without following the Council’s Financial Regulations. This was confirmed by an Audit Scotland review which also identified weaknesses in the controls in place to monitor revenue spend consistently against contracts across all services, and for identifying and managing potential conflicts of interest relating to staff involved in procurement activity. Improvement plans from both audits were agreed by management which aim to increase compliance and management processes. </w:t>
      </w:r>
    </w:p>
    <w:p w:rsidR="00C5259D" w:rsidRPr="003802D8" w:rsidRDefault="00C5259D" w:rsidP="003802D8">
      <w:pPr>
        <w:rPr>
          <w:rFonts w:ascii="Arial" w:hAnsi="Arial" w:cs="Arial"/>
          <w:b/>
        </w:rPr>
      </w:pPr>
    </w:p>
    <w:p w:rsidR="003802D8" w:rsidRPr="003802D8" w:rsidRDefault="003802D8" w:rsidP="003802D8">
      <w:pPr>
        <w:rPr>
          <w:rFonts w:ascii="Arial" w:hAnsi="Arial" w:cs="Arial"/>
        </w:rPr>
      </w:pPr>
      <w:r w:rsidRPr="003802D8">
        <w:rPr>
          <w:rFonts w:ascii="Arial" w:hAnsi="Arial" w:cs="Arial"/>
        </w:rPr>
        <w:t xml:space="preserve">As part of the planned Internal Audit Plan for 2019/20 a follow-up audit on the agreed action plans from the above audit and previous audits where procurement was identified as an area for improvement has now been undertaken and found that in general audit actions have been implemented by management though within Roads and Greenspace while there have been </w:t>
      </w:r>
    </w:p>
    <w:p w:rsidR="003802D8" w:rsidRPr="003802D8" w:rsidRDefault="003802D8" w:rsidP="003802D8">
      <w:pPr>
        <w:rPr>
          <w:rFonts w:ascii="Arial" w:hAnsi="Arial" w:cs="Arial"/>
        </w:rPr>
      </w:pPr>
      <w:r w:rsidRPr="003802D8">
        <w:rPr>
          <w:rFonts w:ascii="Arial" w:hAnsi="Arial" w:cs="Arial"/>
        </w:rPr>
        <w:t>improvements in practice, there are a number of further improvements required. The follow-up Internal Audit report produced a number of further recommendations.  These recommendations have also been followed up and all actions have been completed.</w:t>
      </w:r>
    </w:p>
    <w:p w:rsidR="003802D8" w:rsidRPr="003802D8" w:rsidRDefault="003802D8" w:rsidP="003802D8">
      <w:pPr>
        <w:rPr>
          <w:rFonts w:ascii="Arial" w:hAnsi="Arial" w:cs="Arial"/>
        </w:rPr>
      </w:pPr>
    </w:p>
    <w:p w:rsidR="003802D8" w:rsidRPr="003802D8" w:rsidRDefault="003802D8" w:rsidP="003802D8">
      <w:pPr>
        <w:autoSpaceDE w:val="0"/>
        <w:autoSpaceDN w:val="0"/>
        <w:adjustRightInd w:val="0"/>
        <w:spacing w:before="0" w:after="0"/>
        <w:rPr>
          <w:rFonts w:ascii="Arial" w:eastAsiaTheme="minorHAnsi" w:hAnsi="Arial" w:cs="Arial"/>
        </w:rPr>
      </w:pPr>
      <w:r w:rsidRPr="003802D8">
        <w:rPr>
          <w:rFonts w:ascii="Arial" w:eastAsiaTheme="minorHAnsi" w:hAnsi="Arial" w:cs="Arial"/>
        </w:rPr>
        <w:t>For financial year 2019/20, the value (percentage) of compliant regulated procurement was £138,854,810 (91.2%). This compares to the 2018/19 value (percentage) of £104,468,990 (79.7%) of compliant regulated procurement.  For 2020/21 a compliance rate of 100% has been set.</w:t>
      </w:r>
    </w:p>
    <w:p w:rsidR="003802D8" w:rsidRPr="003802D8" w:rsidRDefault="003802D8" w:rsidP="003802D8">
      <w:pPr>
        <w:autoSpaceDE w:val="0"/>
        <w:autoSpaceDN w:val="0"/>
        <w:adjustRightInd w:val="0"/>
        <w:spacing w:before="0" w:after="0"/>
        <w:rPr>
          <w:rFonts w:ascii="Arial" w:eastAsiaTheme="minorHAnsi" w:hAnsi="Arial" w:cs="Arial"/>
        </w:rPr>
      </w:pPr>
    </w:p>
    <w:p w:rsidR="003802D8" w:rsidRPr="003802D8" w:rsidRDefault="003802D8" w:rsidP="003802D8">
      <w:pPr>
        <w:autoSpaceDE w:val="0"/>
        <w:autoSpaceDN w:val="0"/>
        <w:adjustRightInd w:val="0"/>
        <w:spacing w:before="0" w:after="0"/>
        <w:rPr>
          <w:rFonts w:ascii="Arial" w:eastAsiaTheme="minorHAnsi" w:hAnsi="Arial" w:cs="Arial"/>
        </w:rPr>
      </w:pPr>
      <w:r w:rsidRPr="003802D8">
        <w:rPr>
          <w:rFonts w:ascii="Arial" w:eastAsiaTheme="minorHAnsi" w:hAnsi="Arial" w:cs="Arial"/>
        </w:rPr>
        <w:t>The Procurement Annual Report for 2019/20 was presented to the Corporate Services Committee on 11 November 2020.</w:t>
      </w:r>
    </w:p>
    <w:p w:rsidR="003802D8" w:rsidRPr="003802D8" w:rsidRDefault="003802D8" w:rsidP="003802D8">
      <w:pPr>
        <w:spacing w:after="0"/>
        <w:rPr>
          <w:rFonts w:ascii="Arial" w:hAnsi="Arial" w:cs="Arial"/>
          <w:b/>
        </w:rPr>
      </w:pPr>
    </w:p>
    <w:p w:rsidR="003802D8" w:rsidRPr="003802D8" w:rsidRDefault="003802D8" w:rsidP="003802D8">
      <w:pPr>
        <w:spacing w:after="0"/>
        <w:rPr>
          <w:rFonts w:ascii="Arial" w:hAnsi="Arial" w:cs="Arial"/>
          <w:b/>
        </w:rPr>
      </w:pPr>
      <w:r w:rsidRPr="003802D8">
        <w:rPr>
          <w:rFonts w:ascii="Arial" w:hAnsi="Arial" w:cs="Arial"/>
          <w:b/>
        </w:rPr>
        <w:t>Best Value Assurance Report</w:t>
      </w:r>
    </w:p>
    <w:p w:rsidR="003802D8" w:rsidRPr="003802D8" w:rsidRDefault="003802D8" w:rsidP="003802D8">
      <w:pPr>
        <w:spacing w:after="0"/>
        <w:contextualSpacing/>
        <w:rPr>
          <w:rFonts w:ascii="Arial" w:hAnsi="Arial" w:cs="Arial"/>
        </w:rPr>
      </w:pPr>
      <w:r w:rsidRPr="003802D8">
        <w:rPr>
          <w:rFonts w:ascii="Arial" w:hAnsi="Arial" w:cs="Arial"/>
        </w:rPr>
        <w:t xml:space="preserve">Audit Scotland reported a Best Value Assurance Report on West Dunbartonshire Council to the Accounts Commission on 28 June 2018 which contained five recommendations, all of which are now complete.  </w:t>
      </w:r>
    </w:p>
    <w:p w:rsidR="003802D8" w:rsidRPr="003802D8" w:rsidRDefault="003802D8" w:rsidP="003802D8">
      <w:pPr>
        <w:rPr>
          <w:rFonts w:ascii="Arial" w:hAnsi="Arial" w:cs="Arial"/>
          <w:b/>
        </w:rPr>
      </w:pPr>
    </w:p>
    <w:p w:rsidR="003802D8" w:rsidRPr="003802D8" w:rsidRDefault="003802D8" w:rsidP="003802D8">
      <w:pPr>
        <w:spacing w:before="0" w:after="0"/>
        <w:rPr>
          <w:rFonts w:ascii="Arial" w:hAnsi="Arial" w:cs="Arial"/>
          <w:b/>
        </w:rPr>
      </w:pPr>
      <w:r w:rsidRPr="003802D8">
        <w:rPr>
          <w:rFonts w:ascii="Arial" w:hAnsi="Arial" w:cs="Arial"/>
          <w:b/>
        </w:rPr>
        <w:t>Health and Social Care Integration</w:t>
      </w:r>
    </w:p>
    <w:p w:rsidR="003802D8" w:rsidRPr="003802D8" w:rsidRDefault="003802D8" w:rsidP="003802D8">
      <w:pPr>
        <w:spacing w:before="0" w:after="0"/>
        <w:rPr>
          <w:rFonts w:ascii="Arial" w:hAnsi="Arial" w:cs="Arial"/>
        </w:rPr>
      </w:pPr>
      <w:r w:rsidRPr="003802D8">
        <w:rPr>
          <w:rFonts w:ascii="Arial" w:hAnsi="Arial" w:cs="Arial"/>
        </w:rPr>
        <w:t xml:space="preserve">The council, as the funder of the Social Care services within the West Dunbartonshire Health and Social Care Partnership (HSCP) has an interest in the governance arrangements within the HSCP. Internal Audit arrangements for the HSCP is provided jointly by the council’s Internal Audit service and the Health Board’s Internal Audit Service, with the council’s Internal Audit service providing audit arrangements for social care services and the general oversight of the HSCP’s governance arrangements. </w:t>
      </w:r>
    </w:p>
    <w:p w:rsidR="003802D8" w:rsidRPr="003802D8" w:rsidRDefault="003802D8" w:rsidP="003802D8">
      <w:pPr>
        <w:spacing w:before="0" w:after="0"/>
        <w:rPr>
          <w:rFonts w:ascii="Arial" w:hAnsi="Arial" w:cs="Arial"/>
        </w:rPr>
      </w:pPr>
    </w:p>
    <w:p w:rsidR="003802D8" w:rsidRPr="003802D8" w:rsidRDefault="003802D8" w:rsidP="003802D8">
      <w:pPr>
        <w:rPr>
          <w:rFonts w:ascii="Arial" w:hAnsi="Arial" w:cs="Arial"/>
        </w:rPr>
      </w:pPr>
      <w:r w:rsidRPr="003802D8">
        <w:rPr>
          <w:rFonts w:ascii="Arial" w:hAnsi="Arial" w:cs="Arial"/>
        </w:rPr>
        <w:t xml:space="preserve">The HSCP has arrangements in place to review its own ongoing compliance with the revised Code of Governance. Due to the council’s role as social care service provider Internal Audit’s process outcomes on such services are reported to the council’s Audit Committee as well as that of the HSCP. The Chief Social Worker provides council with an annual report on the performance of the HSCP. </w:t>
      </w:r>
    </w:p>
    <w:p w:rsidR="00C5259D" w:rsidRDefault="00C5259D" w:rsidP="00C5259D">
      <w:pPr>
        <w:spacing w:before="0" w:after="200" w:line="276" w:lineRule="auto"/>
        <w:rPr>
          <w:rFonts w:ascii="Arial" w:hAnsi="Arial" w:cs="Arial"/>
          <w:b/>
          <w:sz w:val="24"/>
          <w:szCs w:val="24"/>
        </w:rPr>
      </w:pPr>
      <w:r w:rsidRPr="003802D8">
        <w:rPr>
          <w:rFonts w:ascii="Arial" w:hAnsi="Arial" w:cs="Arial"/>
          <w:b/>
          <w:sz w:val="24"/>
          <w:szCs w:val="24"/>
        </w:rPr>
        <w:lastRenderedPageBreak/>
        <w:t>Annual Governance Statement (Cont’d)</w:t>
      </w:r>
    </w:p>
    <w:p w:rsidR="00C5259D" w:rsidRPr="003802D8" w:rsidRDefault="00C5259D" w:rsidP="00C5259D">
      <w:pPr>
        <w:spacing w:before="0" w:after="0"/>
        <w:rPr>
          <w:rFonts w:ascii="Arial" w:hAnsi="Arial" w:cs="Arial"/>
          <w:b/>
          <w:sz w:val="24"/>
          <w:szCs w:val="24"/>
        </w:rPr>
      </w:pPr>
      <w:r w:rsidRPr="003802D8">
        <w:rPr>
          <w:rFonts w:ascii="Arial" w:hAnsi="Arial" w:cs="Arial"/>
          <w:b/>
        </w:rPr>
        <w:t>Health and Social Care Integration</w:t>
      </w:r>
      <w:r>
        <w:rPr>
          <w:rFonts w:ascii="Arial" w:hAnsi="Arial" w:cs="Arial"/>
          <w:b/>
        </w:rPr>
        <w:t xml:space="preserve"> (cont’d)</w:t>
      </w:r>
    </w:p>
    <w:p w:rsidR="003802D8" w:rsidRPr="003802D8" w:rsidRDefault="003802D8" w:rsidP="003802D8">
      <w:pPr>
        <w:spacing w:before="0" w:after="0"/>
        <w:contextualSpacing/>
        <w:rPr>
          <w:rFonts w:ascii="Arial" w:hAnsi="Arial" w:cs="Arial"/>
        </w:rPr>
      </w:pPr>
    </w:p>
    <w:p w:rsidR="003802D8" w:rsidRPr="003802D8" w:rsidRDefault="003802D8" w:rsidP="003802D8">
      <w:pPr>
        <w:spacing w:before="0" w:after="0"/>
        <w:contextualSpacing/>
        <w:rPr>
          <w:rFonts w:ascii="Arial" w:hAnsi="Arial" w:cs="Arial"/>
          <w:b/>
          <w:sz w:val="24"/>
          <w:szCs w:val="24"/>
        </w:rPr>
      </w:pPr>
      <w:r w:rsidRPr="003802D8">
        <w:rPr>
          <w:rFonts w:ascii="Arial" w:hAnsi="Arial" w:cs="Arial"/>
        </w:rPr>
        <w:t>The financial arrangements for the council’s funding to the HSCP are aligned and budget processes run parallel to ensure that appropriate budgets for the HSCP are aligned with council policy and budgeting approaches, particularly in relation to ensuring any efficiency targets for the HSCP funding from the council are planned for and appropriate efficiencies are approved by the HSCP. On an ongoing basis council continues to receive budgetary control information in relation to HSCP services funded by the council.</w:t>
      </w:r>
    </w:p>
    <w:p w:rsidR="003802D8" w:rsidRPr="003802D8" w:rsidRDefault="003802D8" w:rsidP="003802D8">
      <w:pPr>
        <w:rPr>
          <w:rFonts w:ascii="Arial" w:hAnsi="Arial" w:cs="Arial"/>
          <w:u w:val="single"/>
        </w:rPr>
      </w:pPr>
    </w:p>
    <w:p w:rsidR="003802D8" w:rsidRPr="003802D8" w:rsidRDefault="003802D8" w:rsidP="003802D8">
      <w:pPr>
        <w:rPr>
          <w:rFonts w:ascii="Arial" w:hAnsi="Arial" w:cs="Arial"/>
          <w:b/>
          <w:bCs/>
        </w:rPr>
      </w:pPr>
      <w:r w:rsidRPr="003802D8">
        <w:rPr>
          <w:rFonts w:ascii="Arial" w:hAnsi="Arial" w:cs="Arial"/>
          <w:b/>
          <w:bCs/>
        </w:rPr>
        <w:t>Compliance with Best Practice</w:t>
      </w:r>
    </w:p>
    <w:p w:rsidR="003802D8" w:rsidRPr="003802D8" w:rsidRDefault="003802D8" w:rsidP="003802D8">
      <w:pPr>
        <w:rPr>
          <w:rFonts w:ascii="Arial" w:hAnsi="Arial" w:cs="Arial"/>
          <w:u w:val="single"/>
        </w:rPr>
      </w:pPr>
      <w:r w:rsidRPr="003802D8">
        <w:rPr>
          <w:rFonts w:ascii="Arial" w:hAnsi="Arial" w:cs="Arial"/>
          <w:u w:val="single"/>
        </w:rPr>
        <w:t>Statement on the role of the Chief Financial Officer in local government</w:t>
      </w:r>
    </w:p>
    <w:p w:rsidR="003802D8" w:rsidRPr="003802D8" w:rsidRDefault="003802D8" w:rsidP="003802D8">
      <w:pPr>
        <w:rPr>
          <w:rFonts w:ascii="Arial" w:hAnsi="Arial" w:cs="Arial"/>
        </w:rPr>
      </w:pPr>
      <w:r w:rsidRPr="003802D8">
        <w:rPr>
          <w:rFonts w:ascii="Arial" w:eastAsiaTheme="minorHAnsi" w:hAnsi="Arial" w:cs="Arial"/>
        </w:rPr>
        <w:t xml:space="preserve">The council complies with the requirements of the CIPFA Statement on </w:t>
      </w:r>
      <w:r w:rsidRPr="003802D8">
        <w:rPr>
          <w:rFonts w:ascii="Arial" w:eastAsiaTheme="minorHAnsi" w:hAnsi="Arial" w:cs="Arial"/>
          <w:i/>
          <w:iCs/>
        </w:rPr>
        <w:t xml:space="preserve">“The Role of the Chief Financial Officer in Local Government 2010”. </w:t>
      </w:r>
      <w:r w:rsidRPr="003802D8">
        <w:rPr>
          <w:rFonts w:ascii="Arial" w:eastAsiaTheme="minorHAnsi" w:hAnsi="Arial" w:cs="Arial"/>
        </w:rPr>
        <w:t>The council’s Chief Financial Officer (Section 95 Officer) has overall responsibility for the council’s financial arrangements, and is professionally qualified and suitably experienced to lead the council’s finance function and to direct finance staff.</w:t>
      </w:r>
      <w:r w:rsidRPr="003802D8">
        <w:rPr>
          <w:rFonts w:ascii="Arial" w:hAnsi="Arial" w:cs="Arial"/>
        </w:rPr>
        <w:t xml:space="preserve"> </w:t>
      </w:r>
    </w:p>
    <w:p w:rsidR="003802D8" w:rsidRPr="003802D8" w:rsidRDefault="003802D8" w:rsidP="003802D8">
      <w:pPr>
        <w:rPr>
          <w:rFonts w:ascii="Arial" w:eastAsiaTheme="minorHAnsi" w:hAnsi="Arial" w:cs="Arial"/>
          <w:u w:val="single"/>
        </w:rPr>
      </w:pPr>
    </w:p>
    <w:p w:rsidR="003802D8" w:rsidRPr="003802D8" w:rsidRDefault="003802D8" w:rsidP="003802D8">
      <w:pPr>
        <w:rPr>
          <w:rFonts w:ascii="Arial" w:hAnsi="Arial" w:cs="Arial"/>
          <w:u w:val="single"/>
        </w:rPr>
      </w:pPr>
      <w:r w:rsidRPr="003802D8">
        <w:rPr>
          <w:rFonts w:ascii="Arial" w:eastAsiaTheme="minorHAnsi" w:hAnsi="Arial" w:cs="Arial"/>
          <w:u w:val="single"/>
        </w:rPr>
        <w:t>Statement on the role of the Head of Internal Audit in Public Service Organisations</w:t>
      </w:r>
    </w:p>
    <w:p w:rsidR="003802D8" w:rsidRPr="003802D8" w:rsidRDefault="003802D8" w:rsidP="003802D8">
      <w:pPr>
        <w:rPr>
          <w:rFonts w:ascii="Arial" w:hAnsi="Arial" w:cs="Arial"/>
        </w:rPr>
      </w:pPr>
      <w:r w:rsidRPr="003802D8">
        <w:rPr>
          <w:rFonts w:ascii="Arial" w:eastAsiaTheme="minorHAnsi" w:hAnsi="Arial" w:cs="Arial"/>
        </w:rPr>
        <w:t xml:space="preserve">The council complies with the requirements of the CIPFA Statement on “The Role of the Head of Internal Audit in Public Service Organisations 2019”. The council’s Chief Internal Auditor has responsibility for the council’s Internal Audit function and is professionally qualified and suitably experienced to lead and direct the council’s Internal Audit staff. The Internal Audit service generally </w:t>
      </w:r>
      <w:r w:rsidRPr="003802D8">
        <w:rPr>
          <w:rFonts w:ascii="Arial" w:hAnsi="Arial" w:cs="Arial"/>
        </w:rPr>
        <w:t>operates in accordance with the CIPFA “Public Sector Internal Audit Standards 2017”.</w:t>
      </w:r>
    </w:p>
    <w:p w:rsidR="003802D8" w:rsidRPr="003802D8" w:rsidRDefault="003802D8" w:rsidP="003802D8"/>
    <w:p w:rsidR="003802D8" w:rsidRPr="003802D8" w:rsidRDefault="003802D8" w:rsidP="003802D8">
      <w:pPr>
        <w:rPr>
          <w:rFonts w:ascii="Arial" w:hAnsi="Arial" w:cs="Arial"/>
          <w:b/>
        </w:rPr>
      </w:pPr>
      <w:r w:rsidRPr="003802D8">
        <w:rPr>
          <w:rFonts w:ascii="Arial" w:hAnsi="Arial" w:cs="Arial"/>
          <w:b/>
        </w:rPr>
        <w:t>Assurance</w:t>
      </w:r>
    </w:p>
    <w:p w:rsidR="00E854A2" w:rsidRPr="00E854A2" w:rsidRDefault="003802D8" w:rsidP="00E854A2">
      <w:pPr>
        <w:rPr>
          <w:rFonts w:ascii="Arial" w:hAnsi="Arial" w:cs="Arial"/>
        </w:rPr>
      </w:pPr>
      <w:r w:rsidRPr="003802D8">
        <w:rPr>
          <w:rFonts w:ascii="Arial" w:hAnsi="Arial" w:cs="Arial"/>
        </w:rPr>
        <w:t>Subject to the above, and on the basis of the assurances provided, we consider the governance and internal control environment operating during 2019/20 provides reasonable and objective assurance that any significant risks impacting on the achievement of our principle objectives will be identified and actions taken to avoid or mitigate their impact. Systems are in place to continually review and improve the governance and internal control environment with plans in plac</w:t>
      </w:r>
      <w:r w:rsidR="00C5259D">
        <w:rPr>
          <w:rFonts w:ascii="Arial" w:hAnsi="Arial" w:cs="Arial"/>
        </w:rPr>
        <w:t>e to address improvement areas.</w:t>
      </w: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rPr>
      </w:pPr>
    </w:p>
    <w:p w:rsidR="00E854A2" w:rsidRPr="00E854A2" w:rsidRDefault="00E854A2" w:rsidP="00E854A2">
      <w:pPr>
        <w:spacing w:before="0" w:after="0" w:line="276" w:lineRule="auto"/>
        <w:rPr>
          <w:rFonts w:ascii="Arial" w:hAnsi="Arial" w:cs="Arial"/>
          <w:b/>
        </w:rPr>
      </w:pPr>
      <w:r w:rsidRPr="00E854A2">
        <w:rPr>
          <w:rFonts w:ascii="Arial" w:hAnsi="Arial" w:cs="Arial"/>
          <w:b/>
        </w:rPr>
        <w:t>Jonathan McColl</w:t>
      </w:r>
      <w:r w:rsidRPr="00E854A2">
        <w:rPr>
          <w:rFonts w:ascii="Arial" w:hAnsi="Arial" w:cs="Arial"/>
          <w:b/>
        </w:rPr>
        <w:tab/>
      </w:r>
      <w:r w:rsidRPr="00E854A2">
        <w:rPr>
          <w:rFonts w:ascii="Arial" w:hAnsi="Arial" w:cs="Arial"/>
          <w:b/>
        </w:rPr>
        <w:tab/>
        <w:t>Joyce White</w:t>
      </w:r>
      <w:r w:rsidRPr="00E854A2">
        <w:rPr>
          <w:rFonts w:ascii="Arial" w:hAnsi="Arial" w:cs="Arial"/>
          <w:b/>
        </w:rPr>
        <w:tab/>
      </w:r>
      <w:r w:rsidRPr="00E854A2">
        <w:rPr>
          <w:rFonts w:ascii="Arial" w:hAnsi="Arial" w:cs="Arial"/>
          <w:b/>
        </w:rPr>
        <w:tab/>
      </w:r>
      <w:r w:rsidRPr="00E854A2">
        <w:rPr>
          <w:rFonts w:ascii="Arial" w:hAnsi="Arial" w:cs="Arial"/>
          <w:b/>
        </w:rPr>
        <w:tab/>
        <w:t>Stephen West</w:t>
      </w:r>
    </w:p>
    <w:p w:rsidR="00E854A2" w:rsidRPr="00E854A2" w:rsidRDefault="00E854A2" w:rsidP="00E854A2">
      <w:pPr>
        <w:spacing w:before="0" w:after="0" w:line="276" w:lineRule="auto"/>
        <w:rPr>
          <w:rFonts w:ascii="Arial" w:hAnsi="Arial" w:cs="Arial"/>
          <w:b/>
        </w:rPr>
      </w:pPr>
      <w:r w:rsidRPr="00E854A2">
        <w:rPr>
          <w:rFonts w:ascii="Arial" w:hAnsi="Arial" w:cs="Arial"/>
          <w:b/>
        </w:rPr>
        <w:t>Leader of the Council</w:t>
      </w:r>
      <w:r w:rsidRPr="00E854A2">
        <w:rPr>
          <w:rFonts w:ascii="Arial" w:hAnsi="Arial" w:cs="Arial"/>
          <w:b/>
        </w:rPr>
        <w:tab/>
      </w:r>
      <w:r w:rsidRPr="00E854A2">
        <w:rPr>
          <w:rFonts w:ascii="Arial" w:hAnsi="Arial" w:cs="Arial"/>
          <w:b/>
        </w:rPr>
        <w:tab/>
        <w:t>Chief Executive</w:t>
      </w:r>
      <w:r w:rsidRPr="00E854A2">
        <w:rPr>
          <w:rFonts w:ascii="Arial" w:hAnsi="Arial" w:cs="Arial"/>
          <w:b/>
        </w:rPr>
        <w:tab/>
      </w:r>
      <w:r w:rsidRPr="00E854A2">
        <w:rPr>
          <w:rFonts w:ascii="Arial" w:hAnsi="Arial" w:cs="Arial"/>
          <w:b/>
        </w:rPr>
        <w:tab/>
        <w:t>Strategic Lead – Resources</w:t>
      </w:r>
    </w:p>
    <w:p w:rsidR="00801FA1" w:rsidRPr="00801FA1" w:rsidRDefault="00E854A2" w:rsidP="00845143">
      <w:pPr>
        <w:spacing w:before="0" w:after="0" w:line="276" w:lineRule="auto"/>
        <w:rPr>
          <w:rFonts w:ascii="Arial" w:hAnsi="Arial" w:cs="Arial"/>
        </w:rPr>
      </w:pPr>
      <w:r w:rsidRPr="00E854A2">
        <w:rPr>
          <w:rFonts w:ascii="Arial" w:hAnsi="Arial" w:cs="Arial"/>
          <w:b/>
        </w:rPr>
        <w:t xml:space="preserve">Date: </w:t>
      </w:r>
      <w:r w:rsidR="00845143">
        <w:rPr>
          <w:rFonts w:ascii="Arial" w:eastAsiaTheme="minorHAnsi" w:hAnsi="Arial" w:cs="Arial"/>
          <w:b/>
          <w:color w:val="000000"/>
        </w:rPr>
        <w:t>25 November</w:t>
      </w:r>
      <w:r w:rsidRPr="00E854A2">
        <w:rPr>
          <w:rFonts w:ascii="Arial" w:eastAsiaTheme="minorHAnsi" w:hAnsi="Arial" w:cs="Arial"/>
          <w:b/>
          <w:color w:val="000000"/>
        </w:rPr>
        <w:t xml:space="preserve"> 2020</w:t>
      </w:r>
      <w:r w:rsidR="00845143">
        <w:rPr>
          <w:rFonts w:ascii="Arial" w:hAnsi="Arial" w:cs="Arial"/>
          <w:b/>
        </w:rPr>
        <w:tab/>
      </w:r>
      <w:r w:rsidRPr="00E854A2">
        <w:rPr>
          <w:rFonts w:ascii="Arial" w:hAnsi="Arial" w:cs="Arial"/>
          <w:b/>
        </w:rPr>
        <w:t xml:space="preserve">Date: </w:t>
      </w:r>
      <w:r w:rsidR="00845143">
        <w:rPr>
          <w:rFonts w:ascii="Arial" w:eastAsiaTheme="minorHAnsi" w:hAnsi="Arial" w:cs="Arial"/>
          <w:b/>
          <w:color w:val="000000"/>
        </w:rPr>
        <w:t xml:space="preserve">25 November </w:t>
      </w:r>
      <w:r w:rsidRPr="00E854A2">
        <w:rPr>
          <w:rFonts w:ascii="Arial" w:eastAsiaTheme="minorHAnsi" w:hAnsi="Arial" w:cs="Arial"/>
          <w:b/>
          <w:color w:val="000000"/>
        </w:rPr>
        <w:t>2020</w:t>
      </w:r>
      <w:r w:rsidRPr="00E854A2">
        <w:rPr>
          <w:rFonts w:ascii="Arial" w:eastAsiaTheme="minorHAnsi" w:hAnsi="Arial" w:cs="Arial"/>
          <w:b/>
          <w:color w:val="000000"/>
        </w:rPr>
        <w:tab/>
      </w:r>
      <w:r w:rsidRPr="00E854A2">
        <w:rPr>
          <w:rFonts w:ascii="Arial" w:hAnsi="Arial" w:cs="Arial"/>
          <w:b/>
        </w:rPr>
        <w:t xml:space="preserve">Date: </w:t>
      </w:r>
      <w:r w:rsidR="00845143">
        <w:rPr>
          <w:rFonts w:ascii="Arial" w:eastAsiaTheme="minorHAnsi" w:hAnsi="Arial" w:cs="Arial"/>
          <w:b/>
          <w:color w:val="000000"/>
        </w:rPr>
        <w:t>25 November</w:t>
      </w:r>
      <w:r w:rsidRPr="00E854A2">
        <w:rPr>
          <w:rFonts w:ascii="Arial" w:eastAsiaTheme="minorHAnsi" w:hAnsi="Arial" w:cs="Arial"/>
          <w:b/>
          <w:color w:val="000000"/>
        </w:rPr>
        <w:t xml:space="preserve"> 2020</w:t>
      </w:r>
    </w:p>
    <w:p w:rsidR="00801FA1" w:rsidRPr="00801FA1" w:rsidRDefault="00801FA1" w:rsidP="00801FA1">
      <w:pPr>
        <w:spacing w:before="0" w:after="0" w:line="276" w:lineRule="auto"/>
        <w:rPr>
          <w:rFonts w:ascii="Arial" w:hAnsi="Arial" w:cs="Arial"/>
        </w:rPr>
      </w:pPr>
    </w:p>
    <w:p w:rsidR="00801FA1" w:rsidRPr="00801FA1" w:rsidRDefault="00801FA1" w:rsidP="00801FA1">
      <w:pPr>
        <w:spacing w:before="0" w:after="0" w:line="276" w:lineRule="auto"/>
        <w:rPr>
          <w:rFonts w:ascii="Arial" w:hAnsi="Arial" w:cs="Arial"/>
        </w:rPr>
      </w:pPr>
    </w:p>
    <w:p w:rsidR="00801FA1" w:rsidRPr="00801FA1" w:rsidRDefault="00801FA1" w:rsidP="00801FA1">
      <w:pPr>
        <w:spacing w:before="0" w:after="0" w:line="276" w:lineRule="auto"/>
        <w:rPr>
          <w:rFonts w:ascii="Arial" w:hAnsi="Arial" w:cs="Arial"/>
        </w:rPr>
      </w:pPr>
    </w:p>
    <w:p w:rsidR="00801FA1" w:rsidRPr="00801FA1" w:rsidRDefault="00801FA1" w:rsidP="00801FA1">
      <w:pPr>
        <w:spacing w:before="0" w:after="0" w:line="276" w:lineRule="auto"/>
        <w:rPr>
          <w:rFonts w:ascii="Arial" w:hAnsi="Arial" w:cs="Arial"/>
        </w:rPr>
      </w:pPr>
    </w:p>
    <w:p w:rsidR="00E854A2" w:rsidRDefault="00E854A2" w:rsidP="0085413A">
      <w:pPr>
        <w:spacing w:before="0" w:after="200" w:line="276" w:lineRule="auto"/>
        <w:rPr>
          <w:rFonts w:ascii="Arial" w:hAnsi="Arial" w:cs="Arial"/>
          <w:b/>
        </w:rPr>
      </w:pPr>
    </w:p>
    <w:p w:rsidR="00E854A2" w:rsidRDefault="00E854A2" w:rsidP="0085413A">
      <w:pPr>
        <w:spacing w:before="0" w:after="200" w:line="276" w:lineRule="auto"/>
        <w:rPr>
          <w:rFonts w:ascii="Arial" w:hAnsi="Arial" w:cs="Arial"/>
          <w:b/>
        </w:rPr>
      </w:pPr>
    </w:p>
    <w:p w:rsidR="00E854A2" w:rsidRDefault="00E854A2" w:rsidP="0085413A">
      <w:pPr>
        <w:spacing w:before="0" w:after="200" w:line="276" w:lineRule="auto"/>
        <w:rPr>
          <w:rFonts w:ascii="Arial" w:hAnsi="Arial" w:cs="Arial"/>
          <w:b/>
        </w:rPr>
      </w:pPr>
    </w:p>
    <w:p w:rsidR="00E854A2" w:rsidRDefault="00E854A2" w:rsidP="0085413A">
      <w:pPr>
        <w:spacing w:before="0" w:after="200" w:line="276" w:lineRule="auto"/>
        <w:rPr>
          <w:rFonts w:ascii="Arial" w:hAnsi="Arial" w:cs="Arial"/>
          <w:b/>
        </w:rPr>
      </w:pPr>
    </w:p>
    <w:p w:rsidR="00E854A2" w:rsidRDefault="00E854A2">
      <w:pPr>
        <w:spacing w:before="0" w:after="200" w:line="276" w:lineRule="auto"/>
        <w:rPr>
          <w:rFonts w:ascii="Arial" w:hAnsi="Arial" w:cs="Arial"/>
          <w:b/>
        </w:rPr>
      </w:pPr>
      <w:r>
        <w:rPr>
          <w:rFonts w:ascii="Arial" w:hAnsi="Arial" w:cs="Arial"/>
          <w:b/>
        </w:rPr>
        <w:br w:type="page"/>
      </w:r>
    </w:p>
    <w:p w:rsidR="00255284" w:rsidRPr="0085413A" w:rsidRDefault="00255284" w:rsidP="0085413A">
      <w:pPr>
        <w:spacing w:before="0" w:after="200" w:line="276" w:lineRule="auto"/>
        <w:rPr>
          <w:rFonts w:ascii="Arial" w:hAnsi="Arial" w:cs="Arial"/>
          <w:b/>
          <w:sz w:val="24"/>
          <w:szCs w:val="24"/>
        </w:rPr>
      </w:pPr>
      <w:r w:rsidRPr="0085413A">
        <w:rPr>
          <w:rFonts w:ascii="Arial" w:hAnsi="Arial" w:cs="Arial"/>
          <w:b/>
          <w:sz w:val="24"/>
          <w:szCs w:val="24"/>
        </w:rPr>
        <w:lastRenderedPageBreak/>
        <w:t>Remuneration Report</w:t>
      </w:r>
    </w:p>
    <w:p w:rsidR="00255284" w:rsidRPr="00375FD4" w:rsidRDefault="00255284" w:rsidP="00255284">
      <w:pPr>
        <w:pStyle w:val="Title"/>
        <w:spacing w:before="0" w:after="0"/>
        <w:jc w:val="left"/>
        <w:rPr>
          <w:rFonts w:ascii="Arial" w:hAnsi="Arial" w:cs="Arial"/>
          <w:b w:val="0"/>
          <w:sz w:val="20"/>
          <w:szCs w:val="20"/>
        </w:rPr>
      </w:pPr>
      <w:r w:rsidRPr="00375FD4">
        <w:rPr>
          <w:rFonts w:ascii="Arial" w:hAnsi="Arial" w:cs="Arial"/>
          <w:sz w:val="20"/>
          <w:szCs w:val="20"/>
        </w:rPr>
        <w:t>Introduction</w:t>
      </w:r>
    </w:p>
    <w:p w:rsidR="00255284" w:rsidRPr="00375FD4" w:rsidRDefault="00255284" w:rsidP="00255284">
      <w:pPr>
        <w:pStyle w:val="Title"/>
        <w:spacing w:before="0" w:after="0"/>
        <w:jc w:val="left"/>
        <w:rPr>
          <w:rFonts w:ascii="Arial" w:hAnsi="Arial" w:cs="Arial"/>
          <w:b w:val="0"/>
          <w:sz w:val="20"/>
          <w:szCs w:val="20"/>
        </w:rPr>
      </w:pPr>
    </w:p>
    <w:p w:rsidR="00255284" w:rsidRPr="00375FD4" w:rsidRDefault="00B41878" w:rsidP="009A4034">
      <w:pPr>
        <w:pStyle w:val="Title"/>
        <w:spacing w:before="0" w:after="0"/>
        <w:ind w:right="-46"/>
        <w:jc w:val="left"/>
        <w:rPr>
          <w:rFonts w:ascii="Arial" w:hAnsi="Arial" w:cs="Arial"/>
          <w:b w:val="0"/>
          <w:sz w:val="20"/>
          <w:szCs w:val="20"/>
        </w:rPr>
      </w:pPr>
      <w:r>
        <w:rPr>
          <w:rFonts w:ascii="Arial" w:hAnsi="Arial" w:cs="Arial"/>
          <w:b w:val="0"/>
          <w:sz w:val="20"/>
          <w:szCs w:val="20"/>
        </w:rPr>
        <w:t>The c</w:t>
      </w:r>
      <w:r w:rsidR="00255284" w:rsidRPr="00375FD4">
        <w:rPr>
          <w:rFonts w:ascii="Arial" w:hAnsi="Arial" w:cs="Arial"/>
          <w:b w:val="0"/>
          <w:sz w:val="20"/>
          <w:szCs w:val="20"/>
        </w:rPr>
        <w:t xml:space="preserve">ouncil is required under statute to provide information on the remuneration of each senior </w:t>
      </w:r>
      <w:r w:rsidR="00CC433F">
        <w:rPr>
          <w:rFonts w:ascii="Arial" w:hAnsi="Arial" w:cs="Arial"/>
          <w:b w:val="0"/>
          <w:sz w:val="20"/>
          <w:szCs w:val="20"/>
        </w:rPr>
        <w:t>elected member and senior officer and</w:t>
      </w:r>
      <w:r w:rsidR="00255284" w:rsidRPr="00375FD4">
        <w:rPr>
          <w:rFonts w:ascii="Arial" w:hAnsi="Arial" w:cs="Arial"/>
          <w:b w:val="0"/>
          <w:sz w:val="20"/>
          <w:szCs w:val="20"/>
        </w:rPr>
        <w:t xml:space="preserve"> any other officer not otherwise included whose remuneration is over £0.150m per annum. All information disclosed in the tables 1-6 and section (b) of </w:t>
      </w:r>
      <w:r w:rsidR="006B7632">
        <w:rPr>
          <w:rFonts w:ascii="Arial" w:hAnsi="Arial" w:cs="Arial"/>
          <w:b w:val="0"/>
          <w:sz w:val="20"/>
          <w:szCs w:val="20"/>
        </w:rPr>
        <w:t>the Remuneration Report is due to be</w:t>
      </w:r>
      <w:r w:rsidR="00255284" w:rsidRPr="00375FD4">
        <w:rPr>
          <w:rFonts w:ascii="Arial" w:hAnsi="Arial" w:cs="Arial"/>
          <w:b w:val="0"/>
          <w:sz w:val="20"/>
          <w:szCs w:val="20"/>
        </w:rPr>
        <w:t xml:space="preserve"> audited by Audit</w:t>
      </w:r>
      <w:r w:rsidR="00CC433F">
        <w:rPr>
          <w:rFonts w:ascii="Arial" w:hAnsi="Arial" w:cs="Arial"/>
          <w:b w:val="0"/>
          <w:sz w:val="20"/>
          <w:szCs w:val="20"/>
        </w:rPr>
        <w:t xml:space="preserve"> Scotland. The other Sections are</w:t>
      </w:r>
      <w:r w:rsidR="00255284" w:rsidRPr="00375FD4">
        <w:rPr>
          <w:rFonts w:ascii="Arial" w:hAnsi="Arial" w:cs="Arial"/>
          <w:b w:val="0"/>
          <w:sz w:val="20"/>
          <w:szCs w:val="20"/>
        </w:rPr>
        <w:t xml:space="preserve"> reviewed by Audit Scotland to ensure that they are consistent with the Financial Statements.</w:t>
      </w:r>
    </w:p>
    <w:p w:rsidR="00255284" w:rsidRPr="00375FD4" w:rsidRDefault="00255284" w:rsidP="009A4034">
      <w:pPr>
        <w:spacing w:before="0" w:after="0"/>
        <w:rPr>
          <w:rFonts w:ascii="Arial" w:hAnsi="Arial" w:cs="Arial"/>
          <w:b/>
        </w:rPr>
      </w:pPr>
    </w:p>
    <w:p w:rsidR="00D906AC" w:rsidRPr="00E27A2F" w:rsidRDefault="00D906AC" w:rsidP="00EA6E47">
      <w:pPr>
        <w:pStyle w:val="ListParagraph"/>
        <w:numPr>
          <w:ilvl w:val="0"/>
          <w:numId w:val="43"/>
        </w:numPr>
        <w:autoSpaceDE w:val="0"/>
        <w:autoSpaceDN w:val="0"/>
        <w:adjustRightInd w:val="0"/>
        <w:spacing w:before="0" w:after="0"/>
        <w:ind w:left="284" w:right="180" w:hanging="284"/>
        <w:rPr>
          <w:rFonts w:ascii="Arial" w:hAnsi="Arial" w:cs="Arial"/>
          <w:b/>
          <w:u w:val="single"/>
        </w:rPr>
      </w:pPr>
      <w:r w:rsidRPr="00E27A2F">
        <w:rPr>
          <w:rFonts w:ascii="Arial" w:hAnsi="Arial" w:cs="Arial"/>
          <w:b/>
          <w:u w:val="single"/>
        </w:rPr>
        <w:t>Remuneration - Councillors</w:t>
      </w:r>
    </w:p>
    <w:p w:rsidR="00255284" w:rsidRPr="00375FD4" w:rsidRDefault="00255284" w:rsidP="009A4034">
      <w:pPr>
        <w:autoSpaceDE w:val="0"/>
        <w:autoSpaceDN w:val="0"/>
        <w:adjustRightInd w:val="0"/>
        <w:spacing w:before="0" w:after="0"/>
        <w:ind w:right="180"/>
        <w:rPr>
          <w:rFonts w:ascii="Arial" w:hAnsi="Arial" w:cs="Arial"/>
        </w:rPr>
      </w:pPr>
    </w:p>
    <w:p w:rsidR="00E009AF" w:rsidRPr="00E009AF" w:rsidRDefault="00E009AF" w:rsidP="002F4D8A">
      <w:pPr>
        <w:autoSpaceDE w:val="0"/>
        <w:autoSpaceDN w:val="0"/>
        <w:adjustRightInd w:val="0"/>
        <w:spacing w:before="0" w:after="0"/>
        <w:rPr>
          <w:rFonts w:ascii="Arial" w:hAnsi="Arial" w:cs="Arial"/>
          <w:lang w:val="en-US"/>
        </w:rPr>
      </w:pPr>
      <w:r w:rsidRPr="00E009AF">
        <w:rPr>
          <w:rFonts w:ascii="Arial" w:hAnsi="Arial" w:cs="Arial"/>
          <w:lang w:val="en-US"/>
        </w:rPr>
        <w:t>The remuneration of</w:t>
      </w:r>
      <w:r w:rsidRPr="00E009AF">
        <w:rPr>
          <w:rFonts w:ascii="Arial" w:hAnsi="Arial" w:cs="Arial"/>
        </w:rPr>
        <w:t xml:space="preserve"> Councillors</w:t>
      </w:r>
      <w:r w:rsidRPr="00E009AF">
        <w:rPr>
          <w:rFonts w:ascii="Arial" w:hAnsi="Arial" w:cs="Arial"/>
          <w:lang w:val="en-US"/>
        </w:rPr>
        <w:t xml:space="preserve"> is regulated by the Local Governance (Scotland) Act 2004 (Remunera</w:t>
      </w:r>
      <w:r w:rsidR="00166B3F">
        <w:rPr>
          <w:rFonts w:ascii="Arial" w:hAnsi="Arial" w:cs="Arial"/>
          <w:lang w:val="en-US"/>
        </w:rPr>
        <w:t xml:space="preserve">tion) Amendment </w:t>
      </w:r>
      <w:r w:rsidR="00166B3F" w:rsidRPr="002F4D8A">
        <w:rPr>
          <w:rFonts w:ascii="Arial" w:hAnsi="Arial" w:cs="Arial"/>
          <w:lang w:val="en-US"/>
        </w:rPr>
        <w:t xml:space="preserve">Regulations </w:t>
      </w:r>
      <w:r w:rsidR="002F4D8A" w:rsidRPr="002F4D8A">
        <w:rPr>
          <w:rFonts w:ascii="Arial" w:hAnsi="Arial" w:cs="Arial"/>
          <w:lang w:val="en-US"/>
        </w:rPr>
        <w:t>2019</w:t>
      </w:r>
      <w:r w:rsidR="00EE64DD" w:rsidRPr="002F4D8A">
        <w:rPr>
          <w:rFonts w:ascii="Arial" w:hAnsi="Arial" w:cs="Arial"/>
          <w:lang w:val="en-US"/>
        </w:rPr>
        <w:t xml:space="preserve"> (SSI No. </w:t>
      </w:r>
      <w:r w:rsidR="002F4D8A" w:rsidRPr="002F4D8A">
        <w:rPr>
          <w:rFonts w:ascii="Arial" w:hAnsi="Arial" w:cs="Arial"/>
          <w:lang w:val="en-US"/>
        </w:rPr>
        <w:t>2019</w:t>
      </w:r>
      <w:r w:rsidR="00166B3F" w:rsidRPr="002F4D8A">
        <w:rPr>
          <w:rFonts w:ascii="Arial" w:hAnsi="Arial" w:cs="Arial"/>
          <w:lang w:val="en-US"/>
        </w:rPr>
        <w:t>/</w:t>
      </w:r>
      <w:r w:rsidR="002F4D8A" w:rsidRPr="002F4D8A">
        <w:rPr>
          <w:rFonts w:ascii="Arial" w:hAnsi="Arial" w:cs="Arial"/>
          <w:lang w:val="en-US"/>
        </w:rPr>
        <w:t>2</w:t>
      </w:r>
      <w:r w:rsidR="00166B3F" w:rsidRPr="002F4D8A">
        <w:rPr>
          <w:rFonts w:ascii="Arial" w:hAnsi="Arial" w:cs="Arial"/>
          <w:lang w:val="en-US"/>
        </w:rPr>
        <w:t>3</w:t>
      </w:r>
      <w:r w:rsidRPr="002F4D8A">
        <w:rPr>
          <w:rFonts w:ascii="Arial" w:hAnsi="Arial" w:cs="Arial"/>
          <w:lang w:val="en-US"/>
        </w:rPr>
        <w:t>). The</w:t>
      </w:r>
      <w:r w:rsidRPr="00E009AF">
        <w:rPr>
          <w:rFonts w:ascii="Arial" w:hAnsi="Arial" w:cs="Arial"/>
          <w:lang w:val="en-US"/>
        </w:rPr>
        <w:t xml:space="preserve"> Regulations provide for the grading of</w:t>
      </w:r>
      <w:r w:rsidRPr="00E009AF">
        <w:rPr>
          <w:rFonts w:ascii="Arial" w:hAnsi="Arial" w:cs="Arial"/>
        </w:rPr>
        <w:t xml:space="preserve"> Councillors</w:t>
      </w:r>
      <w:r w:rsidRPr="00E009AF">
        <w:rPr>
          <w:rFonts w:ascii="Arial" w:hAnsi="Arial" w:cs="Arial"/>
          <w:lang w:val="en-US"/>
        </w:rPr>
        <w:t xml:space="preserve"> for the purposes of remuneration arrangements, as the Leader of the Council, the Civic Head (Provost), Senior</w:t>
      </w:r>
      <w:r w:rsidRPr="00E009AF">
        <w:rPr>
          <w:rFonts w:ascii="Arial" w:hAnsi="Arial" w:cs="Arial"/>
        </w:rPr>
        <w:t xml:space="preserve"> Councillors</w:t>
      </w:r>
      <w:r w:rsidRPr="00E009AF">
        <w:rPr>
          <w:rFonts w:ascii="Arial" w:hAnsi="Arial" w:cs="Arial"/>
          <w:lang w:val="en-US"/>
        </w:rPr>
        <w:t xml:space="preserve"> and</w:t>
      </w:r>
      <w:r w:rsidRPr="00E009AF">
        <w:rPr>
          <w:rFonts w:ascii="Arial" w:hAnsi="Arial" w:cs="Arial"/>
        </w:rPr>
        <w:t xml:space="preserve"> Councillors</w:t>
      </w:r>
      <w:r w:rsidRPr="00E009AF">
        <w:rPr>
          <w:rFonts w:ascii="Arial" w:hAnsi="Arial" w:cs="Arial"/>
          <w:lang w:val="en-US"/>
        </w:rPr>
        <w:t>. The Leader of the Council and the Provost cannot be the same person for the purposes</w:t>
      </w:r>
      <w:r w:rsidR="009845BC">
        <w:rPr>
          <w:rFonts w:ascii="Arial" w:hAnsi="Arial" w:cs="Arial"/>
          <w:lang w:val="en-US"/>
        </w:rPr>
        <w:t xml:space="preserve"> of payment of remuneration. A S</w:t>
      </w:r>
      <w:r w:rsidRPr="00E009AF">
        <w:rPr>
          <w:rFonts w:ascii="Arial" w:hAnsi="Arial" w:cs="Arial"/>
          <w:lang w:val="en-US"/>
        </w:rPr>
        <w:t>enior</w:t>
      </w:r>
      <w:r w:rsidRPr="00E009AF">
        <w:rPr>
          <w:rFonts w:ascii="Arial" w:hAnsi="Arial" w:cs="Arial"/>
        </w:rPr>
        <w:t xml:space="preserve"> Councillor</w:t>
      </w:r>
      <w:r w:rsidRPr="00E009AF">
        <w:rPr>
          <w:rFonts w:ascii="Arial" w:hAnsi="Arial" w:cs="Arial"/>
          <w:lang w:val="en-US"/>
        </w:rPr>
        <w:t xml:space="preserve"> </w:t>
      </w:r>
      <w:r w:rsidRPr="00A37D49">
        <w:rPr>
          <w:rFonts w:ascii="Arial" w:hAnsi="Arial" w:cs="Arial"/>
          <w:lang w:val="en-US"/>
        </w:rPr>
        <w:t>is a</w:t>
      </w:r>
      <w:r w:rsidRPr="00A37D49">
        <w:rPr>
          <w:rFonts w:ascii="Arial" w:hAnsi="Arial" w:cs="Arial"/>
        </w:rPr>
        <w:t xml:space="preserve"> Councillor</w:t>
      </w:r>
      <w:r w:rsidRPr="00A37D49">
        <w:rPr>
          <w:rFonts w:ascii="Arial" w:hAnsi="Arial" w:cs="Arial"/>
          <w:lang w:val="en-US"/>
        </w:rPr>
        <w:t xml:space="preserve"> who holds a significant pos</w:t>
      </w:r>
      <w:r w:rsidR="00B41878">
        <w:rPr>
          <w:rFonts w:ascii="Arial" w:hAnsi="Arial" w:cs="Arial"/>
          <w:lang w:val="en-US"/>
        </w:rPr>
        <w:t>ition of responsibility in the c</w:t>
      </w:r>
      <w:r w:rsidRPr="00A37D49">
        <w:rPr>
          <w:rFonts w:ascii="Arial" w:hAnsi="Arial" w:cs="Arial"/>
          <w:lang w:val="en-US"/>
        </w:rPr>
        <w:t>ouncil’s political management</w:t>
      </w:r>
      <w:r w:rsidRPr="00E009AF">
        <w:rPr>
          <w:rFonts w:ascii="Arial" w:hAnsi="Arial" w:cs="Arial"/>
          <w:lang w:val="en-US"/>
        </w:rPr>
        <w:t xml:space="preserve"> structure. The regulations stipulate that in addition to the Leader of the Council and the Provost, West Dunbartonshire can appoint a maximum of ten Senior Councillors. The level of remuneration paid to the Leader of the Council, Provost and Senior Councill</w:t>
      </w:r>
      <w:r w:rsidR="00640982">
        <w:rPr>
          <w:rFonts w:ascii="Arial" w:hAnsi="Arial" w:cs="Arial"/>
          <w:lang w:val="en-US"/>
        </w:rPr>
        <w:t>ors is detailed in Table 1</w:t>
      </w:r>
      <w:r w:rsidRPr="00E009AF">
        <w:rPr>
          <w:rFonts w:ascii="Arial" w:hAnsi="Arial" w:cs="Arial"/>
          <w:lang w:val="en-US"/>
        </w:rPr>
        <w:t>.</w:t>
      </w:r>
    </w:p>
    <w:p w:rsidR="00255284" w:rsidRPr="00375FD4" w:rsidRDefault="00255284" w:rsidP="00255284">
      <w:pPr>
        <w:pStyle w:val="Default"/>
        <w:spacing w:before="0" w:after="0"/>
        <w:jc w:val="both"/>
        <w:rPr>
          <w:rFonts w:ascii="Arial" w:hAnsi="Arial" w:cs="Arial"/>
          <w:color w:val="auto"/>
          <w:sz w:val="20"/>
          <w:szCs w:val="20"/>
        </w:rPr>
      </w:pPr>
    </w:p>
    <w:p w:rsidR="00166B3F" w:rsidRPr="00166B3F" w:rsidRDefault="00166B3F" w:rsidP="00166B3F">
      <w:pPr>
        <w:autoSpaceDE w:val="0"/>
        <w:autoSpaceDN w:val="0"/>
        <w:adjustRightInd w:val="0"/>
        <w:spacing w:before="0" w:after="0"/>
        <w:rPr>
          <w:rFonts w:ascii="Arial" w:hAnsi="Arial" w:cs="Arial"/>
          <w:lang w:val="en-US"/>
        </w:rPr>
      </w:pPr>
      <w:r w:rsidRPr="00166B3F">
        <w:rPr>
          <w:rFonts w:ascii="Arial" w:hAnsi="Arial" w:cs="Arial"/>
          <w:color w:val="000000"/>
          <w:lang w:val="en-US"/>
        </w:rPr>
        <w:t xml:space="preserve">The salary that is to be paid to the Leader of the Council is set </w:t>
      </w:r>
      <w:r w:rsidR="00334A9D">
        <w:rPr>
          <w:rFonts w:ascii="Arial" w:hAnsi="Arial" w:cs="Arial"/>
          <w:color w:val="000000"/>
          <w:lang w:val="en-US"/>
        </w:rPr>
        <w:t>out in the Regulations. For 2019/20</w:t>
      </w:r>
      <w:r w:rsidRPr="00166B3F">
        <w:rPr>
          <w:rFonts w:ascii="Arial" w:hAnsi="Arial" w:cs="Arial"/>
          <w:color w:val="000000"/>
          <w:lang w:val="en-US"/>
        </w:rPr>
        <w:t xml:space="preserve"> the salary for the Leader of West Dunbartonshire Council </w:t>
      </w:r>
      <w:r w:rsidRPr="002F4D8A">
        <w:rPr>
          <w:rFonts w:ascii="Arial" w:hAnsi="Arial" w:cs="Arial"/>
          <w:color w:val="000000"/>
          <w:lang w:val="en-US"/>
        </w:rPr>
        <w:t xml:space="preserve">was </w:t>
      </w:r>
      <w:r w:rsidR="002F4D8A" w:rsidRPr="002F4D8A">
        <w:rPr>
          <w:rFonts w:ascii="Arial" w:hAnsi="Arial" w:cs="Arial"/>
          <w:color w:val="000000"/>
          <w:lang w:val="en-US"/>
        </w:rPr>
        <w:t>£34,994</w:t>
      </w:r>
      <w:r w:rsidRPr="002F4D8A">
        <w:rPr>
          <w:rFonts w:ascii="Arial" w:hAnsi="Arial" w:cs="Arial"/>
          <w:color w:val="000000"/>
          <w:lang w:val="en-US"/>
        </w:rPr>
        <w:t>. The</w:t>
      </w:r>
      <w:r w:rsidRPr="00166B3F">
        <w:rPr>
          <w:rFonts w:ascii="Arial" w:hAnsi="Arial" w:cs="Arial"/>
          <w:color w:val="000000"/>
          <w:lang w:val="en-US"/>
        </w:rPr>
        <w:t xml:space="preserve"> Regulations also state that the maximum yearly amount that may be paid to the </w:t>
      </w:r>
      <w:r w:rsidRPr="002F4D8A">
        <w:rPr>
          <w:rFonts w:ascii="Arial" w:hAnsi="Arial" w:cs="Arial"/>
          <w:color w:val="000000"/>
          <w:lang w:val="en-US"/>
        </w:rPr>
        <w:t>Prov</w:t>
      </w:r>
      <w:r w:rsidR="002F4D8A" w:rsidRPr="002F4D8A">
        <w:rPr>
          <w:rFonts w:ascii="Arial" w:hAnsi="Arial" w:cs="Arial"/>
          <w:color w:val="000000"/>
          <w:lang w:val="en-US"/>
        </w:rPr>
        <w:t>ost (£26,208</w:t>
      </w:r>
      <w:r w:rsidR="003403B2" w:rsidRPr="002F4D8A">
        <w:rPr>
          <w:rFonts w:ascii="Arial" w:hAnsi="Arial" w:cs="Arial"/>
          <w:color w:val="000000"/>
          <w:lang w:val="en-US"/>
        </w:rPr>
        <w:t>)</w:t>
      </w:r>
      <w:r w:rsidRPr="002F4D8A">
        <w:rPr>
          <w:rFonts w:ascii="Arial" w:hAnsi="Arial" w:cs="Arial"/>
          <w:color w:val="000000"/>
          <w:lang w:val="en-US"/>
        </w:rPr>
        <w:t xml:space="preserve"> is 75</w:t>
      </w:r>
      <w:r w:rsidRPr="00166B3F">
        <w:rPr>
          <w:rFonts w:ascii="Arial" w:hAnsi="Arial" w:cs="Arial"/>
          <w:color w:val="000000"/>
          <w:lang w:val="en-US"/>
        </w:rPr>
        <w:t>% of the total yearly amount payable to the Leader of the Council.</w:t>
      </w:r>
      <w:r w:rsidRPr="00166B3F">
        <w:rPr>
          <w:rFonts w:ascii="Arial" w:hAnsi="Arial" w:cs="Arial"/>
          <w:lang w:val="en-US"/>
        </w:rPr>
        <w:t xml:space="preserve"> </w:t>
      </w:r>
    </w:p>
    <w:p w:rsidR="00166B3F" w:rsidRPr="00166B3F" w:rsidRDefault="00166B3F" w:rsidP="00166B3F">
      <w:pPr>
        <w:autoSpaceDE w:val="0"/>
        <w:autoSpaceDN w:val="0"/>
        <w:adjustRightInd w:val="0"/>
        <w:spacing w:before="0" w:after="0"/>
        <w:jc w:val="both"/>
        <w:rPr>
          <w:rFonts w:ascii="Arial" w:hAnsi="Arial" w:cs="Arial"/>
          <w:lang w:val="en-US"/>
        </w:rPr>
      </w:pPr>
    </w:p>
    <w:p w:rsidR="00166B3F" w:rsidRPr="00166B3F" w:rsidRDefault="00166B3F" w:rsidP="00166B3F">
      <w:pPr>
        <w:autoSpaceDE w:val="0"/>
        <w:autoSpaceDN w:val="0"/>
        <w:adjustRightInd w:val="0"/>
        <w:spacing w:before="0" w:after="0"/>
        <w:rPr>
          <w:rFonts w:ascii="Arial" w:hAnsi="Arial" w:cs="Arial"/>
          <w:lang w:val="en-US"/>
        </w:rPr>
      </w:pPr>
      <w:r w:rsidRPr="00166B3F">
        <w:rPr>
          <w:rFonts w:ascii="Arial" w:hAnsi="Arial" w:cs="Arial"/>
          <w:lang w:val="en-US"/>
        </w:rPr>
        <w:t xml:space="preserve">The Regulations also state the remuneration that may be paid to Senior Councillors and the total number of Senior Councillors the council may have. The maximum yearly amount that may be paid to a Senior </w:t>
      </w:r>
      <w:r w:rsidRPr="002F4D8A">
        <w:rPr>
          <w:rFonts w:ascii="Arial" w:hAnsi="Arial" w:cs="Arial"/>
          <w:lang w:val="en-US"/>
        </w:rPr>
        <w:t xml:space="preserve">Councillor </w:t>
      </w:r>
      <w:r w:rsidR="002F4D8A" w:rsidRPr="002F4D8A">
        <w:rPr>
          <w:rFonts w:ascii="Arial" w:hAnsi="Arial" w:cs="Arial"/>
          <w:lang w:val="en-US"/>
        </w:rPr>
        <w:t>(£26,208</w:t>
      </w:r>
      <w:r w:rsidRPr="002F4D8A">
        <w:rPr>
          <w:rFonts w:ascii="Arial" w:hAnsi="Arial" w:cs="Arial"/>
          <w:lang w:val="en-US"/>
        </w:rPr>
        <w:t>) is</w:t>
      </w:r>
      <w:r w:rsidRPr="00166B3F">
        <w:rPr>
          <w:rFonts w:ascii="Arial" w:hAnsi="Arial" w:cs="Arial"/>
          <w:lang w:val="en-US"/>
        </w:rPr>
        <w:t xml:space="preserve"> 75% of the total yearly amount payable to the</w:t>
      </w:r>
      <w:r w:rsidR="00334A9D">
        <w:rPr>
          <w:rFonts w:ascii="Arial" w:hAnsi="Arial" w:cs="Arial"/>
          <w:lang w:val="en-US"/>
        </w:rPr>
        <w:t xml:space="preserve"> Leader of the Council. For 2019/20</w:t>
      </w:r>
      <w:r w:rsidRPr="00166B3F">
        <w:rPr>
          <w:rFonts w:ascii="Arial" w:hAnsi="Arial" w:cs="Arial"/>
          <w:lang w:val="en-US"/>
        </w:rPr>
        <w:t xml:space="preserve"> the total yearly amount payable by the council for remuneration of all of its Senior Councillors shall </w:t>
      </w:r>
      <w:r w:rsidRPr="002F4D8A">
        <w:rPr>
          <w:rFonts w:ascii="Arial" w:hAnsi="Arial" w:cs="Arial"/>
          <w:lang w:val="en-US"/>
        </w:rPr>
        <w:t xml:space="preserve">not exceed </w:t>
      </w:r>
      <w:r w:rsidR="002F4D8A" w:rsidRPr="002F4D8A">
        <w:rPr>
          <w:rFonts w:ascii="Arial" w:hAnsi="Arial" w:cs="Arial"/>
          <w:lang w:val="en-US"/>
        </w:rPr>
        <w:t>£218,40</w:t>
      </w:r>
      <w:r w:rsidRPr="002F4D8A">
        <w:rPr>
          <w:rFonts w:ascii="Arial" w:hAnsi="Arial" w:cs="Arial"/>
          <w:lang w:val="en-US"/>
        </w:rPr>
        <w:t>0. The</w:t>
      </w:r>
      <w:r w:rsidRPr="00166B3F">
        <w:rPr>
          <w:rFonts w:ascii="Arial" w:hAnsi="Arial" w:cs="Arial"/>
          <w:lang w:val="en-US"/>
        </w:rPr>
        <w:t xml:space="preserve"> council is able to exercise local flexibility in the determination of the precise number of Senior Councillors and their salary within these maximum limits. </w:t>
      </w:r>
      <w:r w:rsidRPr="002F4D8A">
        <w:rPr>
          <w:rFonts w:ascii="Arial" w:hAnsi="Arial" w:cs="Arial"/>
          <w:lang w:val="en-US"/>
        </w:rPr>
        <w:t xml:space="preserve">Council policy is to pay Senior Councillors a salary of </w:t>
      </w:r>
      <w:r w:rsidR="002F4D8A" w:rsidRPr="002F4D8A">
        <w:rPr>
          <w:rFonts w:ascii="Arial" w:hAnsi="Arial" w:cs="Arial"/>
          <w:lang w:val="en-US"/>
        </w:rPr>
        <w:t>£21,840</w:t>
      </w:r>
      <w:r w:rsidRPr="002F4D8A">
        <w:rPr>
          <w:rFonts w:ascii="Arial" w:hAnsi="Arial" w:cs="Arial"/>
          <w:lang w:val="en-US"/>
        </w:rPr>
        <w:t>, per the decision at Council on 17 May 2017 for 2017/18</w:t>
      </w:r>
      <w:r w:rsidR="00F711A2" w:rsidRPr="002F4D8A">
        <w:rPr>
          <w:rFonts w:ascii="Arial" w:hAnsi="Arial" w:cs="Arial"/>
          <w:lang w:val="en-US"/>
        </w:rPr>
        <w:t xml:space="preserve"> onwards</w:t>
      </w:r>
      <w:r w:rsidRPr="002F4D8A">
        <w:rPr>
          <w:rFonts w:ascii="Arial" w:hAnsi="Arial" w:cs="Arial"/>
          <w:lang w:val="en-US"/>
        </w:rPr>
        <w:t>.</w:t>
      </w:r>
    </w:p>
    <w:p w:rsidR="00166B3F" w:rsidRPr="00166B3F" w:rsidRDefault="00166B3F" w:rsidP="00166B3F">
      <w:pPr>
        <w:autoSpaceDE w:val="0"/>
        <w:autoSpaceDN w:val="0"/>
        <w:adjustRightInd w:val="0"/>
        <w:spacing w:before="0" w:after="0"/>
        <w:jc w:val="both"/>
        <w:rPr>
          <w:rFonts w:ascii="Arial" w:hAnsi="Arial" w:cs="Arial"/>
          <w:lang w:val="en-US"/>
        </w:rPr>
      </w:pPr>
    </w:p>
    <w:p w:rsidR="00166B3F" w:rsidRPr="00166B3F" w:rsidRDefault="00334A9D" w:rsidP="002F4D8A">
      <w:pPr>
        <w:autoSpaceDE w:val="0"/>
        <w:autoSpaceDN w:val="0"/>
        <w:adjustRightInd w:val="0"/>
        <w:spacing w:before="0" w:after="0"/>
        <w:rPr>
          <w:rFonts w:ascii="Arial" w:hAnsi="Arial" w:cs="Arial"/>
          <w:lang w:val="en-US"/>
        </w:rPr>
      </w:pPr>
      <w:r>
        <w:rPr>
          <w:rFonts w:ascii="Arial" w:hAnsi="Arial" w:cs="Arial"/>
          <w:lang w:val="en-US"/>
        </w:rPr>
        <w:t>During 2019/20</w:t>
      </w:r>
      <w:r w:rsidR="00166B3F" w:rsidRPr="00166B3F">
        <w:rPr>
          <w:rFonts w:ascii="Arial" w:hAnsi="Arial" w:cs="Arial"/>
          <w:lang w:val="en-US"/>
        </w:rPr>
        <w:t>, the Council agreed the appointment of a Council Leader, Provost, Bailie and 10 Senior Councillors and the remuneration due paid to the 10 Senior Councillors</w:t>
      </w:r>
      <w:r w:rsidR="00166B3F" w:rsidRPr="00166B3F">
        <w:rPr>
          <w:rFonts w:ascii="Arial" w:hAnsi="Arial" w:cs="Arial"/>
        </w:rPr>
        <w:t xml:space="preserve"> </w:t>
      </w:r>
      <w:r w:rsidR="00166B3F" w:rsidRPr="002F4D8A">
        <w:rPr>
          <w:rFonts w:ascii="Arial" w:hAnsi="Arial" w:cs="Arial"/>
        </w:rPr>
        <w:t xml:space="preserve">totalled </w:t>
      </w:r>
      <w:r w:rsidR="002F4D8A" w:rsidRPr="002F4D8A">
        <w:rPr>
          <w:rFonts w:ascii="Arial" w:hAnsi="Arial" w:cs="Arial"/>
          <w:lang w:val="en-US"/>
        </w:rPr>
        <w:t>£218,40</w:t>
      </w:r>
      <w:r w:rsidRPr="002F4D8A">
        <w:rPr>
          <w:rFonts w:ascii="Arial" w:hAnsi="Arial" w:cs="Arial"/>
          <w:lang w:val="en-US"/>
        </w:rPr>
        <w:t>0</w:t>
      </w:r>
      <w:r>
        <w:rPr>
          <w:rFonts w:ascii="Arial" w:hAnsi="Arial" w:cs="Arial"/>
          <w:lang w:val="en-US"/>
        </w:rPr>
        <w:t xml:space="preserve"> (£212,450 in 2018/19</w:t>
      </w:r>
      <w:r w:rsidR="003403B2">
        <w:rPr>
          <w:rFonts w:ascii="Arial" w:hAnsi="Arial" w:cs="Arial"/>
          <w:lang w:val="en-US"/>
        </w:rPr>
        <w:t xml:space="preserve">). </w:t>
      </w:r>
      <w:r w:rsidR="00166B3F" w:rsidRPr="00166B3F">
        <w:rPr>
          <w:rFonts w:ascii="Arial" w:hAnsi="Arial" w:cs="Arial"/>
          <w:lang w:val="en-US"/>
        </w:rPr>
        <w:t xml:space="preserve">The Regulations also permit the council to pay contributions or other payments as required to the Local Government Pension Scheme in </w:t>
      </w:r>
      <w:r w:rsidR="00166B3F" w:rsidRPr="00166B3F">
        <w:rPr>
          <w:rFonts w:ascii="Arial" w:hAnsi="Arial" w:cs="Arial"/>
        </w:rPr>
        <w:t xml:space="preserve">respect of those Councillors who elect to become Councillor members of the pension scheme.  </w:t>
      </w:r>
      <w:r w:rsidR="00166B3F" w:rsidRPr="00166B3F">
        <w:rPr>
          <w:rFonts w:ascii="Arial" w:hAnsi="Arial" w:cs="Arial"/>
          <w:lang w:val="en-US"/>
        </w:rPr>
        <w:t>The pension entitlemen</w:t>
      </w:r>
      <w:r w:rsidR="002F4D8A">
        <w:rPr>
          <w:rFonts w:ascii="Arial" w:hAnsi="Arial" w:cs="Arial"/>
          <w:lang w:val="en-US"/>
        </w:rPr>
        <w:t>ts for the year to 31 March 2020</w:t>
      </w:r>
      <w:r w:rsidR="00166B3F" w:rsidRPr="00166B3F">
        <w:rPr>
          <w:rFonts w:ascii="Arial" w:hAnsi="Arial" w:cs="Arial"/>
          <w:lang w:val="en-US"/>
        </w:rPr>
        <w:t xml:space="preserve"> </w:t>
      </w:r>
      <w:r w:rsidR="00B66682">
        <w:rPr>
          <w:rFonts w:ascii="Arial" w:hAnsi="Arial" w:cs="Arial"/>
          <w:lang w:val="en-US"/>
        </w:rPr>
        <w:t>are shown in Table 5 on page 33</w:t>
      </w:r>
      <w:r w:rsidR="00166B3F" w:rsidRPr="00166B3F">
        <w:rPr>
          <w:rFonts w:ascii="Arial" w:hAnsi="Arial" w:cs="Arial"/>
          <w:lang w:val="en-US"/>
        </w:rPr>
        <w:t>.</w:t>
      </w:r>
    </w:p>
    <w:p w:rsidR="00166B3F" w:rsidRPr="00166B3F" w:rsidRDefault="00166B3F" w:rsidP="00166B3F">
      <w:pPr>
        <w:autoSpaceDE w:val="0"/>
        <w:autoSpaceDN w:val="0"/>
        <w:adjustRightInd w:val="0"/>
        <w:spacing w:before="0" w:after="0"/>
        <w:jc w:val="both"/>
        <w:rPr>
          <w:rFonts w:ascii="Arial" w:hAnsi="Arial" w:cs="Arial"/>
          <w:lang w:val="en-US"/>
        </w:rPr>
      </w:pPr>
    </w:p>
    <w:p w:rsidR="005F5DD0" w:rsidRPr="00C12BEC" w:rsidRDefault="00166B3F" w:rsidP="00C12BEC">
      <w:pPr>
        <w:autoSpaceDE w:val="0"/>
        <w:autoSpaceDN w:val="0"/>
        <w:adjustRightInd w:val="0"/>
        <w:spacing w:before="0" w:after="0"/>
        <w:rPr>
          <w:rFonts w:ascii="Arial" w:hAnsi="Arial" w:cs="Arial"/>
          <w:lang w:val="en-US"/>
        </w:rPr>
      </w:pPr>
      <w:r w:rsidRPr="00166B3F">
        <w:rPr>
          <w:rFonts w:ascii="Arial" w:hAnsi="Arial" w:cs="Arial"/>
          <w:lang w:val="en-US"/>
        </w:rPr>
        <w:t xml:space="preserve">The Scheme of Members Allowances which encompasses the salaries of all elected members including the Leader, Provost, Bailie and Senior Councillors was agreed at a meeting of the full </w:t>
      </w:r>
      <w:r w:rsidRPr="00741A2B">
        <w:rPr>
          <w:rFonts w:ascii="Arial" w:hAnsi="Arial" w:cs="Arial"/>
          <w:lang w:val="en-US"/>
        </w:rPr>
        <w:t>Council on 17 May 2017. The</w:t>
      </w:r>
      <w:r w:rsidRPr="00166B3F">
        <w:rPr>
          <w:rFonts w:ascii="Arial" w:hAnsi="Arial" w:cs="Arial"/>
          <w:lang w:val="en-US"/>
        </w:rPr>
        <w:t xml:space="preserve"> </w:t>
      </w:r>
      <w:hyperlink r:id="rId38" w:history="1">
        <w:r w:rsidRPr="0055418C">
          <w:rPr>
            <w:rStyle w:val="Hyperlink"/>
            <w:rFonts w:ascii="Arial" w:hAnsi="Arial" w:cs="Arial"/>
            <w:lang w:val="en-US"/>
          </w:rPr>
          <w:t>report to Council</w:t>
        </w:r>
      </w:hyperlink>
      <w:r w:rsidRPr="00166B3F">
        <w:rPr>
          <w:rFonts w:ascii="Arial" w:hAnsi="Arial" w:cs="Arial"/>
          <w:lang w:val="en-US"/>
        </w:rPr>
        <w:t xml:space="preserve"> and the </w:t>
      </w:r>
      <w:hyperlink r:id="rId39" w:history="1">
        <w:r w:rsidRPr="0055418C">
          <w:rPr>
            <w:rStyle w:val="Hyperlink"/>
            <w:rFonts w:ascii="Arial" w:hAnsi="Arial" w:cs="Arial"/>
            <w:lang w:val="en-US"/>
          </w:rPr>
          <w:t>Register of Me</w:t>
        </w:r>
        <w:r w:rsidR="00C12BEC" w:rsidRPr="0055418C">
          <w:rPr>
            <w:rStyle w:val="Hyperlink"/>
            <w:rFonts w:ascii="Arial" w:hAnsi="Arial" w:cs="Arial"/>
            <w:lang w:val="en-US"/>
          </w:rPr>
          <w:t>mbers’ Expenses</w:t>
        </w:r>
      </w:hyperlink>
      <w:r w:rsidR="00C12BEC">
        <w:rPr>
          <w:rFonts w:ascii="Arial" w:hAnsi="Arial" w:cs="Arial"/>
          <w:lang w:val="en-US"/>
        </w:rPr>
        <w:t xml:space="preserve"> is availabl</w:t>
      </w:r>
      <w:r w:rsidR="0055418C">
        <w:rPr>
          <w:rFonts w:ascii="Arial" w:hAnsi="Arial" w:cs="Arial"/>
          <w:lang w:val="en-US"/>
        </w:rPr>
        <w:t>e online.</w:t>
      </w:r>
    </w:p>
    <w:p w:rsidR="001D26BE" w:rsidRPr="001D26BE" w:rsidRDefault="001D26BE" w:rsidP="001D26BE">
      <w:pPr>
        <w:autoSpaceDE w:val="0"/>
        <w:autoSpaceDN w:val="0"/>
        <w:adjustRightInd w:val="0"/>
        <w:spacing w:before="0" w:after="0"/>
        <w:rPr>
          <w:rFonts w:ascii="Arial" w:hAnsi="Arial" w:cs="Arial"/>
          <w:lang w:val="en-US"/>
        </w:rPr>
      </w:pPr>
    </w:p>
    <w:p w:rsidR="00255284" w:rsidRPr="00375FD4" w:rsidRDefault="00255284" w:rsidP="00255284">
      <w:pPr>
        <w:pStyle w:val="Default"/>
        <w:spacing w:before="0" w:after="0"/>
        <w:jc w:val="both"/>
        <w:rPr>
          <w:rFonts w:ascii="Arial" w:hAnsi="Arial" w:cs="Arial"/>
          <w:color w:val="auto"/>
          <w:sz w:val="20"/>
          <w:szCs w:val="20"/>
        </w:rPr>
      </w:pPr>
    </w:p>
    <w:p w:rsidR="00255284" w:rsidRPr="00375FD4" w:rsidRDefault="00255284" w:rsidP="00255284">
      <w:pPr>
        <w:spacing w:before="0" w:after="0"/>
        <w:rPr>
          <w:rFonts w:ascii="Arial" w:hAnsi="Arial" w:cs="Arial"/>
          <w:b/>
          <w:sz w:val="24"/>
          <w:szCs w:val="24"/>
        </w:rPr>
      </w:pPr>
      <w:r w:rsidRPr="00375FD4">
        <w:rPr>
          <w:rFonts w:ascii="Arial" w:hAnsi="Arial" w:cs="Arial"/>
          <w:b/>
        </w:rPr>
        <w:br w:type="page"/>
      </w:r>
      <w:r w:rsidRPr="00375FD4">
        <w:rPr>
          <w:rFonts w:ascii="Arial" w:hAnsi="Arial" w:cs="Arial"/>
          <w:b/>
          <w:sz w:val="24"/>
          <w:szCs w:val="24"/>
        </w:rPr>
        <w:lastRenderedPageBreak/>
        <w:t>Remuneration Report (Cont’d)</w:t>
      </w:r>
    </w:p>
    <w:p w:rsidR="00F7565B" w:rsidRPr="00F7565B" w:rsidRDefault="00F7565B" w:rsidP="00F7565B">
      <w:pPr>
        <w:autoSpaceDE w:val="0"/>
        <w:autoSpaceDN w:val="0"/>
        <w:adjustRightInd w:val="0"/>
        <w:spacing w:before="0" w:after="0"/>
        <w:ind w:right="180"/>
        <w:rPr>
          <w:rFonts w:ascii="Arial" w:hAnsi="Arial" w:cs="Arial"/>
          <w:b/>
        </w:rPr>
      </w:pPr>
    </w:p>
    <w:p w:rsidR="00F7565B" w:rsidRPr="00F7565B" w:rsidRDefault="00F7565B" w:rsidP="00CC4CD7">
      <w:pPr>
        <w:autoSpaceDE w:val="0"/>
        <w:autoSpaceDN w:val="0"/>
        <w:adjustRightInd w:val="0"/>
        <w:spacing w:before="0" w:after="0"/>
        <w:ind w:left="284" w:right="180" w:hanging="284"/>
        <w:rPr>
          <w:rFonts w:ascii="Arial" w:hAnsi="Arial" w:cs="Arial"/>
          <w:b/>
          <w:u w:val="single"/>
        </w:rPr>
      </w:pPr>
      <w:r w:rsidRPr="00F7565B">
        <w:rPr>
          <w:rFonts w:ascii="Arial" w:hAnsi="Arial" w:cs="Arial"/>
          <w:b/>
        </w:rPr>
        <w:t xml:space="preserve">a) </w:t>
      </w:r>
      <w:r w:rsidR="00CC4CD7">
        <w:rPr>
          <w:rFonts w:ascii="Arial" w:hAnsi="Arial" w:cs="Arial"/>
          <w:b/>
        </w:rPr>
        <w:tab/>
      </w:r>
      <w:r w:rsidRPr="00F7565B">
        <w:rPr>
          <w:rFonts w:ascii="Arial" w:hAnsi="Arial" w:cs="Arial"/>
          <w:b/>
          <w:u w:val="single"/>
        </w:rPr>
        <w:t xml:space="preserve">Remuneration </w:t>
      </w:r>
      <w:r>
        <w:rPr>
          <w:rFonts w:ascii="Arial" w:hAnsi="Arial" w:cs="Arial"/>
          <w:b/>
          <w:u w:val="single"/>
        </w:rPr>
        <w:t>–</w:t>
      </w:r>
      <w:r w:rsidRPr="00F7565B">
        <w:rPr>
          <w:rFonts w:ascii="Arial" w:hAnsi="Arial" w:cs="Arial"/>
          <w:b/>
          <w:u w:val="single"/>
        </w:rPr>
        <w:t xml:space="preserve"> Councillors</w:t>
      </w:r>
      <w:r>
        <w:rPr>
          <w:rFonts w:ascii="Arial" w:hAnsi="Arial" w:cs="Arial"/>
          <w:b/>
          <w:u w:val="single"/>
        </w:rPr>
        <w:t xml:space="preserve"> (Cont’d)</w:t>
      </w:r>
    </w:p>
    <w:p w:rsidR="00255284" w:rsidRPr="00375FD4" w:rsidRDefault="00255284" w:rsidP="00255284">
      <w:pPr>
        <w:spacing w:before="0" w:after="0"/>
        <w:rPr>
          <w:rFonts w:ascii="Arial" w:hAnsi="Arial" w:cs="Arial"/>
          <w:b/>
          <w:sz w:val="24"/>
          <w:szCs w:val="24"/>
        </w:rPr>
      </w:pPr>
    </w:p>
    <w:p w:rsidR="00D906AC" w:rsidRDefault="00D906AC" w:rsidP="00D906AC">
      <w:pPr>
        <w:spacing w:before="0" w:after="0"/>
        <w:ind w:right="360"/>
        <w:jc w:val="both"/>
        <w:rPr>
          <w:rFonts w:ascii="Arial" w:hAnsi="Arial" w:cs="Arial"/>
          <w:b/>
        </w:rPr>
      </w:pPr>
      <w:r w:rsidRPr="00375FD4">
        <w:rPr>
          <w:rFonts w:ascii="Arial" w:hAnsi="Arial" w:cs="Arial"/>
          <w:b/>
        </w:rPr>
        <w:t>Table 1: Remuneration of Senior Councillors</w:t>
      </w:r>
    </w:p>
    <w:p w:rsidR="00255284" w:rsidRPr="00375FD4" w:rsidRDefault="00255284" w:rsidP="00255284">
      <w:pPr>
        <w:spacing w:before="0" w:after="0"/>
        <w:jc w:val="both"/>
        <w:rPr>
          <w:rFonts w:ascii="Arial" w:hAnsi="Arial" w:cs="Arial"/>
          <w:b/>
        </w:rPr>
      </w:pPr>
    </w:p>
    <w:p w:rsidR="000507CF" w:rsidRDefault="001E3290" w:rsidP="00255284">
      <w:pPr>
        <w:spacing w:before="0" w:after="0"/>
        <w:jc w:val="both"/>
        <w:rPr>
          <w:rFonts w:ascii="Arial" w:hAnsi="Arial" w:cs="Arial"/>
          <w:b/>
        </w:rPr>
      </w:pPr>
      <w:r w:rsidRPr="001E3290">
        <w:rPr>
          <w:noProof/>
          <w:lang w:eastAsia="en-GB"/>
        </w:rPr>
        <w:drawing>
          <wp:inline distT="0" distB="0" distL="0" distR="0" wp14:anchorId="31EB51C4" wp14:editId="2BAC9CFA">
            <wp:extent cx="5731510" cy="4457841"/>
            <wp:effectExtent l="0" t="0" r="2540" b="0"/>
            <wp:docPr id="29" name="Picture 29" descr="remuneration of senior councillors" title="remuneration report 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457841"/>
                    </a:xfrm>
                    <a:prstGeom prst="rect">
                      <a:avLst/>
                    </a:prstGeom>
                    <a:noFill/>
                    <a:ln>
                      <a:noFill/>
                    </a:ln>
                  </pic:spPr>
                </pic:pic>
              </a:graphicData>
            </a:graphic>
          </wp:inline>
        </w:drawing>
      </w:r>
    </w:p>
    <w:p w:rsidR="004A75A7" w:rsidRDefault="004A75A7" w:rsidP="00255284">
      <w:pPr>
        <w:spacing w:before="0" w:after="0"/>
        <w:jc w:val="both"/>
        <w:rPr>
          <w:rFonts w:ascii="Arial" w:hAnsi="Arial" w:cs="Arial"/>
          <w:b/>
        </w:rPr>
      </w:pPr>
    </w:p>
    <w:p w:rsidR="00520534" w:rsidRDefault="00520534" w:rsidP="00520534">
      <w:pPr>
        <w:spacing w:before="0" w:after="0"/>
        <w:jc w:val="both"/>
        <w:rPr>
          <w:rFonts w:ascii="Arial" w:hAnsi="Arial" w:cs="Arial"/>
        </w:rPr>
      </w:pPr>
      <w:r w:rsidRPr="00375FD4">
        <w:rPr>
          <w:rFonts w:ascii="Arial" w:hAnsi="Arial" w:cs="Arial"/>
          <w:b/>
        </w:rPr>
        <w:t>Note:</w:t>
      </w:r>
      <w:r>
        <w:rPr>
          <w:rFonts w:ascii="Arial" w:hAnsi="Arial" w:cs="Arial"/>
        </w:rPr>
        <w:t xml:space="preserve"> </w:t>
      </w:r>
      <w:r w:rsidRPr="00375FD4">
        <w:rPr>
          <w:rFonts w:ascii="Arial" w:hAnsi="Arial" w:cs="Arial"/>
        </w:rPr>
        <w:t xml:space="preserve">The term </w:t>
      </w:r>
      <w:r w:rsidRPr="00375FD4">
        <w:rPr>
          <w:rFonts w:ascii="Arial" w:hAnsi="Arial" w:cs="Arial"/>
          <w:i/>
        </w:rPr>
        <w:t>Senior Councillor</w:t>
      </w:r>
      <w:r w:rsidRPr="00375FD4">
        <w:rPr>
          <w:rFonts w:ascii="Arial" w:hAnsi="Arial" w:cs="Arial"/>
        </w:rPr>
        <w:t xml:space="preserve"> means a Leader of the Council, the Civic Head or a Senior Councillor, all as defined by regulation 2 of the Local Governance (Scotland) Act 2004 (Remuneration) Regulations 2007(3).</w:t>
      </w:r>
    </w:p>
    <w:p w:rsidR="00255E87" w:rsidRDefault="00255E87" w:rsidP="001F1E67">
      <w:pPr>
        <w:spacing w:before="0" w:after="0"/>
        <w:jc w:val="both"/>
        <w:rPr>
          <w:rFonts w:ascii="Arial" w:hAnsi="Arial" w:cs="Arial"/>
        </w:rPr>
      </w:pPr>
    </w:p>
    <w:p w:rsidR="00255E87" w:rsidRDefault="00255E87" w:rsidP="001F1E67">
      <w:pPr>
        <w:spacing w:before="0" w:after="0"/>
        <w:jc w:val="both"/>
        <w:rPr>
          <w:rFonts w:ascii="Arial" w:hAnsi="Arial" w:cs="Arial"/>
        </w:rPr>
      </w:pPr>
      <w:r w:rsidRPr="002F4D8A">
        <w:rPr>
          <w:rFonts w:ascii="Arial" w:hAnsi="Arial" w:cs="Arial"/>
        </w:rPr>
        <w:t xml:space="preserve">The amount shown under salary, fees and allowances for the post of Provost </w:t>
      </w:r>
      <w:r w:rsidR="002F4D8A" w:rsidRPr="002F4D8A">
        <w:rPr>
          <w:rFonts w:ascii="Arial" w:hAnsi="Arial" w:cs="Arial"/>
        </w:rPr>
        <w:t xml:space="preserve">for 2018/19 </w:t>
      </w:r>
      <w:r w:rsidRPr="002F4D8A">
        <w:rPr>
          <w:rFonts w:ascii="Arial" w:hAnsi="Arial" w:cs="Arial"/>
        </w:rPr>
        <w:t>is greater than the amount for the po</w:t>
      </w:r>
      <w:r w:rsidR="00520534" w:rsidRPr="002F4D8A">
        <w:rPr>
          <w:rFonts w:ascii="Arial" w:hAnsi="Arial" w:cs="Arial"/>
        </w:rPr>
        <w:t>st of as senior councillor as there was a discrepancy in the salary paid during the financial year 2017/18 and this was rectified during the year 2018/19.</w:t>
      </w:r>
    </w:p>
    <w:p w:rsidR="00255284" w:rsidRDefault="00255284" w:rsidP="0044151F">
      <w:pPr>
        <w:spacing w:before="0" w:after="0"/>
        <w:jc w:val="both"/>
        <w:rPr>
          <w:rFonts w:ascii="Arial" w:hAnsi="Arial" w:cs="Arial"/>
        </w:rPr>
      </w:pPr>
    </w:p>
    <w:p w:rsidR="00D906AC" w:rsidRPr="00375FD4" w:rsidRDefault="00D906AC" w:rsidP="00D906AC">
      <w:pPr>
        <w:spacing w:before="0" w:after="0"/>
        <w:ind w:left="360" w:hanging="360"/>
        <w:jc w:val="both"/>
        <w:rPr>
          <w:rFonts w:ascii="Arial" w:hAnsi="Arial" w:cs="Arial"/>
          <w:b/>
        </w:rPr>
      </w:pPr>
      <w:r w:rsidRPr="00375FD4">
        <w:rPr>
          <w:rFonts w:ascii="Arial" w:hAnsi="Arial" w:cs="Arial"/>
          <w:b/>
        </w:rPr>
        <w:t xml:space="preserve">Remuneration paid to </w:t>
      </w:r>
      <w:r>
        <w:rPr>
          <w:rFonts w:ascii="Arial" w:hAnsi="Arial" w:cs="Arial"/>
          <w:b/>
        </w:rPr>
        <w:t xml:space="preserve">all </w:t>
      </w:r>
      <w:r w:rsidRPr="00375FD4">
        <w:rPr>
          <w:rFonts w:ascii="Arial" w:hAnsi="Arial" w:cs="Arial"/>
          <w:b/>
        </w:rPr>
        <w:t>Councillors</w:t>
      </w:r>
    </w:p>
    <w:p w:rsidR="00B96C72" w:rsidRDefault="00B41878" w:rsidP="007D2988">
      <w:pPr>
        <w:spacing w:before="0" w:after="0"/>
        <w:rPr>
          <w:rFonts w:ascii="Arial" w:hAnsi="Arial" w:cs="Arial"/>
        </w:rPr>
      </w:pPr>
      <w:r>
        <w:rPr>
          <w:rFonts w:ascii="Arial" w:hAnsi="Arial" w:cs="Arial"/>
        </w:rPr>
        <w:t>The c</w:t>
      </w:r>
      <w:r w:rsidR="00B96C72" w:rsidRPr="00375FD4">
        <w:rPr>
          <w:rFonts w:ascii="Arial" w:hAnsi="Arial" w:cs="Arial"/>
        </w:rPr>
        <w:t>ouncil paid the following salaries, allowances and expenses to all Councillors (including the Senior Councillors above) during the year</w:t>
      </w:r>
      <w:r w:rsidR="00510F2D">
        <w:rPr>
          <w:rFonts w:ascii="Arial" w:hAnsi="Arial" w:cs="Arial"/>
        </w:rPr>
        <w:t>:</w:t>
      </w:r>
    </w:p>
    <w:p w:rsidR="00543F82" w:rsidRDefault="00543F82" w:rsidP="00A37081">
      <w:pPr>
        <w:spacing w:before="0" w:after="0"/>
        <w:jc w:val="both"/>
        <w:rPr>
          <w:rFonts w:ascii="Arial" w:hAnsi="Arial" w:cs="Arial"/>
        </w:rPr>
      </w:pPr>
    </w:p>
    <w:p w:rsidR="00255284" w:rsidRDefault="001E3290" w:rsidP="001F1E67">
      <w:pPr>
        <w:spacing w:before="0" w:after="0"/>
        <w:rPr>
          <w:rFonts w:ascii="Arial" w:hAnsi="Arial" w:cs="Arial"/>
        </w:rPr>
      </w:pPr>
      <w:r w:rsidRPr="001E3290">
        <w:rPr>
          <w:noProof/>
          <w:lang w:eastAsia="en-GB"/>
        </w:rPr>
        <w:drawing>
          <wp:inline distT="0" distB="0" distL="0" distR="0">
            <wp:extent cx="2809875" cy="819150"/>
            <wp:effectExtent l="0" t="0" r="9525" b="0"/>
            <wp:docPr id="31" name="Picture 31" descr="total of remuneration paid to all councillors 2018/19 and 2019/20" title="remuneration repor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09875" cy="819150"/>
                    </a:xfrm>
                    <a:prstGeom prst="rect">
                      <a:avLst/>
                    </a:prstGeom>
                    <a:noFill/>
                    <a:ln>
                      <a:noFill/>
                    </a:ln>
                  </pic:spPr>
                </pic:pic>
              </a:graphicData>
            </a:graphic>
          </wp:inline>
        </w:drawing>
      </w:r>
    </w:p>
    <w:p w:rsidR="0001624E" w:rsidRPr="00B96C72" w:rsidRDefault="0001624E" w:rsidP="001F1E67">
      <w:pPr>
        <w:spacing w:before="0" w:after="0"/>
        <w:rPr>
          <w:rFonts w:ascii="Arial" w:hAnsi="Arial" w:cs="Arial"/>
        </w:rPr>
      </w:pPr>
    </w:p>
    <w:p w:rsidR="00C55D0A" w:rsidRDefault="00C55D0A" w:rsidP="002555C4">
      <w:pPr>
        <w:spacing w:before="0" w:after="0"/>
        <w:rPr>
          <w:rFonts w:ascii="Arial" w:hAnsi="Arial" w:cs="Arial"/>
          <w:b/>
          <w:sz w:val="24"/>
          <w:szCs w:val="24"/>
        </w:rPr>
      </w:pPr>
    </w:p>
    <w:p w:rsidR="00C55D0A" w:rsidRDefault="00C55D0A" w:rsidP="002555C4">
      <w:pPr>
        <w:spacing w:before="0" w:after="0"/>
        <w:rPr>
          <w:rFonts w:ascii="Arial" w:hAnsi="Arial" w:cs="Arial"/>
          <w:b/>
          <w:sz w:val="24"/>
          <w:szCs w:val="24"/>
        </w:rPr>
      </w:pPr>
    </w:p>
    <w:p w:rsidR="00C55D0A" w:rsidRDefault="00C55D0A" w:rsidP="002555C4">
      <w:pPr>
        <w:spacing w:before="0" w:after="0"/>
        <w:rPr>
          <w:rFonts w:ascii="Arial" w:hAnsi="Arial" w:cs="Arial"/>
          <w:b/>
          <w:sz w:val="24"/>
          <w:szCs w:val="24"/>
        </w:rPr>
      </w:pPr>
    </w:p>
    <w:p w:rsidR="002555C4" w:rsidRPr="00375FD4" w:rsidRDefault="002555C4" w:rsidP="002555C4">
      <w:pPr>
        <w:spacing w:before="0" w:after="0"/>
        <w:rPr>
          <w:rFonts w:ascii="Arial" w:hAnsi="Arial" w:cs="Arial"/>
          <w:b/>
          <w:sz w:val="24"/>
          <w:szCs w:val="24"/>
        </w:rPr>
      </w:pPr>
      <w:r w:rsidRPr="00375FD4">
        <w:rPr>
          <w:rFonts w:ascii="Arial" w:hAnsi="Arial" w:cs="Arial"/>
          <w:b/>
          <w:sz w:val="24"/>
          <w:szCs w:val="24"/>
        </w:rPr>
        <w:lastRenderedPageBreak/>
        <w:t>Remuneration Report (Cont’d)</w:t>
      </w:r>
    </w:p>
    <w:p w:rsidR="002555C4" w:rsidRDefault="002555C4" w:rsidP="002555C4">
      <w:pPr>
        <w:spacing w:before="0" w:after="0"/>
        <w:rPr>
          <w:rFonts w:ascii="Arial" w:hAnsi="Arial" w:cs="Arial"/>
          <w:b/>
          <w:sz w:val="24"/>
          <w:szCs w:val="24"/>
        </w:rPr>
      </w:pPr>
    </w:p>
    <w:p w:rsidR="00D906AC" w:rsidRPr="00375FD4" w:rsidRDefault="00D906AC" w:rsidP="00D906AC">
      <w:pPr>
        <w:spacing w:before="0" w:after="0"/>
        <w:ind w:left="360" w:hanging="360"/>
        <w:jc w:val="both"/>
        <w:rPr>
          <w:rFonts w:ascii="Arial" w:hAnsi="Arial" w:cs="Arial"/>
          <w:b/>
        </w:rPr>
      </w:pPr>
      <w:r>
        <w:rPr>
          <w:rFonts w:ascii="Arial" w:hAnsi="Arial" w:cs="Arial"/>
          <w:b/>
        </w:rPr>
        <w:t>b</w:t>
      </w:r>
      <w:r w:rsidRPr="00375FD4">
        <w:rPr>
          <w:rFonts w:ascii="Arial" w:hAnsi="Arial" w:cs="Arial"/>
          <w:b/>
        </w:rPr>
        <w:t xml:space="preserve">) </w:t>
      </w:r>
      <w:r w:rsidRPr="00375FD4">
        <w:rPr>
          <w:rFonts w:ascii="Arial" w:hAnsi="Arial" w:cs="Arial"/>
          <w:b/>
        </w:rPr>
        <w:tab/>
      </w:r>
      <w:r w:rsidR="003E727B" w:rsidRPr="003E727B">
        <w:rPr>
          <w:rFonts w:ascii="Arial" w:hAnsi="Arial" w:cs="Arial"/>
          <w:b/>
          <w:u w:val="single"/>
        </w:rPr>
        <w:t>Remuneration - Senior Employees and Senior Employees of Subsidiaries</w:t>
      </w:r>
    </w:p>
    <w:p w:rsidR="00C55D0A" w:rsidRDefault="00C55D0A" w:rsidP="00C55D0A">
      <w:pPr>
        <w:rPr>
          <w:rFonts w:ascii="Arial" w:hAnsi="Arial" w:cs="Arial"/>
          <w:b/>
        </w:rPr>
      </w:pPr>
    </w:p>
    <w:p w:rsidR="00C55D0A" w:rsidRDefault="00C55D0A" w:rsidP="00C55D0A">
      <w:pPr>
        <w:rPr>
          <w:color w:val="1F497D"/>
        </w:rPr>
      </w:pPr>
      <w:r w:rsidRPr="00375FD4">
        <w:rPr>
          <w:rFonts w:ascii="Arial" w:hAnsi="Arial" w:cs="Arial"/>
          <w:b/>
        </w:rPr>
        <w:t>Note:</w:t>
      </w:r>
      <w:r>
        <w:rPr>
          <w:rFonts w:ascii="Arial" w:hAnsi="Arial" w:cs="Arial"/>
        </w:rPr>
        <w:t xml:space="preserve"> </w:t>
      </w:r>
      <w:r w:rsidRPr="00375FD4">
        <w:rPr>
          <w:rFonts w:ascii="Arial" w:hAnsi="Arial" w:cs="Arial"/>
        </w:rPr>
        <w:t>The annual return of Councillors</w:t>
      </w:r>
      <w:r>
        <w:rPr>
          <w:rFonts w:ascii="Arial" w:hAnsi="Arial" w:cs="Arial"/>
        </w:rPr>
        <w:t>’ salaries and expenses for 2019/20</w:t>
      </w:r>
      <w:r w:rsidRPr="00375FD4">
        <w:rPr>
          <w:rFonts w:ascii="Arial" w:hAnsi="Arial" w:cs="Arial"/>
        </w:rPr>
        <w:t xml:space="preserve"> is available for any membe</w:t>
      </w:r>
      <w:r>
        <w:rPr>
          <w:rFonts w:ascii="Arial" w:hAnsi="Arial" w:cs="Arial"/>
        </w:rPr>
        <w:t>r of the public to view at all c</w:t>
      </w:r>
      <w:r w:rsidRPr="00375FD4">
        <w:rPr>
          <w:rFonts w:ascii="Arial" w:hAnsi="Arial" w:cs="Arial"/>
        </w:rPr>
        <w:t>ouncil libraries and public offices during normal working hour</w:t>
      </w:r>
      <w:r>
        <w:rPr>
          <w:rFonts w:ascii="Arial" w:hAnsi="Arial" w:cs="Arial"/>
        </w:rPr>
        <w:t>s and is also available on the council website at</w:t>
      </w:r>
      <w:r w:rsidRPr="00375FD4">
        <w:rPr>
          <w:rFonts w:ascii="Arial" w:hAnsi="Arial" w:cs="Arial"/>
        </w:rPr>
        <w:t xml:space="preserve"> </w:t>
      </w:r>
      <w:hyperlink r:id="rId42" w:history="1">
        <w:r w:rsidRPr="00C012CE">
          <w:rPr>
            <w:rStyle w:val="Hyperlink"/>
            <w:rFonts w:ascii="Arial" w:hAnsi="Arial" w:cs="Arial"/>
            <w:color w:val="auto"/>
          </w:rPr>
          <w:t>https://www.west-dunbarton.gov.uk/council/councillors-and-committees/councillors-allowances/</w:t>
        </w:r>
      </w:hyperlink>
    </w:p>
    <w:p w:rsidR="00C55D0A" w:rsidRDefault="00C55D0A" w:rsidP="00166B3F">
      <w:pPr>
        <w:autoSpaceDE w:val="0"/>
        <w:autoSpaceDN w:val="0"/>
        <w:adjustRightInd w:val="0"/>
        <w:spacing w:before="0" w:after="0"/>
        <w:rPr>
          <w:rFonts w:ascii="Arial" w:hAnsi="Arial" w:cs="Arial"/>
          <w:lang w:val="en-US"/>
        </w:rPr>
      </w:pPr>
    </w:p>
    <w:p w:rsidR="00166B3F" w:rsidRPr="00166B3F" w:rsidRDefault="00166B3F" w:rsidP="00166B3F">
      <w:pPr>
        <w:autoSpaceDE w:val="0"/>
        <w:autoSpaceDN w:val="0"/>
        <w:adjustRightInd w:val="0"/>
        <w:spacing w:before="0" w:after="0"/>
        <w:rPr>
          <w:rFonts w:ascii="Arial" w:hAnsi="Arial" w:cs="Arial"/>
        </w:rPr>
      </w:pPr>
      <w:r w:rsidRPr="00166B3F">
        <w:rPr>
          <w:rFonts w:ascii="Arial" w:hAnsi="Arial" w:cs="Arial"/>
          <w:lang w:val="en-US"/>
        </w:rPr>
        <w:t>The salary of senior employees is set by reference to national arrangements. The Scottish Joint Negotiating Committee (SJNC) for Local Authority Services sets the salaries for the Chief Executives of Scottish local authorities. Circular CO/150 sets the amount of salary for the Chief Officials of West Dunbartonshire Council for the period 2018 to 2021. The post of Chief Officer Health and Social Care Partnership is a joint post between West Dunbartonshire Council and NHS Greater Glasgow and Clyde.</w:t>
      </w:r>
    </w:p>
    <w:p w:rsidR="00255284" w:rsidRPr="00375FD4" w:rsidRDefault="00255284" w:rsidP="00510F2D">
      <w:pPr>
        <w:spacing w:before="0" w:after="0"/>
        <w:rPr>
          <w:rFonts w:ascii="Arial" w:hAnsi="Arial" w:cs="Arial"/>
          <w:b/>
        </w:rPr>
      </w:pPr>
    </w:p>
    <w:p w:rsidR="00D906AC" w:rsidRPr="00375FD4" w:rsidRDefault="00D906AC" w:rsidP="00D906AC">
      <w:pPr>
        <w:spacing w:before="0" w:after="0"/>
        <w:rPr>
          <w:rFonts w:ascii="Arial" w:hAnsi="Arial" w:cs="Arial"/>
        </w:rPr>
      </w:pPr>
      <w:r w:rsidRPr="00375FD4">
        <w:rPr>
          <w:rFonts w:ascii="Arial" w:hAnsi="Arial" w:cs="Arial"/>
        </w:rPr>
        <w:t>The only benefits received by employees are</w:t>
      </w:r>
      <w:r>
        <w:rPr>
          <w:rFonts w:ascii="Arial" w:hAnsi="Arial" w:cs="Arial"/>
        </w:rPr>
        <w:t>:</w:t>
      </w:r>
      <w:r w:rsidRPr="00375FD4">
        <w:rPr>
          <w:rFonts w:ascii="Arial" w:hAnsi="Arial" w:cs="Arial"/>
        </w:rPr>
        <w:t xml:space="preserve"> salary</w:t>
      </w:r>
      <w:r>
        <w:rPr>
          <w:rFonts w:ascii="Arial" w:hAnsi="Arial" w:cs="Arial"/>
        </w:rPr>
        <w:t xml:space="preserve">; </w:t>
      </w:r>
      <w:r w:rsidRPr="00375FD4">
        <w:rPr>
          <w:rFonts w:ascii="Arial" w:hAnsi="Arial" w:cs="Arial"/>
        </w:rPr>
        <w:t>employer contributions to the pension fund</w:t>
      </w:r>
      <w:r>
        <w:rPr>
          <w:rFonts w:ascii="Arial" w:hAnsi="Arial" w:cs="Arial"/>
        </w:rPr>
        <w:t>; and where applicable, payment for election duties.</w:t>
      </w:r>
      <w:r w:rsidRPr="00375FD4">
        <w:rPr>
          <w:rFonts w:ascii="Arial" w:hAnsi="Arial" w:cs="Arial"/>
        </w:rPr>
        <w:t xml:space="preserve">  There were no bonuses, compensation for loss of office or other benefits paid to senior employees during the year. The </w:t>
      </w:r>
      <w:r>
        <w:rPr>
          <w:rFonts w:ascii="Arial" w:hAnsi="Arial" w:cs="Arial"/>
        </w:rPr>
        <w:t>remuneration</w:t>
      </w:r>
      <w:r w:rsidRPr="00375FD4">
        <w:rPr>
          <w:rFonts w:ascii="Arial" w:hAnsi="Arial" w:cs="Arial"/>
        </w:rPr>
        <w:t xml:space="preserve"> details for senior employees are noted in </w:t>
      </w:r>
      <w:r>
        <w:rPr>
          <w:rFonts w:ascii="Arial" w:hAnsi="Arial" w:cs="Arial"/>
        </w:rPr>
        <w:t>T</w:t>
      </w:r>
      <w:r w:rsidRPr="00375FD4">
        <w:rPr>
          <w:rFonts w:ascii="Arial" w:hAnsi="Arial" w:cs="Arial"/>
        </w:rPr>
        <w:t>able 2</w:t>
      </w:r>
      <w:r>
        <w:rPr>
          <w:rFonts w:ascii="Arial" w:hAnsi="Arial" w:cs="Arial"/>
        </w:rPr>
        <w:t>:</w:t>
      </w:r>
    </w:p>
    <w:p w:rsidR="00255284" w:rsidRPr="00375FD4" w:rsidRDefault="00255284" w:rsidP="00255284">
      <w:pPr>
        <w:spacing w:before="0" w:after="0"/>
        <w:jc w:val="both"/>
        <w:rPr>
          <w:rFonts w:ascii="Arial" w:hAnsi="Arial" w:cs="Arial"/>
          <w:b/>
        </w:rPr>
      </w:pPr>
    </w:p>
    <w:p w:rsidR="00543F82" w:rsidRPr="00375FD4" w:rsidRDefault="00B420EF" w:rsidP="00255284">
      <w:pPr>
        <w:spacing w:before="0" w:after="0"/>
        <w:ind w:left="360" w:right="360" w:hanging="360"/>
        <w:jc w:val="both"/>
        <w:rPr>
          <w:rFonts w:ascii="Arial" w:hAnsi="Arial" w:cs="Arial"/>
          <w:b/>
        </w:rPr>
      </w:pPr>
      <w:r w:rsidRPr="00B420EF">
        <w:rPr>
          <w:noProof/>
          <w:lang w:eastAsia="en-GB"/>
        </w:rPr>
        <w:drawing>
          <wp:inline distT="0" distB="0" distL="0" distR="0">
            <wp:extent cx="5731510" cy="2750246"/>
            <wp:effectExtent l="0" t="0" r="2540" b="0"/>
            <wp:docPr id="11" name="Picture 11" descr="remuneration of senior employees" title="remuneration report tab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31510" cy="2750246"/>
                    </a:xfrm>
                    <a:prstGeom prst="rect">
                      <a:avLst/>
                    </a:prstGeom>
                    <a:noFill/>
                    <a:ln>
                      <a:noFill/>
                    </a:ln>
                  </pic:spPr>
                </pic:pic>
              </a:graphicData>
            </a:graphic>
          </wp:inline>
        </w:drawing>
      </w:r>
    </w:p>
    <w:p w:rsidR="00323AE4" w:rsidRDefault="00323AE4" w:rsidP="00645ACF">
      <w:pPr>
        <w:spacing w:before="0" w:after="0"/>
        <w:jc w:val="both"/>
        <w:rPr>
          <w:rFonts w:ascii="Arial" w:hAnsi="Arial" w:cs="Arial"/>
        </w:rPr>
      </w:pPr>
    </w:p>
    <w:p w:rsidR="00166B3F" w:rsidRPr="00166B3F" w:rsidRDefault="0001624E" w:rsidP="00166B3F">
      <w:pPr>
        <w:spacing w:before="0" w:after="0"/>
        <w:rPr>
          <w:rFonts w:ascii="Arial" w:hAnsi="Arial" w:cs="Arial"/>
        </w:rPr>
      </w:pPr>
      <w:r w:rsidRPr="0001624E">
        <w:rPr>
          <w:rFonts w:ascii="Arial" w:hAnsi="Arial" w:cs="Arial"/>
        </w:rPr>
        <w:t>Total remuneration 2019/20 includes election payments for senior employees.</w:t>
      </w:r>
      <w:r w:rsidR="002F4D8A">
        <w:rPr>
          <w:rFonts w:ascii="Arial" w:hAnsi="Arial" w:cs="Arial"/>
        </w:rPr>
        <w:t xml:space="preserve"> There were no elections in 2018/19.</w:t>
      </w:r>
    </w:p>
    <w:p w:rsidR="003E727B" w:rsidRDefault="003E727B" w:rsidP="003E727B">
      <w:pPr>
        <w:spacing w:before="0" w:after="0"/>
        <w:rPr>
          <w:rFonts w:ascii="Arial" w:hAnsi="Arial" w:cs="Arial"/>
          <w:highlight w:val="green"/>
        </w:rPr>
      </w:pPr>
    </w:p>
    <w:p w:rsidR="003E727B" w:rsidRPr="003E727B" w:rsidRDefault="003E727B" w:rsidP="003E727B">
      <w:pPr>
        <w:spacing w:before="0" w:after="0"/>
        <w:rPr>
          <w:rFonts w:ascii="Arial" w:hAnsi="Arial" w:cs="Arial"/>
        </w:rPr>
      </w:pPr>
      <w:r w:rsidRPr="003E727B">
        <w:rPr>
          <w:rFonts w:ascii="Arial" w:hAnsi="Arial" w:cs="Arial"/>
        </w:rPr>
        <w:t>Details of the post of Chief Officer-Health &amp; Social Care Partnership are included in the remun</w:t>
      </w:r>
      <w:r w:rsidR="00025BD3">
        <w:rPr>
          <w:rFonts w:ascii="Arial" w:hAnsi="Arial" w:cs="Arial"/>
        </w:rPr>
        <w:t>eration report of the Integration</w:t>
      </w:r>
      <w:r w:rsidRPr="003E727B">
        <w:rPr>
          <w:rFonts w:ascii="Arial" w:hAnsi="Arial" w:cs="Arial"/>
        </w:rPr>
        <w:t xml:space="preserve"> Joint Board. West Dunbartonshire Council funds 50% of this post and NHS Greater Glasgow fund the remaining 50%.</w:t>
      </w:r>
    </w:p>
    <w:p w:rsidR="00E823C3" w:rsidRDefault="00E823C3" w:rsidP="00484437">
      <w:pPr>
        <w:spacing w:before="0" w:after="0"/>
        <w:jc w:val="both"/>
        <w:rPr>
          <w:rFonts w:ascii="Arial" w:hAnsi="Arial" w:cs="Arial"/>
          <w:b/>
          <w:sz w:val="24"/>
          <w:szCs w:val="24"/>
        </w:rPr>
      </w:pPr>
    </w:p>
    <w:p w:rsidR="00255284" w:rsidRPr="00375FD4" w:rsidRDefault="00255284" w:rsidP="009A4034">
      <w:pPr>
        <w:spacing w:before="0" w:after="0"/>
        <w:rPr>
          <w:rFonts w:ascii="Arial" w:hAnsi="Arial" w:cs="Arial"/>
          <w:b/>
        </w:rPr>
      </w:pPr>
      <w:r w:rsidRPr="00375FD4">
        <w:rPr>
          <w:rFonts w:ascii="Arial" w:hAnsi="Arial" w:cs="Arial"/>
          <w:b/>
        </w:rPr>
        <w:t>Notes</w:t>
      </w:r>
    </w:p>
    <w:p w:rsidR="00255284" w:rsidRPr="00375FD4" w:rsidRDefault="00255284" w:rsidP="00EA6E47">
      <w:pPr>
        <w:numPr>
          <w:ilvl w:val="1"/>
          <w:numId w:val="7"/>
        </w:numPr>
        <w:tabs>
          <w:tab w:val="clear" w:pos="1211"/>
          <w:tab w:val="num" w:pos="-180"/>
          <w:tab w:val="num" w:pos="1276"/>
        </w:tabs>
        <w:spacing w:before="0" w:after="0"/>
        <w:ind w:left="709" w:hanging="283"/>
        <w:rPr>
          <w:rFonts w:ascii="Arial" w:hAnsi="Arial" w:cs="Arial"/>
        </w:rPr>
      </w:pPr>
      <w:r w:rsidRPr="00375FD4">
        <w:rPr>
          <w:rFonts w:ascii="Arial" w:hAnsi="Arial" w:cs="Arial"/>
          <w:lang w:val="en-US"/>
        </w:rPr>
        <w:t xml:space="preserve">The term </w:t>
      </w:r>
      <w:r w:rsidRPr="00375FD4">
        <w:rPr>
          <w:rFonts w:ascii="Arial" w:hAnsi="Arial" w:cs="Arial"/>
          <w:i/>
        </w:rPr>
        <w:t>senior employee</w:t>
      </w:r>
      <w:r w:rsidRPr="00375FD4">
        <w:rPr>
          <w:rFonts w:ascii="Arial" w:hAnsi="Arial" w:cs="Arial"/>
        </w:rPr>
        <w:t xml:space="preserve"> means any local authority employee:</w:t>
      </w:r>
    </w:p>
    <w:p w:rsidR="00255284" w:rsidRPr="00375FD4" w:rsidRDefault="00255284" w:rsidP="00EA6E47">
      <w:pPr>
        <w:numPr>
          <w:ilvl w:val="2"/>
          <w:numId w:val="8"/>
        </w:numPr>
        <w:tabs>
          <w:tab w:val="clear" w:pos="360"/>
        </w:tabs>
        <w:spacing w:before="0" w:after="0"/>
        <w:ind w:left="1134" w:hanging="425"/>
        <w:rPr>
          <w:rFonts w:ascii="Arial" w:hAnsi="Arial" w:cs="Arial"/>
        </w:rPr>
      </w:pPr>
      <w:r w:rsidRPr="00375FD4">
        <w:rPr>
          <w:rFonts w:ascii="Arial" w:hAnsi="Arial" w:cs="Arial"/>
        </w:rPr>
        <w:t>who has responsibility for the management of the local authority to the extent that the person has the power to direct or control the major activities of the authority (including activities involving the expenditure of money), during the year to which the Report relates, whether solely or collectively with other persons;</w:t>
      </w:r>
    </w:p>
    <w:p w:rsidR="00255284" w:rsidRPr="00375FD4" w:rsidRDefault="00255284" w:rsidP="00EA6E47">
      <w:pPr>
        <w:numPr>
          <w:ilvl w:val="2"/>
          <w:numId w:val="8"/>
        </w:numPr>
        <w:tabs>
          <w:tab w:val="clear" w:pos="360"/>
        </w:tabs>
        <w:spacing w:before="0" w:after="0"/>
        <w:ind w:left="1134" w:hanging="425"/>
        <w:rPr>
          <w:rFonts w:ascii="Arial" w:hAnsi="Arial" w:cs="Arial"/>
        </w:rPr>
      </w:pPr>
      <w:r w:rsidRPr="00375FD4">
        <w:rPr>
          <w:rFonts w:ascii="Arial" w:hAnsi="Arial" w:cs="Arial"/>
        </w:rPr>
        <w:t>who holds a post that is politically restricted by reason of section 2(1) (a), (b) or (c) of Local Government and Housing Act 1989 (4);  or</w:t>
      </w:r>
    </w:p>
    <w:p w:rsidR="00255284" w:rsidRPr="00B2549C" w:rsidRDefault="00255284" w:rsidP="00EA6E47">
      <w:pPr>
        <w:numPr>
          <w:ilvl w:val="2"/>
          <w:numId w:val="8"/>
        </w:numPr>
        <w:tabs>
          <w:tab w:val="clear" w:pos="360"/>
        </w:tabs>
        <w:spacing w:before="0" w:after="0"/>
        <w:ind w:left="1134" w:hanging="425"/>
        <w:rPr>
          <w:rFonts w:ascii="Arial" w:hAnsi="Arial" w:cs="Arial"/>
        </w:rPr>
      </w:pPr>
      <w:r w:rsidRPr="00375FD4">
        <w:rPr>
          <w:rFonts w:ascii="Arial" w:hAnsi="Arial" w:cs="Arial"/>
        </w:rPr>
        <w:t xml:space="preserve">whose annual remuneration, including any remuneration from a local authority subsidiary body, is £150,000 or more. </w:t>
      </w:r>
    </w:p>
    <w:p w:rsidR="002555C4" w:rsidRDefault="002555C4" w:rsidP="002555C4">
      <w:pPr>
        <w:tabs>
          <w:tab w:val="num" w:pos="1276"/>
        </w:tabs>
        <w:spacing w:after="0"/>
        <w:ind w:left="851"/>
        <w:rPr>
          <w:rFonts w:ascii="Arial" w:hAnsi="Arial" w:cs="Arial"/>
        </w:rPr>
      </w:pPr>
    </w:p>
    <w:p w:rsidR="009F5543" w:rsidRDefault="009F5543" w:rsidP="00C55D0A">
      <w:pPr>
        <w:tabs>
          <w:tab w:val="num" w:pos="1276"/>
        </w:tabs>
        <w:spacing w:after="0"/>
        <w:rPr>
          <w:rFonts w:ascii="Arial" w:hAnsi="Arial" w:cs="Arial"/>
        </w:rPr>
      </w:pPr>
    </w:p>
    <w:p w:rsidR="002555C4" w:rsidRPr="00375FD4" w:rsidRDefault="002555C4" w:rsidP="002555C4">
      <w:pPr>
        <w:spacing w:before="0" w:after="0"/>
        <w:jc w:val="both"/>
        <w:rPr>
          <w:rFonts w:ascii="Arial" w:hAnsi="Arial" w:cs="Arial"/>
          <w:b/>
          <w:sz w:val="24"/>
          <w:szCs w:val="24"/>
        </w:rPr>
      </w:pPr>
      <w:r w:rsidRPr="00375FD4">
        <w:rPr>
          <w:rFonts w:ascii="Arial" w:hAnsi="Arial" w:cs="Arial"/>
          <w:b/>
          <w:sz w:val="24"/>
          <w:szCs w:val="24"/>
        </w:rPr>
        <w:lastRenderedPageBreak/>
        <w:t>Remuneration Report (Cont’d)</w:t>
      </w:r>
    </w:p>
    <w:p w:rsidR="002555C4" w:rsidRDefault="002555C4" w:rsidP="002555C4">
      <w:pPr>
        <w:tabs>
          <w:tab w:val="num" w:pos="1276"/>
        </w:tabs>
        <w:spacing w:after="0"/>
        <w:ind w:left="851"/>
        <w:rPr>
          <w:rFonts w:ascii="Arial" w:hAnsi="Arial" w:cs="Arial"/>
        </w:rPr>
      </w:pPr>
    </w:p>
    <w:p w:rsidR="002555C4" w:rsidRPr="00375FD4" w:rsidRDefault="002555C4" w:rsidP="002555C4">
      <w:pPr>
        <w:spacing w:before="0" w:after="0"/>
        <w:ind w:left="360" w:hanging="360"/>
        <w:jc w:val="both"/>
        <w:rPr>
          <w:rFonts w:ascii="Arial" w:hAnsi="Arial" w:cs="Arial"/>
          <w:b/>
        </w:rPr>
      </w:pPr>
      <w:r>
        <w:rPr>
          <w:rFonts w:ascii="Arial" w:hAnsi="Arial" w:cs="Arial"/>
          <w:b/>
        </w:rPr>
        <w:t>b</w:t>
      </w:r>
      <w:r w:rsidRPr="00375FD4">
        <w:rPr>
          <w:rFonts w:ascii="Arial" w:hAnsi="Arial" w:cs="Arial"/>
          <w:b/>
        </w:rPr>
        <w:t xml:space="preserve">) </w:t>
      </w:r>
      <w:r w:rsidRPr="00375FD4">
        <w:rPr>
          <w:rFonts w:ascii="Arial" w:hAnsi="Arial" w:cs="Arial"/>
          <w:b/>
        </w:rPr>
        <w:tab/>
      </w:r>
      <w:r w:rsidRPr="003E727B">
        <w:rPr>
          <w:rFonts w:ascii="Arial" w:hAnsi="Arial" w:cs="Arial"/>
          <w:b/>
          <w:u w:val="single"/>
        </w:rPr>
        <w:t>Remuneration - Senior Employees and Senior Employees of Subsidiaries</w:t>
      </w:r>
      <w:r>
        <w:rPr>
          <w:rFonts w:ascii="Arial" w:hAnsi="Arial" w:cs="Arial"/>
          <w:b/>
          <w:u w:val="single"/>
        </w:rPr>
        <w:t xml:space="preserve"> (cont’d)</w:t>
      </w:r>
    </w:p>
    <w:p w:rsidR="002555C4" w:rsidRDefault="002555C4" w:rsidP="002555C4">
      <w:pPr>
        <w:tabs>
          <w:tab w:val="num" w:pos="1276"/>
        </w:tabs>
        <w:spacing w:after="0"/>
        <w:ind w:left="709"/>
        <w:rPr>
          <w:rFonts w:ascii="Arial" w:hAnsi="Arial" w:cs="Arial"/>
        </w:rPr>
      </w:pPr>
    </w:p>
    <w:p w:rsidR="00166B3F" w:rsidRPr="00A3786B" w:rsidRDefault="00166B3F" w:rsidP="00B502D9">
      <w:pPr>
        <w:numPr>
          <w:ilvl w:val="1"/>
          <w:numId w:val="7"/>
        </w:numPr>
        <w:tabs>
          <w:tab w:val="num" w:pos="1276"/>
        </w:tabs>
        <w:spacing w:after="0"/>
        <w:ind w:left="709" w:hanging="283"/>
        <w:rPr>
          <w:rFonts w:ascii="Arial" w:hAnsi="Arial" w:cs="Arial"/>
        </w:rPr>
      </w:pPr>
      <w:r w:rsidRPr="00A3786B">
        <w:rPr>
          <w:rFonts w:ascii="Arial" w:hAnsi="Arial" w:cs="Arial"/>
        </w:rPr>
        <w:t>The figure for gross salary, fe</w:t>
      </w:r>
      <w:r w:rsidR="00B502D9">
        <w:rPr>
          <w:rFonts w:ascii="Arial" w:hAnsi="Arial" w:cs="Arial"/>
        </w:rPr>
        <w:t xml:space="preserve">es and allowances shown for senior employees </w:t>
      </w:r>
      <w:r w:rsidR="0001624E">
        <w:rPr>
          <w:rFonts w:ascii="Arial" w:hAnsi="Arial" w:cs="Arial"/>
        </w:rPr>
        <w:t>for the year ended 31 March 2020</w:t>
      </w:r>
      <w:r w:rsidRPr="00A3786B">
        <w:rPr>
          <w:rFonts w:ascii="Arial" w:hAnsi="Arial" w:cs="Arial"/>
        </w:rPr>
        <w:t xml:space="preserve"> include</w:t>
      </w:r>
      <w:r w:rsidR="0025726E">
        <w:rPr>
          <w:rFonts w:ascii="Arial" w:hAnsi="Arial" w:cs="Arial"/>
        </w:rPr>
        <w:t>s</w:t>
      </w:r>
      <w:r w:rsidRPr="00A3786B">
        <w:rPr>
          <w:rFonts w:ascii="Arial" w:hAnsi="Arial" w:cs="Arial"/>
        </w:rPr>
        <w:t xml:space="preserve"> any amounts received </w:t>
      </w:r>
      <w:r w:rsidR="00B502D9">
        <w:rPr>
          <w:rFonts w:ascii="Arial" w:hAnsi="Arial" w:cs="Arial"/>
        </w:rPr>
        <w:t>for the roles performed</w:t>
      </w:r>
      <w:r w:rsidRPr="00A3786B">
        <w:rPr>
          <w:rFonts w:ascii="Arial" w:hAnsi="Arial" w:cs="Arial"/>
        </w:rPr>
        <w:t xml:space="preserve"> for West Dunbartonshire in </w:t>
      </w:r>
      <w:r w:rsidR="00B502D9">
        <w:rPr>
          <w:rFonts w:ascii="Arial" w:hAnsi="Arial" w:cs="Arial"/>
        </w:rPr>
        <w:t xml:space="preserve">the </w:t>
      </w:r>
      <w:r w:rsidRPr="00A3786B">
        <w:rPr>
          <w:rFonts w:ascii="Arial" w:hAnsi="Arial" w:cs="Arial"/>
        </w:rPr>
        <w:t>elections</w:t>
      </w:r>
      <w:r w:rsidR="00B502D9">
        <w:rPr>
          <w:rFonts w:ascii="Arial" w:hAnsi="Arial" w:cs="Arial"/>
        </w:rPr>
        <w:t>.</w:t>
      </w:r>
      <w:r w:rsidR="002F4D8A" w:rsidRPr="002F4D8A">
        <w:rPr>
          <w:rFonts w:ascii="Arial" w:hAnsi="Arial" w:cs="Arial"/>
        </w:rPr>
        <w:t xml:space="preserve"> </w:t>
      </w:r>
      <w:r w:rsidR="002F4D8A">
        <w:rPr>
          <w:rFonts w:ascii="Arial" w:hAnsi="Arial" w:cs="Arial"/>
        </w:rPr>
        <w:t>There were two elections duri</w:t>
      </w:r>
      <w:r w:rsidR="002F4D8A" w:rsidRPr="002F4D8A">
        <w:rPr>
          <w:rFonts w:ascii="Arial" w:hAnsi="Arial" w:cs="Arial"/>
        </w:rPr>
        <w:t>ng 2019/20 (namely: European Election (23/5/2019) and General Election 12/12/19), with no elections</w:t>
      </w:r>
      <w:r w:rsidR="002F4D8A">
        <w:rPr>
          <w:rFonts w:ascii="Arial" w:hAnsi="Arial" w:cs="Arial"/>
        </w:rPr>
        <w:t xml:space="preserve"> in 2018/19;</w:t>
      </w:r>
    </w:p>
    <w:p w:rsidR="00255284" w:rsidRPr="00375FD4" w:rsidRDefault="00255284" w:rsidP="00EA6E47">
      <w:pPr>
        <w:numPr>
          <w:ilvl w:val="1"/>
          <w:numId w:val="7"/>
        </w:numPr>
        <w:tabs>
          <w:tab w:val="clear" w:pos="1211"/>
          <w:tab w:val="num" w:pos="1276"/>
        </w:tabs>
        <w:spacing w:before="0" w:after="0"/>
        <w:ind w:left="709" w:hanging="283"/>
        <w:jc w:val="both"/>
        <w:rPr>
          <w:rFonts w:ascii="Arial" w:hAnsi="Arial" w:cs="Arial"/>
        </w:rPr>
      </w:pPr>
      <w:r w:rsidRPr="00375FD4">
        <w:rPr>
          <w:rFonts w:ascii="Arial" w:hAnsi="Arial" w:cs="Arial"/>
        </w:rPr>
        <w:t>The Local Government (Discretionary Payments and Injury Benefits)(Scotland) Regulations 1998 make provision for authorities to make discretionary payments to local government employees to pay compensation for premature retirement.  There were no discretionary payments made to senior employees during the year.</w:t>
      </w:r>
    </w:p>
    <w:p w:rsidR="00255284" w:rsidRPr="00375FD4" w:rsidRDefault="00255284" w:rsidP="00255284">
      <w:pPr>
        <w:spacing w:before="0" w:after="0"/>
        <w:jc w:val="both"/>
        <w:rPr>
          <w:rFonts w:ascii="Arial" w:hAnsi="Arial" w:cs="Arial"/>
          <w:b/>
        </w:rPr>
      </w:pPr>
    </w:p>
    <w:p w:rsidR="00D906AC" w:rsidRPr="001F1E67" w:rsidRDefault="00D906AC" w:rsidP="00D906AC">
      <w:pPr>
        <w:tabs>
          <w:tab w:val="left" w:pos="426"/>
        </w:tabs>
        <w:spacing w:before="0" w:after="0"/>
        <w:jc w:val="both"/>
        <w:rPr>
          <w:rFonts w:ascii="Arial" w:hAnsi="Arial" w:cs="Arial"/>
          <w:b/>
        </w:rPr>
      </w:pPr>
      <w:r>
        <w:rPr>
          <w:rFonts w:ascii="Arial" w:hAnsi="Arial" w:cs="Arial"/>
          <w:b/>
        </w:rPr>
        <w:t>c)</w:t>
      </w:r>
      <w:r>
        <w:rPr>
          <w:rFonts w:ascii="Arial" w:hAnsi="Arial" w:cs="Arial"/>
          <w:b/>
        </w:rPr>
        <w:tab/>
      </w:r>
      <w:r w:rsidRPr="00E27A2F">
        <w:rPr>
          <w:rFonts w:ascii="Arial" w:hAnsi="Arial" w:cs="Arial"/>
          <w:b/>
          <w:u w:val="single"/>
        </w:rPr>
        <w:t>Remuneration of Employees receiving more than £50,000</w:t>
      </w:r>
      <w:r w:rsidRPr="001F1E67">
        <w:rPr>
          <w:rFonts w:ascii="Arial" w:hAnsi="Arial" w:cs="Arial"/>
          <w:b/>
        </w:rPr>
        <w:t xml:space="preserve"> </w:t>
      </w:r>
    </w:p>
    <w:p w:rsidR="00166B3F" w:rsidRPr="00166B3F" w:rsidRDefault="00166B3F" w:rsidP="00166B3F">
      <w:pPr>
        <w:ind w:left="426"/>
        <w:rPr>
          <w:rFonts w:ascii="Arial" w:hAnsi="Arial" w:cs="Arial"/>
        </w:rPr>
      </w:pPr>
      <w:r w:rsidRPr="00166B3F">
        <w:rPr>
          <w:rFonts w:ascii="Arial" w:hAnsi="Arial" w:cs="Arial"/>
        </w:rPr>
        <w:t>Council employees receiving more than £50,000 remuneration for the year were paid the following amounts. In accordance with the disclosure requirement of the Regulations, the information in the table shows the number of employees in bands of £5,000. This information includes the senior employees who are subject to the fuller disclosure requirements in the tables above.</w:t>
      </w:r>
    </w:p>
    <w:p w:rsidR="00255284" w:rsidRPr="00375FD4" w:rsidRDefault="00255284" w:rsidP="00255284">
      <w:pPr>
        <w:spacing w:before="0" w:after="0"/>
        <w:jc w:val="both"/>
        <w:rPr>
          <w:rFonts w:ascii="Arial" w:hAnsi="Arial" w:cs="Arial"/>
          <w:color w:val="FF0000"/>
        </w:rPr>
      </w:pPr>
    </w:p>
    <w:p w:rsidR="00255284" w:rsidRPr="00375FD4" w:rsidRDefault="00255284" w:rsidP="001E6C40">
      <w:pPr>
        <w:spacing w:before="0" w:after="0"/>
        <w:ind w:left="426" w:right="360"/>
        <w:jc w:val="both"/>
        <w:rPr>
          <w:rFonts w:ascii="Arial" w:hAnsi="Arial" w:cs="Arial"/>
        </w:rPr>
      </w:pPr>
      <w:r w:rsidRPr="00375FD4">
        <w:rPr>
          <w:rFonts w:ascii="Arial" w:hAnsi="Arial" w:cs="Arial"/>
          <w:b/>
        </w:rPr>
        <w:t>Table 3: Remuneration of Employees</w:t>
      </w:r>
    </w:p>
    <w:p w:rsidR="003403B2" w:rsidRDefault="00B502D9" w:rsidP="00B502D9">
      <w:pPr>
        <w:spacing w:before="0" w:after="0"/>
        <w:ind w:left="426"/>
        <w:jc w:val="both"/>
        <w:rPr>
          <w:rFonts w:ascii="Arial" w:hAnsi="Arial" w:cs="Arial"/>
          <w:b/>
          <w:sz w:val="24"/>
          <w:szCs w:val="24"/>
        </w:rPr>
      </w:pPr>
      <w:r w:rsidRPr="00B502D9">
        <w:rPr>
          <w:noProof/>
          <w:lang w:eastAsia="en-GB"/>
        </w:rPr>
        <w:drawing>
          <wp:inline distT="0" distB="0" distL="0" distR="0">
            <wp:extent cx="4203700" cy="2790825"/>
            <wp:effectExtent l="0" t="0" r="6350" b="9525"/>
            <wp:docPr id="9" name="Picture 9" descr="detail of remuneration of employees earning over £50k in bandings" title="remuneration report tabl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203700" cy="2790825"/>
                    </a:xfrm>
                    <a:prstGeom prst="rect">
                      <a:avLst/>
                    </a:prstGeom>
                    <a:noFill/>
                    <a:ln>
                      <a:noFill/>
                    </a:ln>
                  </pic:spPr>
                </pic:pic>
              </a:graphicData>
            </a:graphic>
          </wp:inline>
        </w:drawing>
      </w:r>
    </w:p>
    <w:p w:rsidR="0001624E" w:rsidRDefault="0001624E" w:rsidP="00CE5C33">
      <w:pPr>
        <w:spacing w:before="0" w:after="0"/>
        <w:jc w:val="both"/>
        <w:rPr>
          <w:rFonts w:ascii="Arial" w:hAnsi="Arial" w:cs="Arial"/>
          <w:b/>
          <w:sz w:val="24"/>
          <w:szCs w:val="24"/>
        </w:rPr>
      </w:pPr>
    </w:p>
    <w:p w:rsidR="00D906AC" w:rsidRPr="00E27A2F" w:rsidRDefault="00D906AC" w:rsidP="00D906AC">
      <w:pPr>
        <w:tabs>
          <w:tab w:val="left" w:pos="426"/>
        </w:tabs>
        <w:spacing w:before="0" w:after="0"/>
        <w:jc w:val="both"/>
        <w:rPr>
          <w:rFonts w:ascii="Arial" w:hAnsi="Arial" w:cs="Arial"/>
          <w:b/>
          <w:u w:val="single"/>
        </w:rPr>
      </w:pPr>
      <w:r>
        <w:rPr>
          <w:rFonts w:ascii="Arial" w:hAnsi="Arial" w:cs="Arial"/>
          <w:b/>
        </w:rPr>
        <w:t>d)</w:t>
      </w:r>
      <w:r>
        <w:rPr>
          <w:rFonts w:ascii="Arial" w:hAnsi="Arial" w:cs="Arial"/>
          <w:b/>
        </w:rPr>
        <w:tab/>
      </w:r>
      <w:r w:rsidRPr="00E27A2F">
        <w:rPr>
          <w:rFonts w:ascii="Arial" w:hAnsi="Arial" w:cs="Arial"/>
          <w:b/>
          <w:u w:val="single"/>
        </w:rPr>
        <w:t>Pension Benefits</w:t>
      </w:r>
    </w:p>
    <w:p w:rsidR="00255284" w:rsidRPr="00375FD4" w:rsidRDefault="00255284" w:rsidP="009A4034">
      <w:pPr>
        <w:pStyle w:val="Default"/>
        <w:spacing w:before="0" w:after="0"/>
        <w:rPr>
          <w:rFonts w:ascii="Arial" w:hAnsi="Arial" w:cs="Arial"/>
          <w:color w:val="auto"/>
          <w:sz w:val="20"/>
          <w:szCs w:val="20"/>
        </w:rPr>
      </w:pPr>
      <w:r w:rsidRPr="00375FD4">
        <w:rPr>
          <w:rFonts w:ascii="Arial" w:hAnsi="Arial" w:cs="Arial"/>
          <w:color w:val="auto"/>
          <w:sz w:val="20"/>
          <w:szCs w:val="20"/>
        </w:rPr>
        <w:t>Pension benefits for</w:t>
      </w:r>
      <w:r w:rsidRPr="00375FD4">
        <w:rPr>
          <w:rFonts w:ascii="Arial" w:hAnsi="Arial" w:cs="Arial"/>
          <w:color w:val="auto"/>
          <w:sz w:val="20"/>
          <w:szCs w:val="20"/>
          <w:lang w:val="en-GB"/>
        </w:rPr>
        <w:t xml:space="preserve"> Councillors</w:t>
      </w:r>
      <w:r w:rsidRPr="00375FD4">
        <w:rPr>
          <w:rFonts w:ascii="Arial" w:hAnsi="Arial" w:cs="Arial"/>
          <w:color w:val="auto"/>
          <w:sz w:val="20"/>
          <w:szCs w:val="20"/>
        </w:rPr>
        <w:t xml:space="preserve"> and most local government employees are provided through the Local Government Pension Scheme (LGPS). </w:t>
      </w:r>
      <w:r w:rsidRPr="00375FD4">
        <w:rPr>
          <w:rFonts w:ascii="Arial" w:hAnsi="Arial" w:cs="Arial"/>
          <w:color w:val="auto"/>
          <w:sz w:val="20"/>
          <w:szCs w:val="20"/>
          <w:lang w:val="en-GB"/>
        </w:rPr>
        <w:t xml:space="preserve"> Councillors</w:t>
      </w:r>
      <w:r w:rsidRPr="00375FD4">
        <w:rPr>
          <w:rFonts w:ascii="Arial" w:hAnsi="Arial" w:cs="Arial"/>
          <w:color w:val="auto"/>
          <w:sz w:val="20"/>
          <w:szCs w:val="20"/>
        </w:rPr>
        <w:t>’ pension benefits are based on career average pay. The</w:t>
      </w:r>
      <w:r w:rsidRPr="00375FD4">
        <w:rPr>
          <w:rFonts w:ascii="Arial" w:hAnsi="Arial" w:cs="Arial"/>
          <w:color w:val="auto"/>
          <w:sz w:val="20"/>
          <w:szCs w:val="20"/>
          <w:lang w:val="en-GB"/>
        </w:rPr>
        <w:t xml:space="preserve"> Councillor’s</w:t>
      </w:r>
      <w:r w:rsidRPr="00375FD4">
        <w:rPr>
          <w:rFonts w:ascii="Arial" w:hAnsi="Arial" w:cs="Arial"/>
          <w:color w:val="auto"/>
          <w:sz w:val="20"/>
          <w:szCs w:val="20"/>
        </w:rPr>
        <w:t xml:space="preserve"> pay for each year or part year ending 31 March (other than the pay in the final year commencing 1 April) is increased by the increase in the cost of living, as measured by the appropriate index (or indices) between the end of that year and the last day of the month in which their membership of the scheme ends. The total of the revalued pay is then divided by the period of membership to calculate the career average pay. This is the value used to calculate the pension </w:t>
      </w:r>
      <w:r w:rsidRPr="00CC4CD7">
        <w:rPr>
          <w:rFonts w:ascii="Arial" w:hAnsi="Arial" w:cs="Arial"/>
          <w:color w:val="auto"/>
          <w:sz w:val="20"/>
          <w:szCs w:val="20"/>
        </w:rPr>
        <w:t>benefits. The pension entitlements for the year to 31 March</w:t>
      </w:r>
      <w:r w:rsidR="002F4D8A">
        <w:rPr>
          <w:rFonts w:ascii="Arial" w:hAnsi="Arial" w:cs="Arial"/>
          <w:color w:val="auto"/>
          <w:sz w:val="20"/>
          <w:szCs w:val="20"/>
        </w:rPr>
        <w:t xml:space="preserve"> 2020</w:t>
      </w:r>
      <w:r w:rsidR="009A18D8" w:rsidRPr="00CC4CD7">
        <w:rPr>
          <w:rFonts w:ascii="Arial" w:hAnsi="Arial" w:cs="Arial"/>
          <w:color w:val="auto"/>
          <w:sz w:val="20"/>
          <w:szCs w:val="20"/>
        </w:rPr>
        <w:t xml:space="preserve"> are shown in Table 5 on pag</w:t>
      </w:r>
      <w:r w:rsidR="00E823C3">
        <w:rPr>
          <w:rFonts w:ascii="Arial" w:hAnsi="Arial" w:cs="Arial"/>
          <w:color w:val="auto"/>
          <w:sz w:val="20"/>
          <w:szCs w:val="20"/>
        </w:rPr>
        <w:t>e</w:t>
      </w:r>
      <w:r w:rsidR="009F5543">
        <w:rPr>
          <w:rFonts w:ascii="Arial" w:hAnsi="Arial" w:cs="Arial"/>
          <w:color w:val="auto"/>
          <w:sz w:val="20"/>
          <w:szCs w:val="20"/>
        </w:rPr>
        <w:t>s 33</w:t>
      </w:r>
      <w:r w:rsidRPr="00CC4CD7">
        <w:rPr>
          <w:rFonts w:ascii="Arial" w:hAnsi="Arial" w:cs="Arial"/>
          <w:color w:val="auto"/>
          <w:sz w:val="20"/>
          <w:szCs w:val="20"/>
        </w:rPr>
        <w:t>.</w:t>
      </w:r>
      <w:r w:rsidRPr="00375FD4">
        <w:rPr>
          <w:rFonts w:ascii="Arial" w:hAnsi="Arial" w:cs="Arial"/>
          <w:color w:val="auto"/>
          <w:sz w:val="20"/>
          <w:szCs w:val="20"/>
        </w:rPr>
        <w:t xml:space="preserve">  The table details the pension entitlement and contributions made by West Dunbartonshire Council in respect of all senior Councill</w:t>
      </w:r>
      <w:r w:rsidR="00B41878">
        <w:rPr>
          <w:rFonts w:ascii="Arial" w:hAnsi="Arial" w:cs="Arial"/>
          <w:color w:val="auto"/>
          <w:sz w:val="20"/>
          <w:szCs w:val="20"/>
        </w:rPr>
        <w:t>ors and senior officers of the c</w:t>
      </w:r>
      <w:r w:rsidRPr="00375FD4">
        <w:rPr>
          <w:rFonts w:ascii="Arial" w:hAnsi="Arial" w:cs="Arial"/>
          <w:color w:val="auto"/>
          <w:sz w:val="20"/>
          <w:szCs w:val="20"/>
        </w:rPr>
        <w:t xml:space="preserve">ouncil who have opted to join the LGPS.  </w:t>
      </w:r>
    </w:p>
    <w:p w:rsidR="00255284" w:rsidRPr="00375FD4" w:rsidRDefault="00255284" w:rsidP="009A4034">
      <w:pPr>
        <w:pStyle w:val="Default"/>
        <w:spacing w:before="0" w:after="0"/>
        <w:rPr>
          <w:rFonts w:ascii="Arial" w:hAnsi="Arial" w:cs="Arial"/>
          <w:color w:val="auto"/>
          <w:sz w:val="20"/>
          <w:szCs w:val="20"/>
        </w:rPr>
      </w:pPr>
    </w:p>
    <w:p w:rsidR="00255284" w:rsidRDefault="00255284" w:rsidP="009A4034">
      <w:pPr>
        <w:pStyle w:val="Default"/>
        <w:spacing w:before="0" w:after="0"/>
        <w:rPr>
          <w:rFonts w:ascii="Arial" w:hAnsi="Arial" w:cs="Arial"/>
          <w:color w:val="auto"/>
          <w:sz w:val="20"/>
          <w:szCs w:val="20"/>
        </w:rPr>
      </w:pPr>
    </w:p>
    <w:p w:rsidR="00C55D0A" w:rsidRDefault="00C55D0A" w:rsidP="009A4034">
      <w:pPr>
        <w:pStyle w:val="Default"/>
        <w:spacing w:before="0" w:after="0"/>
        <w:rPr>
          <w:rFonts w:ascii="Arial" w:hAnsi="Arial" w:cs="Arial"/>
          <w:color w:val="auto"/>
          <w:sz w:val="20"/>
          <w:szCs w:val="20"/>
        </w:rPr>
      </w:pPr>
    </w:p>
    <w:p w:rsidR="00C55D0A" w:rsidRDefault="00C55D0A" w:rsidP="009A4034">
      <w:pPr>
        <w:pStyle w:val="Default"/>
        <w:spacing w:before="0" w:after="0"/>
        <w:rPr>
          <w:rFonts w:ascii="Arial" w:hAnsi="Arial" w:cs="Arial"/>
          <w:color w:val="auto"/>
          <w:sz w:val="20"/>
          <w:szCs w:val="20"/>
        </w:rPr>
      </w:pPr>
    </w:p>
    <w:p w:rsidR="00C55D0A" w:rsidRDefault="00C55D0A" w:rsidP="009A4034">
      <w:pPr>
        <w:pStyle w:val="Default"/>
        <w:spacing w:before="0" w:after="0"/>
        <w:rPr>
          <w:rFonts w:ascii="Arial" w:hAnsi="Arial" w:cs="Arial"/>
          <w:color w:val="auto"/>
          <w:sz w:val="20"/>
          <w:szCs w:val="20"/>
        </w:rPr>
      </w:pPr>
    </w:p>
    <w:p w:rsidR="00C55D0A" w:rsidRDefault="00C55D0A" w:rsidP="009A4034">
      <w:pPr>
        <w:pStyle w:val="Default"/>
        <w:spacing w:before="0" w:after="0"/>
        <w:rPr>
          <w:rFonts w:ascii="Arial" w:hAnsi="Arial" w:cs="Arial"/>
          <w:color w:val="auto"/>
          <w:sz w:val="20"/>
          <w:szCs w:val="20"/>
        </w:rPr>
      </w:pPr>
    </w:p>
    <w:p w:rsidR="00C55D0A" w:rsidRPr="0099665A" w:rsidRDefault="00C55D0A" w:rsidP="009A4034">
      <w:pPr>
        <w:pStyle w:val="Default"/>
        <w:spacing w:before="0" w:after="0"/>
        <w:rPr>
          <w:rFonts w:ascii="Arial" w:hAnsi="Arial" w:cs="Arial"/>
          <w:color w:val="auto"/>
          <w:sz w:val="20"/>
          <w:szCs w:val="20"/>
        </w:rPr>
      </w:pPr>
    </w:p>
    <w:p w:rsidR="004D7D4C" w:rsidRDefault="004D7D4C" w:rsidP="004D7D4C">
      <w:pPr>
        <w:spacing w:before="0" w:after="0"/>
        <w:jc w:val="both"/>
        <w:rPr>
          <w:rFonts w:ascii="Arial" w:hAnsi="Arial" w:cs="Arial"/>
          <w:b/>
          <w:sz w:val="24"/>
          <w:szCs w:val="24"/>
        </w:rPr>
      </w:pPr>
      <w:r w:rsidRPr="00375FD4">
        <w:rPr>
          <w:rFonts w:ascii="Arial" w:hAnsi="Arial" w:cs="Arial"/>
          <w:b/>
          <w:sz w:val="24"/>
          <w:szCs w:val="24"/>
        </w:rPr>
        <w:lastRenderedPageBreak/>
        <w:t>Remuneration Report (Cont’d)</w:t>
      </w:r>
    </w:p>
    <w:p w:rsidR="004D7D4C" w:rsidRDefault="004D7D4C" w:rsidP="004D7D4C">
      <w:pPr>
        <w:spacing w:before="0" w:after="0"/>
        <w:jc w:val="both"/>
        <w:rPr>
          <w:rFonts w:ascii="Arial" w:hAnsi="Arial" w:cs="Arial"/>
          <w:b/>
          <w:sz w:val="24"/>
          <w:szCs w:val="24"/>
        </w:rPr>
      </w:pPr>
    </w:p>
    <w:p w:rsidR="004D7D4C" w:rsidRDefault="004D7D4C" w:rsidP="004D7D4C">
      <w:pPr>
        <w:tabs>
          <w:tab w:val="left" w:pos="426"/>
        </w:tabs>
        <w:spacing w:before="0" w:after="0"/>
        <w:jc w:val="both"/>
        <w:rPr>
          <w:rFonts w:ascii="Arial" w:hAnsi="Arial" w:cs="Arial"/>
          <w:b/>
          <w:u w:val="single"/>
        </w:rPr>
      </w:pPr>
      <w:r>
        <w:rPr>
          <w:rFonts w:ascii="Arial" w:hAnsi="Arial" w:cs="Arial"/>
          <w:b/>
        </w:rPr>
        <w:t>d)</w:t>
      </w:r>
      <w:r>
        <w:rPr>
          <w:rFonts w:ascii="Arial" w:hAnsi="Arial" w:cs="Arial"/>
          <w:b/>
        </w:rPr>
        <w:tab/>
      </w:r>
      <w:r w:rsidRPr="00E27A2F">
        <w:rPr>
          <w:rFonts w:ascii="Arial" w:hAnsi="Arial" w:cs="Arial"/>
          <w:b/>
          <w:u w:val="single"/>
        </w:rPr>
        <w:t>Pension Benefits</w:t>
      </w:r>
      <w:r>
        <w:rPr>
          <w:rFonts w:ascii="Arial" w:hAnsi="Arial" w:cs="Arial"/>
          <w:b/>
          <w:u w:val="single"/>
        </w:rPr>
        <w:t xml:space="preserve"> (Cont’d)</w:t>
      </w:r>
    </w:p>
    <w:p w:rsidR="002555C4" w:rsidRDefault="002555C4" w:rsidP="004D7D4C">
      <w:pPr>
        <w:tabs>
          <w:tab w:val="left" w:pos="426"/>
        </w:tabs>
        <w:spacing w:before="0" w:after="0"/>
        <w:jc w:val="both"/>
        <w:rPr>
          <w:rFonts w:ascii="Arial" w:hAnsi="Arial" w:cs="Arial"/>
          <w:b/>
          <w:u w:val="single"/>
        </w:rPr>
      </w:pPr>
    </w:p>
    <w:p w:rsidR="0059543C" w:rsidRDefault="00C55D0A" w:rsidP="0059543C">
      <w:pPr>
        <w:autoSpaceDE w:val="0"/>
        <w:autoSpaceDN w:val="0"/>
        <w:rPr>
          <w:rFonts w:ascii="Arial" w:hAnsi="Arial" w:cs="Arial"/>
          <w:lang w:val="en-US"/>
        </w:rPr>
      </w:pPr>
      <w:r w:rsidRPr="00736BEE">
        <w:rPr>
          <w:rFonts w:ascii="Arial" w:hAnsi="Arial" w:cs="Arial"/>
          <w:lang w:val="en-US"/>
        </w:rPr>
        <w:t xml:space="preserve">For local government employees, the LGPS 2015 is a career average pension scheme. This means that pension benefits from 01/04/2015 are based on pensionable pay </w:t>
      </w:r>
      <w:r>
        <w:rPr>
          <w:rFonts w:ascii="Arial" w:hAnsi="Arial" w:cs="Arial"/>
          <w:lang w:val="en-US"/>
        </w:rPr>
        <w:t xml:space="preserve">with inflation </w:t>
      </w:r>
      <w:r w:rsidRPr="00736BEE">
        <w:rPr>
          <w:rFonts w:ascii="Arial" w:hAnsi="Arial" w:cs="Arial"/>
          <w:lang w:val="en-US"/>
        </w:rPr>
        <w:t xml:space="preserve">added. Pension is accrued at a rate of 1/49 of pensionable pay for each scheme year. Pension benefits can be accessed from </w:t>
      </w:r>
      <w:r w:rsidR="0059543C" w:rsidRPr="0059543C">
        <w:rPr>
          <w:rFonts w:ascii="Arial" w:hAnsi="Arial" w:cs="Arial"/>
          <w:lang w:val="en-US"/>
        </w:rPr>
        <w:t>age 55 but are reduced prior to 60</w:t>
      </w:r>
      <w:r w:rsidR="0059543C" w:rsidRPr="0059543C">
        <w:rPr>
          <w:rFonts w:ascii="Arial" w:hAnsi="Arial" w:cs="Arial"/>
          <w:vertAlign w:val="superscript"/>
          <w:lang w:val="en-US"/>
        </w:rPr>
        <w:t>th</w:t>
      </w:r>
      <w:r w:rsidR="0059543C" w:rsidRPr="0059543C">
        <w:rPr>
          <w:rFonts w:ascii="Arial" w:hAnsi="Arial" w:cs="Arial"/>
          <w:lang w:val="en-US"/>
        </w:rPr>
        <w:t xml:space="preserve"> birthday. Pension benefits accrued before 1 April 2015 are protected and are based on final pay on retiring.</w:t>
      </w:r>
    </w:p>
    <w:p w:rsidR="00C55D0A" w:rsidRDefault="00C55D0A" w:rsidP="002555C4">
      <w:pPr>
        <w:rPr>
          <w:rFonts w:ascii="Arial" w:hAnsi="Arial" w:cs="Arial"/>
        </w:rPr>
      </w:pPr>
    </w:p>
    <w:p w:rsidR="002555C4" w:rsidRPr="0099665A" w:rsidRDefault="002555C4" w:rsidP="002555C4">
      <w:pPr>
        <w:rPr>
          <w:rFonts w:ascii="Arial" w:hAnsi="Arial" w:cs="Arial"/>
        </w:rPr>
      </w:pPr>
      <w:r w:rsidRPr="0099665A">
        <w:rPr>
          <w:rFonts w:ascii="Arial" w:hAnsi="Arial" w:cs="Arial"/>
        </w:rPr>
        <w:t>Pension benefits for teachers are provided through Scottish Teachers Superannuation Scheme (STSS).The STSS is a contributory scheme administered by the Scottish Public Pension Agency (SPPA). From 1 April 2015 the scheme is a career average pension scheme. Pension benefits are increased in line with inflation. Pension is accrued at 1/57 of pensionable earnings each year. Pension benefits can be accessed earlier than the normal state pension age but will be reduced if taken earlier than the normal pension age (state pension age).</w:t>
      </w:r>
    </w:p>
    <w:p w:rsidR="002555C4" w:rsidRDefault="002555C4" w:rsidP="002555C4">
      <w:pPr>
        <w:pStyle w:val="Default"/>
        <w:spacing w:before="0" w:after="0"/>
        <w:rPr>
          <w:rFonts w:ascii="Arial" w:hAnsi="Arial" w:cs="Arial"/>
          <w:color w:val="auto"/>
          <w:sz w:val="20"/>
          <w:szCs w:val="20"/>
        </w:rPr>
      </w:pPr>
    </w:p>
    <w:p w:rsidR="002555C4" w:rsidRDefault="002555C4" w:rsidP="002555C4">
      <w:pPr>
        <w:pStyle w:val="Default"/>
        <w:spacing w:before="0" w:after="0"/>
        <w:rPr>
          <w:rFonts w:ascii="Arial" w:hAnsi="Arial" w:cs="Arial"/>
          <w:color w:val="auto"/>
          <w:sz w:val="20"/>
          <w:szCs w:val="20"/>
        </w:rPr>
      </w:pPr>
      <w:r w:rsidRPr="00375FD4">
        <w:rPr>
          <w:rFonts w:ascii="Arial" w:hAnsi="Arial" w:cs="Arial"/>
          <w:color w:val="auto"/>
          <w:sz w:val="20"/>
          <w:szCs w:val="20"/>
        </w:rPr>
        <w:t>From 1 April 2009</w:t>
      </w:r>
      <w:r>
        <w:rPr>
          <w:rFonts w:ascii="Arial" w:hAnsi="Arial" w:cs="Arial"/>
          <w:color w:val="auto"/>
          <w:sz w:val="20"/>
          <w:szCs w:val="20"/>
        </w:rPr>
        <w:t>,</w:t>
      </w:r>
      <w:r w:rsidRPr="00375FD4">
        <w:rPr>
          <w:rFonts w:ascii="Arial" w:hAnsi="Arial" w:cs="Arial"/>
          <w:color w:val="auto"/>
          <w:sz w:val="20"/>
          <w:szCs w:val="20"/>
        </w:rPr>
        <w:t xml:space="preserve"> a five tier contribution system was introduced with contributions from scheme members being based on how much pay falls into each tier. This is designed to give more equality between the cost and benefits of scheme membership. Table 4 provides information on these tiered contribution rates. </w:t>
      </w:r>
    </w:p>
    <w:p w:rsidR="004D7D4C" w:rsidRDefault="004D7D4C" w:rsidP="00A85E28">
      <w:pPr>
        <w:spacing w:before="0" w:after="0"/>
        <w:ind w:right="360"/>
        <w:jc w:val="both"/>
        <w:rPr>
          <w:rFonts w:ascii="Arial" w:hAnsi="Arial" w:cs="Arial"/>
          <w:b/>
        </w:rPr>
      </w:pPr>
    </w:p>
    <w:p w:rsidR="00484437" w:rsidRPr="001F1E67" w:rsidRDefault="00255284" w:rsidP="00A85E28">
      <w:pPr>
        <w:spacing w:before="0" w:after="0"/>
        <w:ind w:right="360"/>
        <w:jc w:val="both"/>
        <w:rPr>
          <w:rFonts w:ascii="Arial" w:hAnsi="Arial" w:cs="Arial"/>
          <w:b/>
        </w:rPr>
      </w:pPr>
      <w:r w:rsidRPr="00375FD4">
        <w:rPr>
          <w:rFonts w:ascii="Arial" w:hAnsi="Arial" w:cs="Arial"/>
          <w:b/>
        </w:rPr>
        <w:t>Table 4: Contribution Rate</w:t>
      </w:r>
    </w:p>
    <w:p w:rsidR="00F14A97" w:rsidRDefault="00190C3C" w:rsidP="0099665A">
      <w:pPr>
        <w:pStyle w:val="Default"/>
        <w:spacing w:before="0" w:after="0"/>
        <w:rPr>
          <w:rFonts w:ascii="Arial" w:hAnsi="Arial" w:cs="Arial"/>
          <w:color w:val="auto"/>
          <w:sz w:val="20"/>
          <w:szCs w:val="20"/>
        </w:rPr>
      </w:pPr>
      <w:r w:rsidRPr="00190C3C">
        <w:rPr>
          <w:noProof/>
          <w:lang w:val="en-GB" w:eastAsia="en-GB"/>
        </w:rPr>
        <w:drawing>
          <wp:inline distT="0" distB="0" distL="0" distR="0">
            <wp:extent cx="5686425" cy="2952750"/>
            <wp:effectExtent l="0" t="0" r="9525" b="0"/>
            <wp:docPr id="253" name="Picture 253" descr="pension contribution rates" title="remunieration report tabl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86425" cy="2952750"/>
                    </a:xfrm>
                    <a:prstGeom prst="rect">
                      <a:avLst/>
                    </a:prstGeom>
                    <a:noFill/>
                    <a:ln>
                      <a:noFill/>
                    </a:ln>
                  </pic:spPr>
                </pic:pic>
              </a:graphicData>
            </a:graphic>
          </wp:inline>
        </w:drawing>
      </w:r>
    </w:p>
    <w:p w:rsidR="00F14A97" w:rsidRDefault="00F14A97" w:rsidP="0099665A">
      <w:pPr>
        <w:pStyle w:val="Default"/>
        <w:spacing w:before="0" w:after="0"/>
        <w:rPr>
          <w:rFonts w:ascii="Arial" w:hAnsi="Arial" w:cs="Arial"/>
          <w:color w:val="auto"/>
          <w:sz w:val="20"/>
          <w:szCs w:val="20"/>
        </w:rPr>
      </w:pPr>
    </w:p>
    <w:p w:rsidR="0099665A" w:rsidRPr="004D7D4C" w:rsidRDefault="00255284" w:rsidP="004D7D4C">
      <w:pPr>
        <w:pStyle w:val="Default"/>
        <w:spacing w:before="0" w:after="0"/>
        <w:rPr>
          <w:rFonts w:ascii="Arial" w:hAnsi="Arial" w:cs="Arial"/>
        </w:rPr>
      </w:pPr>
      <w:r w:rsidRPr="00375FD4">
        <w:rPr>
          <w:rFonts w:ascii="Arial" w:hAnsi="Arial" w:cs="Arial"/>
          <w:color w:val="auto"/>
          <w:sz w:val="20"/>
          <w:szCs w:val="20"/>
        </w:rPr>
        <w:t xml:space="preserve">If a person works part-time their contribution rate is worked out on the whole-time pay rate for the job, with actual contributions paid on actual pay earned. There is no automatic entitlement to a lump sum. Members may opt to give up (commute) pension for lump sum up to the limit set by the Finance Act 2004. The accrual rate guarantees a pension based on </w:t>
      </w:r>
      <w:r w:rsidR="000C620C">
        <w:rPr>
          <w:rFonts w:ascii="Arial" w:hAnsi="Arial" w:cs="Arial"/>
          <w:color w:val="auto"/>
          <w:sz w:val="20"/>
          <w:szCs w:val="20"/>
        </w:rPr>
        <w:t>1/49</w:t>
      </w:r>
      <w:r w:rsidR="000C620C" w:rsidRPr="000C620C">
        <w:rPr>
          <w:rFonts w:ascii="Arial" w:hAnsi="Arial" w:cs="Arial"/>
          <w:color w:val="auto"/>
          <w:sz w:val="20"/>
          <w:szCs w:val="20"/>
          <w:vertAlign w:val="superscript"/>
        </w:rPr>
        <w:t>th</w:t>
      </w:r>
      <w:r w:rsidR="000C620C">
        <w:rPr>
          <w:rFonts w:ascii="Arial" w:hAnsi="Arial" w:cs="Arial"/>
          <w:color w:val="auto"/>
          <w:sz w:val="20"/>
          <w:szCs w:val="20"/>
        </w:rPr>
        <w:t xml:space="preserve"> of pay from 1 April 2015. Prior to this the accrual rate guarantees a pension based on </w:t>
      </w:r>
      <w:r w:rsidRPr="00375FD4">
        <w:rPr>
          <w:rFonts w:ascii="Arial" w:hAnsi="Arial" w:cs="Arial"/>
          <w:color w:val="auto"/>
          <w:sz w:val="20"/>
          <w:szCs w:val="20"/>
        </w:rPr>
        <w:t>1/60th of final</w:t>
      </w:r>
      <w:r w:rsidRPr="00375FD4">
        <w:rPr>
          <w:rFonts w:ascii="Arial" w:hAnsi="Arial" w:cs="Arial"/>
          <w:color w:val="auto"/>
          <w:sz w:val="20"/>
          <w:szCs w:val="20"/>
          <w:lang w:val="en-GB"/>
        </w:rPr>
        <w:t xml:space="preserve"> pensionable</w:t>
      </w:r>
      <w:r w:rsidRPr="00375FD4">
        <w:rPr>
          <w:rFonts w:ascii="Arial" w:hAnsi="Arial" w:cs="Arial"/>
          <w:color w:val="auto"/>
          <w:sz w:val="20"/>
          <w:szCs w:val="20"/>
        </w:rPr>
        <w:t xml:space="preserve"> salary and years of </w:t>
      </w:r>
      <w:r w:rsidR="0099665A" w:rsidRPr="00375FD4">
        <w:rPr>
          <w:rFonts w:ascii="Arial" w:hAnsi="Arial" w:cs="Arial"/>
          <w:color w:val="auto"/>
          <w:sz w:val="20"/>
          <w:szCs w:val="20"/>
        </w:rPr>
        <w:t>pensionable service. Prior to 2009 the accrual rate guaranteed a pension based on 1/80th and a lump sum based on 3/80</w:t>
      </w:r>
      <w:r w:rsidR="0099665A" w:rsidRPr="00375FD4">
        <w:rPr>
          <w:rFonts w:ascii="Arial" w:hAnsi="Arial" w:cs="Arial"/>
          <w:color w:val="auto"/>
          <w:sz w:val="20"/>
          <w:szCs w:val="20"/>
          <w:vertAlign w:val="superscript"/>
        </w:rPr>
        <w:t>th</w:t>
      </w:r>
      <w:r w:rsidR="0099665A" w:rsidRPr="00375FD4">
        <w:rPr>
          <w:rFonts w:ascii="Arial" w:hAnsi="Arial" w:cs="Arial"/>
          <w:color w:val="auto"/>
          <w:sz w:val="20"/>
          <w:szCs w:val="20"/>
        </w:rPr>
        <w:t xml:space="preserve"> of final pensionable salary a</w:t>
      </w:r>
      <w:r w:rsidR="00447E2D">
        <w:rPr>
          <w:rFonts w:ascii="Arial" w:hAnsi="Arial" w:cs="Arial"/>
          <w:color w:val="auto"/>
          <w:sz w:val="20"/>
          <w:szCs w:val="20"/>
        </w:rPr>
        <w:t>nd years of pensionable service</w:t>
      </w:r>
      <w:r w:rsidR="0099665A" w:rsidRPr="00375FD4">
        <w:rPr>
          <w:rFonts w:ascii="Arial" w:hAnsi="Arial" w:cs="Arial"/>
          <w:color w:val="auto"/>
          <w:sz w:val="20"/>
          <w:szCs w:val="20"/>
        </w:rPr>
        <w:t xml:space="preserve">. </w:t>
      </w:r>
    </w:p>
    <w:p w:rsidR="0099665A" w:rsidRPr="00375FD4" w:rsidRDefault="0099665A" w:rsidP="0099665A">
      <w:pPr>
        <w:pStyle w:val="Default"/>
        <w:spacing w:before="0" w:after="0"/>
        <w:rPr>
          <w:rFonts w:ascii="Arial" w:hAnsi="Arial" w:cs="Arial"/>
          <w:color w:val="auto"/>
          <w:sz w:val="20"/>
          <w:szCs w:val="20"/>
        </w:rPr>
      </w:pPr>
    </w:p>
    <w:p w:rsidR="000B5F8A" w:rsidRDefault="000B5F8A" w:rsidP="00484437">
      <w:pPr>
        <w:spacing w:before="0" w:after="0"/>
        <w:rPr>
          <w:rFonts w:ascii="Arial" w:hAnsi="Arial" w:cs="Arial"/>
        </w:rPr>
      </w:pPr>
    </w:p>
    <w:p w:rsidR="00C55D0A" w:rsidRDefault="00C55D0A" w:rsidP="00484437">
      <w:pPr>
        <w:spacing w:before="0" w:after="0"/>
        <w:rPr>
          <w:rFonts w:ascii="Arial" w:hAnsi="Arial" w:cs="Arial"/>
        </w:rPr>
      </w:pPr>
    </w:p>
    <w:p w:rsidR="00C55D0A" w:rsidRDefault="00C55D0A" w:rsidP="00484437">
      <w:pPr>
        <w:spacing w:before="0" w:after="0"/>
        <w:rPr>
          <w:rFonts w:ascii="Arial" w:hAnsi="Arial" w:cs="Arial"/>
        </w:rPr>
      </w:pPr>
    </w:p>
    <w:p w:rsidR="00C55D0A" w:rsidRDefault="00C55D0A" w:rsidP="00484437">
      <w:pPr>
        <w:spacing w:before="0" w:after="0"/>
        <w:rPr>
          <w:rFonts w:ascii="Arial" w:hAnsi="Arial" w:cs="Arial"/>
        </w:rPr>
      </w:pPr>
    </w:p>
    <w:p w:rsidR="004D7D4C" w:rsidRDefault="004D7D4C" w:rsidP="003E727B">
      <w:pPr>
        <w:spacing w:before="0" w:after="0"/>
        <w:ind w:left="851" w:hanging="851"/>
        <w:jc w:val="both"/>
        <w:rPr>
          <w:rFonts w:ascii="Arial" w:hAnsi="Arial" w:cs="Arial"/>
          <w:b/>
        </w:rPr>
      </w:pPr>
    </w:p>
    <w:p w:rsidR="004D7D4C" w:rsidRDefault="004D7D4C" w:rsidP="003E727B">
      <w:pPr>
        <w:spacing w:before="0" w:after="0"/>
        <w:ind w:left="851" w:hanging="851"/>
        <w:jc w:val="both"/>
        <w:rPr>
          <w:rFonts w:ascii="Arial" w:hAnsi="Arial" w:cs="Arial"/>
          <w:b/>
        </w:rPr>
      </w:pPr>
    </w:p>
    <w:p w:rsidR="004D7D4C" w:rsidRDefault="004D7D4C" w:rsidP="003E727B">
      <w:pPr>
        <w:spacing w:before="0" w:after="0"/>
        <w:ind w:left="851" w:hanging="851"/>
        <w:jc w:val="both"/>
        <w:rPr>
          <w:rFonts w:ascii="Arial" w:hAnsi="Arial" w:cs="Arial"/>
          <w:b/>
        </w:rPr>
      </w:pPr>
    </w:p>
    <w:p w:rsidR="004D7D4C" w:rsidRPr="00375FD4" w:rsidRDefault="004D7D4C" w:rsidP="004D7D4C">
      <w:pPr>
        <w:spacing w:before="0" w:after="200" w:line="276" w:lineRule="auto"/>
        <w:rPr>
          <w:rFonts w:ascii="Arial" w:hAnsi="Arial" w:cs="Arial"/>
          <w:b/>
          <w:sz w:val="24"/>
          <w:szCs w:val="24"/>
        </w:rPr>
      </w:pPr>
      <w:r w:rsidRPr="00375FD4">
        <w:rPr>
          <w:rFonts w:ascii="Arial" w:hAnsi="Arial" w:cs="Arial"/>
          <w:b/>
          <w:sz w:val="24"/>
          <w:szCs w:val="24"/>
        </w:rPr>
        <w:lastRenderedPageBreak/>
        <w:t>Remuneration Report (Cont’d)</w:t>
      </w:r>
    </w:p>
    <w:p w:rsidR="004D7D4C" w:rsidRPr="00CC4CD7" w:rsidRDefault="004D7D4C" w:rsidP="004D7D4C">
      <w:pPr>
        <w:spacing w:before="0" w:after="0"/>
        <w:ind w:left="284" w:hanging="284"/>
        <w:jc w:val="both"/>
        <w:rPr>
          <w:rFonts w:ascii="Arial" w:hAnsi="Arial" w:cs="Arial"/>
          <w:b/>
          <w:u w:val="single"/>
        </w:rPr>
      </w:pPr>
      <w:r>
        <w:rPr>
          <w:rFonts w:ascii="Arial" w:hAnsi="Arial" w:cs="Arial"/>
          <w:b/>
        </w:rPr>
        <w:t xml:space="preserve">d) </w:t>
      </w:r>
      <w:r>
        <w:rPr>
          <w:rFonts w:ascii="Arial" w:hAnsi="Arial" w:cs="Arial"/>
          <w:b/>
        </w:rPr>
        <w:tab/>
      </w:r>
      <w:r w:rsidRPr="00CC4CD7">
        <w:rPr>
          <w:rFonts w:ascii="Arial" w:hAnsi="Arial" w:cs="Arial"/>
          <w:b/>
          <w:u w:val="single"/>
        </w:rPr>
        <w:t>Pension Benefits (Cont’d)</w:t>
      </w:r>
    </w:p>
    <w:p w:rsidR="004D7D4C" w:rsidRDefault="004D7D4C" w:rsidP="003E727B">
      <w:pPr>
        <w:spacing w:before="0" w:after="0"/>
        <w:ind w:left="851" w:hanging="851"/>
        <w:jc w:val="both"/>
        <w:rPr>
          <w:rFonts w:ascii="Arial" w:hAnsi="Arial" w:cs="Arial"/>
          <w:b/>
        </w:rPr>
      </w:pPr>
    </w:p>
    <w:p w:rsidR="0059543C" w:rsidRPr="0059543C" w:rsidRDefault="00C55D0A" w:rsidP="0059543C">
      <w:pPr>
        <w:rPr>
          <w:rFonts w:ascii="Arial" w:hAnsi="Arial" w:cs="Arial"/>
        </w:rPr>
      </w:pPr>
      <w:r w:rsidRPr="00375FD4">
        <w:rPr>
          <w:rFonts w:ascii="Arial" w:hAnsi="Arial" w:cs="Arial"/>
        </w:rPr>
        <w:t xml:space="preserve">The value of the accrued benefits has been calculated on the basis of the age at which the person will first become entitled to receive a pension on retirement without reduction on account of its payment at that age; without exercising any option to commute pension entitlement into a lump sum; and without any adjustment for the effects of future inflation. </w:t>
      </w:r>
      <w:r w:rsidR="0059543C" w:rsidRPr="0059543C">
        <w:rPr>
          <w:rFonts w:ascii="Arial" w:hAnsi="Arial" w:cs="Arial"/>
        </w:rPr>
        <w:t>You can retire and receive your benefits in full from your normal pension age. The normal pension age is 65 for any benefits built up before 1 April 2015. For pension build up from 1 April 2015, the Normal Pension Age is not fixed at age 65 but, instead, is the same as the State Pension Age (but with a minimum of age 65).</w:t>
      </w:r>
    </w:p>
    <w:p w:rsidR="00C55D0A" w:rsidRDefault="00C55D0A" w:rsidP="003E727B">
      <w:pPr>
        <w:spacing w:before="0" w:after="0"/>
        <w:ind w:left="851" w:hanging="851"/>
        <w:jc w:val="both"/>
        <w:rPr>
          <w:rFonts w:ascii="Arial" w:hAnsi="Arial" w:cs="Arial"/>
          <w:b/>
        </w:rPr>
      </w:pPr>
    </w:p>
    <w:p w:rsidR="00D906AC" w:rsidRDefault="00D906AC" w:rsidP="003E727B">
      <w:pPr>
        <w:spacing w:before="0" w:after="0"/>
        <w:ind w:left="851" w:hanging="851"/>
        <w:jc w:val="both"/>
        <w:rPr>
          <w:rFonts w:ascii="Arial" w:hAnsi="Arial" w:cs="Arial"/>
          <w:b/>
        </w:rPr>
      </w:pPr>
      <w:r w:rsidRPr="00E27A2F">
        <w:rPr>
          <w:rFonts w:ascii="Arial" w:hAnsi="Arial" w:cs="Arial"/>
          <w:b/>
        </w:rPr>
        <w:t xml:space="preserve">Table 5: </w:t>
      </w:r>
      <w:r w:rsidR="003E727B" w:rsidRPr="003E727B">
        <w:rPr>
          <w:rFonts w:ascii="Arial" w:hAnsi="Arial" w:cs="Arial"/>
          <w:b/>
        </w:rPr>
        <w:t>Pension Benefits of Senior Councillors; Senior Employees and Senior Employees of Subsidiaries</w:t>
      </w:r>
    </w:p>
    <w:p w:rsidR="00F14A97" w:rsidRPr="00E27A2F" w:rsidRDefault="00F14A97" w:rsidP="003E727B">
      <w:pPr>
        <w:spacing w:before="0" w:after="0"/>
        <w:ind w:left="851" w:hanging="851"/>
        <w:jc w:val="both"/>
        <w:rPr>
          <w:rFonts w:ascii="Arial" w:hAnsi="Arial" w:cs="Arial"/>
          <w:b/>
        </w:rPr>
      </w:pPr>
    </w:p>
    <w:p w:rsidR="000B5F8A" w:rsidRDefault="000C689B" w:rsidP="00484437">
      <w:pPr>
        <w:spacing w:before="0" w:after="0"/>
        <w:rPr>
          <w:rFonts w:ascii="Arial" w:hAnsi="Arial" w:cs="Arial"/>
        </w:rPr>
      </w:pPr>
      <w:r>
        <w:t xml:space="preserve"> </w:t>
      </w:r>
      <w:r w:rsidR="00B6064C" w:rsidRPr="00B6064C">
        <w:rPr>
          <w:noProof/>
          <w:lang w:eastAsia="en-GB"/>
        </w:rPr>
        <w:drawing>
          <wp:inline distT="0" distB="0" distL="0" distR="0">
            <wp:extent cx="5731510" cy="5151754"/>
            <wp:effectExtent l="0" t="0" r="2540" b="0"/>
            <wp:docPr id="23" name="Picture 23" descr="pension benefits of senior councillors and senior officers" title="remuneration report tabl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5151754"/>
                    </a:xfrm>
                    <a:prstGeom prst="rect">
                      <a:avLst/>
                    </a:prstGeom>
                    <a:noFill/>
                    <a:ln>
                      <a:noFill/>
                    </a:ln>
                  </pic:spPr>
                </pic:pic>
              </a:graphicData>
            </a:graphic>
          </wp:inline>
        </w:drawing>
      </w:r>
    </w:p>
    <w:p w:rsidR="004D7D4C" w:rsidRDefault="004D7D4C" w:rsidP="00166B3F">
      <w:pPr>
        <w:spacing w:before="0" w:after="0"/>
        <w:rPr>
          <w:rFonts w:ascii="Arial" w:hAnsi="Arial" w:cs="Arial"/>
        </w:rPr>
      </w:pPr>
    </w:p>
    <w:p w:rsidR="00166B3F" w:rsidRPr="00166B3F" w:rsidRDefault="004D7D4C" w:rsidP="00166B3F">
      <w:pPr>
        <w:spacing w:before="0" w:after="0"/>
        <w:rPr>
          <w:rFonts w:ascii="Arial" w:hAnsi="Arial" w:cs="Arial"/>
        </w:rPr>
      </w:pPr>
      <w:r>
        <w:rPr>
          <w:rFonts w:ascii="Arial" w:hAnsi="Arial" w:cs="Arial"/>
        </w:rPr>
        <w:t>T</w:t>
      </w:r>
      <w:r w:rsidR="00166B3F" w:rsidRPr="00166B3F">
        <w:rPr>
          <w:rFonts w:ascii="Arial" w:hAnsi="Arial" w:cs="Arial"/>
        </w:rPr>
        <w:t>he pension figures shown relate to the benefits that the person has accrued as a consequence of their total public sector service, and not just their current appointment. The pension entitlemen</w:t>
      </w:r>
      <w:r w:rsidR="0001624E">
        <w:rPr>
          <w:rFonts w:ascii="Arial" w:hAnsi="Arial" w:cs="Arial"/>
        </w:rPr>
        <w:t>ts for the year to 31 March 2020</w:t>
      </w:r>
      <w:r w:rsidR="00166B3F" w:rsidRPr="00166B3F">
        <w:rPr>
          <w:rFonts w:ascii="Arial" w:hAnsi="Arial" w:cs="Arial"/>
        </w:rPr>
        <w:t xml:space="preserve"> for Senior Councillors are shown in Table 5, together with the contribution made by West Dunbartonshire Council to each Senior Councillor’s pension during the year. Senior councillors omitted from the table above are not members of the Local Government Pension Scheme.</w:t>
      </w:r>
    </w:p>
    <w:p w:rsidR="00452775" w:rsidRPr="00452775" w:rsidRDefault="00452775" w:rsidP="00D906AC">
      <w:pPr>
        <w:spacing w:before="0" w:after="0"/>
        <w:jc w:val="both"/>
        <w:rPr>
          <w:rFonts w:ascii="Arial" w:hAnsi="Arial" w:cs="Arial"/>
        </w:rPr>
      </w:pPr>
    </w:p>
    <w:p w:rsidR="00D906AC" w:rsidRDefault="00D906AC" w:rsidP="00D906AC">
      <w:pPr>
        <w:spacing w:before="0" w:after="0"/>
        <w:ind w:left="360" w:hanging="360"/>
        <w:rPr>
          <w:rFonts w:ascii="Arial" w:hAnsi="Arial" w:cs="Arial"/>
        </w:rPr>
      </w:pPr>
    </w:p>
    <w:p w:rsidR="004D7D4C" w:rsidRDefault="004D7D4C" w:rsidP="00D906AC">
      <w:pPr>
        <w:spacing w:before="0" w:after="0"/>
        <w:ind w:left="360" w:hanging="360"/>
        <w:rPr>
          <w:rFonts w:ascii="Arial" w:hAnsi="Arial" w:cs="Arial"/>
          <w:b/>
        </w:rPr>
      </w:pPr>
    </w:p>
    <w:p w:rsidR="00C55D0A" w:rsidRPr="00C55D0A" w:rsidRDefault="004D7D4C" w:rsidP="00C55D0A">
      <w:pPr>
        <w:spacing w:before="0" w:after="200" w:line="276" w:lineRule="auto"/>
        <w:rPr>
          <w:rFonts w:ascii="Arial" w:hAnsi="Arial" w:cs="Arial"/>
          <w:b/>
          <w:sz w:val="24"/>
          <w:szCs w:val="24"/>
        </w:rPr>
      </w:pPr>
      <w:r w:rsidRPr="00375FD4">
        <w:rPr>
          <w:rFonts w:ascii="Arial" w:hAnsi="Arial" w:cs="Arial"/>
          <w:b/>
          <w:sz w:val="24"/>
          <w:szCs w:val="24"/>
        </w:rPr>
        <w:lastRenderedPageBreak/>
        <w:t>Remuneration Report (Cont’d)</w:t>
      </w:r>
    </w:p>
    <w:p w:rsidR="00C55D0A" w:rsidRDefault="00C55D0A" w:rsidP="00C55D0A">
      <w:pPr>
        <w:spacing w:before="0" w:after="0"/>
        <w:ind w:left="360" w:hanging="360"/>
        <w:rPr>
          <w:rFonts w:ascii="Arial" w:hAnsi="Arial" w:cs="Arial"/>
          <w:b/>
          <w:u w:val="single"/>
        </w:rPr>
      </w:pPr>
      <w:r>
        <w:rPr>
          <w:rFonts w:ascii="Arial" w:hAnsi="Arial" w:cs="Arial"/>
          <w:b/>
        </w:rPr>
        <w:t>e</w:t>
      </w:r>
      <w:r w:rsidRPr="00C84BF0">
        <w:rPr>
          <w:rFonts w:ascii="Arial" w:hAnsi="Arial" w:cs="Arial"/>
          <w:b/>
        </w:rPr>
        <w:t>)</w:t>
      </w:r>
      <w:r w:rsidRPr="00C84BF0">
        <w:rPr>
          <w:rFonts w:ascii="Arial" w:hAnsi="Arial" w:cs="Arial"/>
          <w:b/>
        </w:rPr>
        <w:tab/>
        <w:t xml:space="preserve"> </w:t>
      </w:r>
      <w:r w:rsidRPr="00E27A2F">
        <w:rPr>
          <w:rFonts w:ascii="Arial" w:hAnsi="Arial" w:cs="Arial"/>
          <w:b/>
          <w:u w:val="single"/>
        </w:rPr>
        <w:t>Exit Packages</w:t>
      </w:r>
    </w:p>
    <w:p w:rsidR="00C55D0A" w:rsidRDefault="00C55D0A" w:rsidP="00C55D0A">
      <w:pPr>
        <w:spacing w:before="0" w:after="0"/>
        <w:ind w:left="360" w:hanging="360"/>
        <w:rPr>
          <w:rFonts w:ascii="Arial" w:hAnsi="Arial" w:cs="Arial"/>
          <w:b/>
        </w:rPr>
      </w:pPr>
    </w:p>
    <w:p w:rsidR="00C55D0A" w:rsidRPr="00375FD4" w:rsidRDefault="00C55D0A" w:rsidP="00C55D0A">
      <w:pPr>
        <w:tabs>
          <w:tab w:val="left" w:pos="0"/>
        </w:tabs>
        <w:spacing w:before="0" w:after="0"/>
        <w:rPr>
          <w:rFonts w:ascii="Arial" w:hAnsi="Arial" w:cs="Arial"/>
        </w:rPr>
      </w:pPr>
      <w:r w:rsidRPr="00CE58FF">
        <w:rPr>
          <w:rFonts w:ascii="Arial" w:hAnsi="Arial" w:cs="Arial"/>
        </w:rPr>
        <w:t xml:space="preserve">A number of exit packages were agreed, at a </w:t>
      </w:r>
      <w:r w:rsidRPr="00190C3C">
        <w:rPr>
          <w:rFonts w:ascii="Arial" w:hAnsi="Arial" w:cs="Arial"/>
        </w:rPr>
        <w:t>total cost of £0.383m for 2019</w:t>
      </w:r>
      <w:r>
        <w:rPr>
          <w:rFonts w:ascii="Arial" w:hAnsi="Arial" w:cs="Arial"/>
        </w:rPr>
        <w:t>/20</w:t>
      </w:r>
      <w:r w:rsidRPr="00CE58FF">
        <w:rPr>
          <w:rFonts w:ascii="Arial" w:hAnsi="Arial" w:cs="Arial"/>
        </w:rPr>
        <w:t>, as shown in the following Table 6.</w:t>
      </w:r>
      <w:r w:rsidRPr="00375FD4">
        <w:rPr>
          <w:rFonts w:ascii="Arial" w:hAnsi="Arial" w:cs="Arial"/>
        </w:rPr>
        <w:t xml:space="preserve">  </w:t>
      </w:r>
    </w:p>
    <w:p w:rsidR="00C55D0A" w:rsidRDefault="00C55D0A" w:rsidP="004D7D4C">
      <w:pPr>
        <w:spacing w:before="0" w:after="0"/>
        <w:ind w:left="360" w:hanging="360"/>
        <w:rPr>
          <w:rFonts w:ascii="Arial" w:hAnsi="Arial" w:cs="Arial"/>
          <w:b/>
          <w:u w:val="single"/>
        </w:rPr>
      </w:pPr>
    </w:p>
    <w:p w:rsidR="004D7D4C" w:rsidRDefault="004D7D4C" w:rsidP="004D7D4C">
      <w:pPr>
        <w:spacing w:before="0" w:after="0"/>
        <w:rPr>
          <w:rFonts w:ascii="Arial" w:hAnsi="Arial" w:cs="Arial"/>
        </w:rPr>
      </w:pPr>
    </w:p>
    <w:p w:rsidR="00D906AC" w:rsidRPr="00E27A2F" w:rsidRDefault="00D906AC" w:rsidP="00D906AC">
      <w:pPr>
        <w:spacing w:before="0" w:after="0"/>
        <w:ind w:left="360" w:hanging="360"/>
        <w:rPr>
          <w:rFonts w:ascii="Arial" w:hAnsi="Arial" w:cs="Arial"/>
          <w:b/>
        </w:rPr>
      </w:pPr>
      <w:r w:rsidRPr="00E27A2F">
        <w:rPr>
          <w:rFonts w:ascii="Arial" w:hAnsi="Arial" w:cs="Arial"/>
          <w:b/>
        </w:rPr>
        <w:t>Table 6</w:t>
      </w:r>
    </w:p>
    <w:p w:rsidR="00C84BF0" w:rsidRDefault="000C689B" w:rsidP="00C84BF0">
      <w:pPr>
        <w:tabs>
          <w:tab w:val="left" w:pos="0"/>
        </w:tabs>
        <w:spacing w:before="0" w:after="0"/>
        <w:jc w:val="both"/>
        <w:rPr>
          <w:rFonts w:ascii="Arial" w:hAnsi="Arial" w:cs="Arial"/>
        </w:rPr>
      </w:pPr>
      <w:r w:rsidRPr="000C689B">
        <w:rPr>
          <w:noProof/>
          <w:lang w:eastAsia="en-GB"/>
        </w:rPr>
        <w:drawing>
          <wp:inline distT="0" distB="0" distL="0" distR="0">
            <wp:extent cx="4114800" cy="1524000"/>
            <wp:effectExtent l="0" t="0" r="0" b="0"/>
            <wp:docPr id="27" name="Picture 27" descr="exit packages paid by number and value 2018/19 and 2019/20, in bandings" title="remuneration report tabl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114800" cy="1524000"/>
                    </a:xfrm>
                    <a:prstGeom prst="rect">
                      <a:avLst/>
                    </a:prstGeom>
                    <a:noFill/>
                    <a:ln>
                      <a:noFill/>
                    </a:ln>
                  </pic:spPr>
                </pic:pic>
              </a:graphicData>
            </a:graphic>
          </wp:inline>
        </w:drawing>
      </w:r>
    </w:p>
    <w:p w:rsidR="00676D78" w:rsidRDefault="00676D78" w:rsidP="00C84BF0">
      <w:pPr>
        <w:tabs>
          <w:tab w:val="left" w:pos="0"/>
        </w:tabs>
        <w:spacing w:before="0" w:after="0"/>
        <w:jc w:val="both"/>
        <w:rPr>
          <w:rFonts w:ascii="Arial" w:hAnsi="Arial" w:cs="Arial"/>
        </w:rPr>
      </w:pPr>
    </w:p>
    <w:p w:rsidR="00767FC5" w:rsidRPr="00C84BF0" w:rsidRDefault="000B5F8A" w:rsidP="00C84BF0">
      <w:pPr>
        <w:tabs>
          <w:tab w:val="left" w:pos="0"/>
        </w:tabs>
        <w:spacing w:before="0" w:after="0"/>
        <w:jc w:val="both"/>
        <w:rPr>
          <w:rFonts w:ascii="Arial" w:hAnsi="Arial" w:cs="Arial"/>
        </w:rPr>
      </w:pPr>
      <w:r>
        <w:rPr>
          <w:rFonts w:ascii="Arial" w:hAnsi="Arial" w:cs="Arial"/>
        </w:rPr>
        <w:t>N</w:t>
      </w:r>
      <w:r w:rsidR="00C84BF0" w:rsidRPr="00C84BF0">
        <w:rPr>
          <w:rFonts w:ascii="Arial" w:hAnsi="Arial" w:cs="Arial"/>
        </w:rPr>
        <w:t>ote</w:t>
      </w:r>
      <w:r>
        <w:rPr>
          <w:rFonts w:ascii="Arial" w:hAnsi="Arial" w:cs="Arial"/>
        </w:rPr>
        <w:t>:</w:t>
      </w:r>
      <w:r w:rsidR="00C84BF0" w:rsidRPr="00C84BF0">
        <w:rPr>
          <w:rFonts w:ascii="Arial" w:hAnsi="Arial" w:cs="Arial"/>
        </w:rPr>
        <w:t xml:space="preserve"> there were no compulsory packages in this or the previous financial year.</w:t>
      </w:r>
    </w:p>
    <w:p w:rsidR="00520534" w:rsidRDefault="00520534" w:rsidP="00255284">
      <w:pPr>
        <w:tabs>
          <w:tab w:val="left" w:pos="0"/>
        </w:tabs>
        <w:spacing w:before="0" w:after="0"/>
        <w:jc w:val="both"/>
        <w:rPr>
          <w:rFonts w:ascii="Arial" w:hAnsi="Arial" w:cs="Arial"/>
          <w:b/>
        </w:rPr>
      </w:pPr>
    </w:p>
    <w:p w:rsidR="00BA2251" w:rsidRPr="00BA2251" w:rsidRDefault="00BA2251" w:rsidP="00255284">
      <w:pPr>
        <w:tabs>
          <w:tab w:val="left" w:pos="0"/>
        </w:tabs>
        <w:spacing w:before="0" w:after="0"/>
        <w:jc w:val="both"/>
        <w:rPr>
          <w:rFonts w:ascii="Arial" w:hAnsi="Arial" w:cs="Arial"/>
          <w:b/>
        </w:rPr>
      </w:pPr>
      <w:r w:rsidRPr="00BA2251">
        <w:rPr>
          <w:rFonts w:ascii="Arial" w:hAnsi="Arial" w:cs="Arial"/>
          <w:b/>
        </w:rPr>
        <w:t xml:space="preserve">f) </w:t>
      </w:r>
      <w:r w:rsidRPr="00BA2251">
        <w:rPr>
          <w:rFonts w:ascii="Arial" w:hAnsi="Arial" w:cs="Arial"/>
          <w:b/>
          <w:u w:val="single"/>
        </w:rPr>
        <w:t>Trade Union Facility Time</w:t>
      </w:r>
    </w:p>
    <w:p w:rsidR="00BA2251" w:rsidRDefault="00BA2251" w:rsidP="00255284">
      <w:pPr>
        <w:tabs>
          <w:tab w:val="left" w:pos="0"/>
        </w:tabs>
        <w:spacing w:before="0" w:after="0"/>
        <w:jc w:val="both"/>
        <w:rPr>
          <w:rFonts w:ascii="Arial" w:hAnsi="Arial" w:cs="Arial"/>
        </w:rPr>
      </w:pPr>
    </w:p>
    <w:p w:rsidR="00936B5A" w:rsidRDefault="00FF29BC" w:rsidP="00936B5A">
      <w:pPr>
        <w:rPr>
          <w:rFonts w:ascii="Arial" w:hAnsi="Arial" w:cs="Arial"/>
          <w:lang w:val="en"/>
        </w:rPr>
      </w:pPr>
      <w:r>
        <w:rPr>
          <w:rFonts w:ascii="Arial" w:hAnsi="Arial" w:cs="Arial"/>
          <w:lang w:val="en"/>
        </w:rPr>
        <w:t>Facility t</w:t>
      </w:r>
      <w:r w:rsidR="00936B5A">
        <w:rPr>
          <w:rFonts w:ascii="Arial" w:hAnsi="Arial" w:cs="Arial"/>
          <w:lang w:val="en"/>
        </w:rPr>
        <w:t>ime generates benefits for employees, managers and the wider community from effective joint working between union representatives and employers.</w:t>
      </w:r>
    </w:p>
    <w:p w:rsidR="00936B5A" w:rsidRDefault="00936B5A" w:rsidP="00936B5A">
      <w:pPr>
        <w:rPr>
          <w:rFonts w:ascii="Arial" w:hAnsi="Arial" w:cs="Arial"/>
          <w:lang w:val="en"/>
        </w:rPr>
      </w:pPr>
    </w:p>
    <w:p w:rsidR="0067574D" w:rsidRDefault="00FF29BC" w:rsidP="0067574D">
      <w:pPr>
        <w:rPr>
          <w:rFonts w:ascii="Arial" w:hAnsi="Arial" w:cs="Arial"/>
        </w:rPr>
      </w:pPr>
      <w:r>
        <w:rPr>
          <w:rFonts w:ascii="Arial" w:hAnsi="Arial" w:cs="Arial"/>
          <w:lang w:val="en"/>
        </w:rPr>
        <w:t>Details of the facility t</w:t>
      </w:r>
      <w:r w:rsidR="00936B5A">
        <w:rPr>
          <w:rFonts w:ascii="Arial" w:hAnsi="Arial" w:cs="Arial"/>
          <w:lang w:val="en"/>
        </w:rPr>
        <w:t>ime within West Dunbartonshire Council duri</w:t>
      </w:r>
      <w:r w:rsidR="0001624E">
        <w:rPr>
          <w:rFonts w:ascii="Arial" w:hAnsi="Arial" w:cs="Arial"/>
          <w:lang w:val="en"/>
        </w:rPr>
        <w:t>ng the year to 31 March 2020</w:t>
      </w:r>
      <w:r>
        <w:rPr>
          <w:rFonts w:ascii="Arial" w:hAnsi="Arial" w:cs="Arial"/>
          <w:lang w:val="en"/>
        </w:rPr>
        <w:t xml:space="preserve"> is</w:t>
      </w:r>
      <w:r w:rsidR="00936B5A">
        <w:rPr>
          <w:rFonts w:ascii="Arial" w:hAnsi="Arial" w:cs="Arial"/>
          <w:lang w:val="en"/>
        </w:rPr>
        <w:t xml:space="preserve"> shown in Table 7 below.</w:t>
      </w:r>
      <w:r w:rsidR="0067574D" w:rsidRPr="0067574D">
        <w:rPr>
          <w:rFonts w:ascii="Arial" w:hAnsi="Arial" w:cs="Arial"/>
        </w:rPr>
        <w:t xml:space="preserve"> </w:t>
      </w:r>
      <w:r w:rsidR="0067574D">
        <w:rPr>
          <w:rFonts w:ascii="Arial" w:hAnsi="Arial" w:cs="Arial"/>
        </w:rPr>
        <w:t>Further detail can be found at:</w:t>
      </w:r>
    </w:p>
    <w:p w:rsidR="0067574D" w:rsidRDefault="0067574D" w:rsidP="0067574D">
      <w:pPr>
        <w:rPr>
          <w:rFonts w:ascii="Arial" w:hAnsi="Arial" w:cs="Arial"/>
          <w:u w:val="single"/>
        </w:rPr>
      </w:pPr>
    </w:p>
    <w:p w:rsidR="0067574D" w:rsidRPr="002027ED" w:rsidRDefault="00F227F2" w:rsidP="0067574D">
      <w:pPr>
        <w:rPr>
          <w:rFonts w:ascii="Arial" w:hAnsi="Arial" w:cs="Arial"/>
          <w:u w:val="single"/>
        </w:rPr>
      </w:pPr>
      <w:hyperlink r:id="rId48" w:history="1">
        <w:r w:rsidR="0067574D">
          <w:rPr>
            <w:rStyle w:val="Hyperlink"/>
            <w:rFonts w:ascii="Arial" w:hAnsi="Arial" w:cs="Arial"/>
          </w:rPr>
          <w:t>https://www.west-dunbarton.gov.uk/council/performance-and-spending/trade-union-facility-time-reports/</w:t>
        </w:r>
      </w:hyperlink>
    </w:p>
    <w:p w:rsidR="00543F82" w:rsidRPr="00375FD4" w:rsidRDefault="00543F82" w:rsidP="00543F82">
      <w:pPr>
        <w:tabs>
          <w:tab w:val="left" w:pos="0"/>
        </w:tabs>
        <w:spacing w:before="0" w:after="0"/>
        <w:jc w:val="both"/>
        <w:rPr>
          <w:rFonts w:ascii="Arial" w:hAnsi="Arial" w:cs="Arial"/>
        </w:rPr>
      </w:pPr>
    </w:p>
    <w:p w:rsidR="00BA2251" w:rsidRPr="00936B5A" w:rsidRDefault="00936B5A" w:rsidP="00255284">
      <w:pPr>
        <w:tabs>
          <w:tab w:val="left" w:pos="0"/>
        </w:tabs>
        <w:spacing w:before="0" w:after="0"/>
        <w:jc w:val="both"/>
        <w:rPr>
          <w:rFonts w:ascii="Arial" w:hAnsi="Arial" w:cs="Arial"/>
          <w:b/>
        </w:rPr>
      </w:pPr>
      <w:r w:rsidRPr="00936B5A">
        <w:rPr>
          <w:rFonts w:ascii="Arial" w:hAnsi="Arial" w:cs="Arial"/>
          <w:b/>
        </w:rPr>
        <w:t>Table 7</w:t>
      </w:r>
    </w:p>
    <w:p w:rsidR="00936B5A" w:rsidRPr="00375FD4" w:rsidRDefault="00936B5A" w:rsidP="00255284">
      <w:pPr>
        <w:tabs>
          <w:tab w:val="left" w:pos="0"/>
        </w:tabs>
        <w:spacing w:before="0" w:after="0"/>
        <w:jc w:val="both"/>
        <w:rPr>
          <w:rFonts w:ascii="Arial" w:hAnsi="Arial" w:cs="Arial"/>
        </w:rPr>
      </w:pPr>
    </w:p>
    <w:p w:rsidR="00255284" w:rsidRDefault="001E3290" w:rsidP="00255284">
      <w:pPr>
        <w:tabs>
          <w:tab w:val="left" w:pos="0"/>
        </w:tabs>
        <w:spacing w:before="0" w:after="0"/>
        <w:jc w:val="both"/>
        <w:rPr>
          <w:rFonts w:ascii="Arial" w:hAnsi="Arial" w:cs="Arial"/>
        </w:rPr>
      </w:pPr>
      <w:r w:rsidRPr="001E3290">
        <w:rPr>
          <w:noProof/>
          <w:lang w:eastAsia="en-GB"/>
        </w:rPr>
        <w:drawing>
          <wp:inline distT="0" distB="0" distL="0" distR="0">
            <wp:extent cx="5057775" cy="3629025"/>
            <wp:effectExtent l="0" t="0" r="9525" b="9525"/>
            <wp:docPr id="231" name="Picture 231" descr="details of trade union facility time" title="remuneration report tabl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57775" cy="3629025"/>
                    </a:xfrm>
                    <a:prstGeom prst="rect">
                      <a:avLst/>
                    </a:prstGeom>
                    <a:noFill/>
                    <a:ln>
                      <a:noFill/>
                    </a:ln>
                  </pic:spPr>
                </pic:pic>
              </a:graphicData>
            </a:graphic>
          </wp:inline>
        </w:drawing>
      </w:r>
    </w:p>
    <w:p w:rsidR="00255284" w:rsidRDefault="004D7D4C" w:rsidP="0067574D">
      <w:pPr>
        <w:spacing w:before="0" w:after="200" w:line="276" w:lineRule="auto"/>
        <w:rPr>
          <w:rFonts w:ascii="Arial" w:hAnsi="Arial" w:cs="Arial"/>
          <w:b/>
        </w:rPr>
      </w:pPr>
      <w:r w:rsidRPr="00375FD4">
        <w:rPr>
          <w:rFonts w:ascii="Arial" w:hAnsi="Arial" w:cs="Arial"/>
          <w:b/>
          <w:sz w:val="24"/>
          <w:szCs w:val="24"/>
        </w:rPr>
        <w:lastRenderedPageBreak/>
        <w:t>Remuneration Report (Cont’d)</w:t>
      </w:r>
    </w:p>
    <w:p w:rsidR="00936B5A" w:rsidRDefault="00936B5A" w:rsidP="00255284">
      <w:pPr>
        <w:spacing w:before="0" w:after="0"/>
        <w:rPr>
          <w:rFonts w:ascii="Arial" w:hAnsi="Arial" w:cs="Arial"/>
          <w:b/>
        </w:rPr>
      </w:pPr>
    </w:p>
    <w:p w:rsidR="00936B5A" w:rsidRDefault="00936B5A" w:rsidP="00255284">
      <w:pPr>
        <w:spacing w:before="0" w:after="0"/>
        <w:rPr>
          <w:rFonts w:ascii="Arial" w:hAnsi="Arial" w:cs="Arial"/>
          <w:b/>
        </w:rPr>
      </w:pPr>
    </w:p>
    <w:p w:rsidR="00936B5A" w:rsidRDefault="00936B5A" w:rsidP="00255284">
      <w:pPr>
        <w:spacing w:before="0" w:after="0"/>
        <w:rPr>
          <w:rFonts w:ascii="Arial" w:hAnsi="Arial" w:cs="Arial"/>
          <w:b/>
        </w:rPr>
      </w:pPr>
    </w:p>
    <w:p w:rsidR="00936B5A" w:rsidRPr="00375FD4" w:rsidRDefault="00936B5A" w:rsidP="00255284">
      <w:pPr>
        <w:spacing w:before="0" w:after="0"/>
        <w:rPr>
          <w:rFonts w:ascii="Arial" w:hAnsi="Arial" w:cs="Arial"/>
          <w:b/>
        </w:rPr>
      </w:pPr>
    </w:p>
    <w:p w:rsidR="00255284" w:rsidRPr="00375FD4" w:rsidRDefault="003B7DCB" w:rsidP="00BA2251">
      <w:pPr>
        <w:spacing w:before="0" w:after="0"/>
        <w:rPr>
          <w:rFonts w:ascii="Arial" w:hAnsi="Arial" w:cs="Arial"/>
        </w:rPr>
      </w:pPr>
      <w:r>
        <w:rPr>
          <w:rFonts w:ascii="Arial" w:hAnsi="Arial" w:cs="Arial"/>
        </w:rPr>
        <w:t>Jonathan McColl</w:t>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t>Joyce White</w:t>
      </w:r>
    </w:p>
    <w:p w:rsidR="00255284" w:rsidRPr="00375FD4" w:rsidRDefault="00255284" w:rsidP="00BA2251">
      <w:pPr>
        <w:spacing w:before="0" w:after="0"/>
        <w:rPr>
          <w:rFonts w:ascii="Arial" w:hAnsi="Arial" w:cs="Arial"/>
        </w:rPr>
      </w:pPr>
      <w:r w:rsidRPr="00375FD4">
        <w:rPr>
          <w:rFonts w:ascii="Arial" w:hAnsi="Arial" w:cs="Arial"/>
        </w:rPr>
        <w:t>Leader of the Council</w:t>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r>
      <w:r w:rsidR="00BA2251">
        <w:rPr>
          <w:rFonts w:ascii="Arial" w:hAnsi="Arial" w:cs="Arial"/>
        </w:rPr>
        <w:tab/>
        <w:t>Chief Executive</w:t>
      </w:r>
    </w:p>
    <w:p w:rsidR="00255284" w:rsidRPr="007D5A01" w:rsidRDefault="00255284" w:rsidP="0001624E">
      <w:pPr>
        <w:spacing w:before="0" w:after="0"/>
        <w:rPr>
          <w:rFonts w:ascii="Arial" w:hAnsi="Arial" w:cs="Arial"/>
        </w:rPr>
      </w:pPr>
      <w:r w:rsidRPr="00C445F5">
        <w:rPr>
          <w:rFonts w:ascii="Arial" w:hAnsi="Arial" w:cs="Arial"/>
        </w:rPr>
        <w:t xml:space="preserve">Date: </w:t>
      </w:r>
      <w:r w:rsidR="00A803FC">
        <w:rPr>
          <w:rFonts w:ascii="Arial" w:eastAsiaTheme="minorHAnsi" w:hAnsi="Arial" w:cs="Arial"/>
          <w:color w:val="000000"/>
        </w:rPr>
        <w:t>25 November</w:t>
      </w:r>
      <w:r w:rsidR="0044151F" w:rsidRPr="00C445F5">
        <w:rPr>
          <w:rFonts w:ascii="Arial" w:eastAsiaTheme="minorHAnsi" w:hAnsi="Arial" w:cs="Arial"/>
          <w:b/>
          <w:color w:val="000000"/>
        </w:rPr>
        <w:t xml:space="preserve"> </w:t>
      </w:r>
      <w:r w:rsidR="0001624E" w:rsidRPr="00C445F5">
        <w:rPr>
          <w:rFonts w:ascii="Arial" w:eastAsiaTheme="minorHAnsi" w:hAnsi="Arial" w:cs="Arial"/>
          <w:color w:val="000000"/>
        </w:rPr>
        <w:t>2020</w:t>
      </w:r>
      <w:r w:rsidR="0001624E" w:rsidRPr="00C445F5">
        <w:rPr>
          <w:rFonts w:ascii="Arial" w:eastAsiaTheme="minorHAnsi" w:hAnsi="Arial" w:cs="Arial"/>
          <w:color w:val="000000"/>
        </w:rPr>
        <w:tab/>
      </w:r>
      <w:r w:rsidR="005613D0" w:rsidRPr="00C445F5">
        <w:rPr>
          <w:rFonts w:ascii="Arial" w:eastAsiaTheme="minorHAnsi" w:hAnsi="Arial" w:cs="Arial"/>
          <w:color w:val="000000"/>
        </w:rPr>
        <w:tab/>
      </w:r>
      <w:r w:rsidR="00A803FC">
        <w:rPr>
          <w:rFonts w:ascii="Arial" w:hAnsi="Arial" w:cs="Arial"/>
          <w:color w:val="000000"/>
          <w:lang w:val="en-US"/>
        </w:rPr>
        <w:tab/>
      </w:r>
      <w:r w:rsidR="00A803FC">
        <w:rPr>
          <w:rFonts w:ascii="Arial" w:hAnsi="Arial" w:cs="Arial"/>
          <w:color w:val="000000"/>
          <w:lang w:val="en-US"/>
        </w:rPr>
        <w:tab/>
      </w:r>
      <w:r w:rsidR="0044151F" w:rsidRPr="00C445F5">
        <w:rPr>
          <w:rFonts w:ascii="Arial" w:hAnsi="Arial" w:cs="Arial"/>
          <w:color w:val="000000"/>
          <w:lang w:val="en-US"/>
        </w:rPr>
        <w:tab/>
      </w:r>
      <w:r w:rsidR="0044151F" w:rsidRPr="00C445F5">
        <w:rPr>
          <w:rFonts w:ascii="Arial" w:hAnsi="Arial" w:cs="Arial"/>
          <w:color w:val="000000"/>
          <w:lang w:val="en-US"/>
        </w:rPr>
        <w:tab/>
      </w:r>
      <w:r w:rsidR="00BA2251" w:rsidRPr="00C445F5">
        <w:rPr>
          <w:rFonts w:ascii="Arial" w:hAnsi="Arial" w:cs="Arial"/>
        </w:rPr>
        <w:t xml:space="preserve">Date: </w:t>
      </w:r>
      <w:r w:rsidR="00A803FC">
        <w:rPr>
          <w:rFonts w:ascii="Arial" w:eastAsiaTheme="minorHAnsi" w:hAnsi="Arial" w:cs="Arial"/>
          <w:color w:val="000000"/>
        </w:rPr>
        <w:t>25 November</w:t>
      </w:r>
      <w:r w:rsidR="0044151F" w:rsidRPr="00C445F5">
        <w:rPr>
          <w:rFonts w:ascii="Arial" w:eastAsiaTheme="minorHAnsi" w:hAnsi="Arial" w:cs="Arial"/>
          <w:b/>
          <w:color w:val="000000"/>
        </w:rPr>
        <w:t xml:space="preserve"> </w:t>
      </w:r>
      <w:r w:rsidR="0001624E" w:rsidRPr="00C445F5">
        <w:rPr>
          <w:rFonts w:ascii="Arial" w:eastAsiaTheme="minorHAnsi" w:hAnsi="Arial" w:cs="Arial"/>
          <w:color w:val="000000"/>
        </w:rPr>
        <w:t>2020</w:t>
      </w:r>
    </w:p>
    <w:p w:rsidR="00767FC5" w:rsidRPr="00375FD4" w:rsidRDefault="00767FC5">
      <w:pPr>
        <w:spacing w:before="0" w:after="200" w:line="276" w:lineRule="auto"/>
        <w:rPr>
          <w:rFonts w:ascii="Arial" w:hAnsi="Arial" w:cs="Arial"/>
        </w:rPr>
      </w:pPr>
      <w:r w:rsidRPr="00375FD4">
        <w:rPr>
          <w:rFonts w:ascii="Arial" w:hAnsi="Arial" w:cs="Arial"/>
        </w:rPr>
        <w:br w:type="page"/>
      </w:r>
    </w:p>
    <w:p w:rsidR="00D51678" w:rsidRDefault="00D51678" w:rsidP="00D51678">
      <w:pPr>
        <w:pStyle w:val="Heading1"/>
        <w:spacing w:before="0"/>
        <w:rPr>
          <w:rFonts w:ascii="Arial" w:hAnsi="Arial" w:cs="Arial"/>
          <w:color w:val="auto"/>
          <w:sz w:val="24"/>
          <w:szCs w:val="24"/>
        </w:rPr>
      </w:pPr>
      <w:r w:rsidRPr="000A3446">
        <w:rPr>
          <w:rFonts w:ascii="Arial" w:hAnsi="Arial" w:cs="Arial"/>
          <w:color w:val="auto"/>
          <w:sz w:val="24"/>
          <w:szCs w:val="24"/>
        </w:rPr>
        <w:lastRenderedPageBreak/>
        <w:t>Comprehensive Income and Expenditure Statement</w:t>
      </w:r>
    </w:p>
    <w:p w:rsidR="00850F31" w:rsidRDefault="00850F31" w:rsidP="00850F31"/>
    <w:p w:rsidR="00850F31" w:rsidRDefault="00850F31" w:rsidP="001F1E67">
      <w:pPr>
        <w:spacing w:before="0" w:after="0"/>
        <w:rPr>
          <w:rFonts w:ascii="Arial" w:hAnsi="Arial" w:cs="Arial"/>
        </w:rPr>
      </w:pPr>
      <w:r w:rsidRPr="00375FD4">
        <w:rPr>
          <w:rFonts w:ascii="Arial" w:hAnsi="Arial" w:cs="Arial"/>
        </w:rPr>
        <w:t>This statement shows the acco</w:t>
      </w:r>
      <w:r w:rsidR="00746DB7">
        <w:rPr>
          <w:rFonts w:ascii="Arial" w:hAnsi="Arial" w:cs="Arial"/>
        </w:rPr>
        <w:t>unting cost in year</w:t>
      </w:r>
      <w:r w:rsidRPr="00375FD4">
        <w:rPr>
          <w:rFonts w:ascii="Arial" w:hAnsi="Arial" w:cs="Arial"/>
        </w:rPr>
        <w:t>, of providing services in accordance with</w:t>
      </w:r>
      <w:r w:rsidR="000F1D3B">
        <w:rPr>
          <w:rFonts w:ascii="Arial" w:hAnsi="Arial" w:cs="Arial"/>
        </w:rPr>
        <w:t xml:space="preserve"> relevant</w:t>
      </w:r>
      <w:r w:rsidRPr="00375FD4">
        <w:rPr>
          <w:rFonts w:ascii="Arial" w:hAnsi="Arial" w:cs="Arial"/>
        </w:rPr>
        <w:t xml:space="preserve"> </w:t>
      </w:r>
      <w:r w:rsidR="000F1D3B">
        <w:rPr>
          <w:rFonts w:ascii="Arial" w:hAnsi="Arial" w:cs="Arial"/>
        </w:rPr>
        <w:t>International Financial Reporting Standards</w:t>
      </w:r>
      <w:r w:rsidRPr="00375FD4">
        <w:rPr>
          <w:rFonts w:ascii="Arial" w:hAnsi="Arial" w:cs="Arial"/>
        </w:rPr>
        <w:t>, rather than the amount to</w:t>
      </w:r>
      <w:r w:rsidR="00B41878">
        <w:rPr>
          <w:rFonts w:ascii="Arial" w:hAnsi="Arial" w:cs="Arial"/>
        </w:rPr>
        <w:t xml:space="preserve"> be funded from taxation.  The c</w:t>
      </w:r>
      <w:r w:rsidRPr="00375FD4">
        <w:rPr>
          <w:rFonts w:ascii="Arial" w:hAnsi="Arial" w:cs="Arial"/>
        </w:rPr>
        <w:t>ouncil raises taxation to cover expenditure in accordance with regulations; this may be different from the accounting cost.  The tax</w:t>
      </w:r>
      <w:r w:rsidR="00746DB7">
        <w:rPr>
          <w:rFonts w:ascii="Arial" w:hAnsi="Arial" w:cs="Arial"/>
        </w:rPr>
        <w:t>ation position is shown in the Movement in Reserves S</w:t>
      </w:r>
      <w:r w:rsidRPr="00375FD4">
        <w:rPr>
          <w:rFonts w:ascii="Arial" w:hAnsi="Arial" w:cs="Arial"/>
        </w:rPr>
        <w:t>tatement.</w:t>
      </w:r>
    </w:p>
    <w:p w:rsidR="00B434FC" w:rsidRDefault="00B434FC" w:rsidP="001F1E67">
      <w:pPr>
        <w:spacing w:before="0" w:after="0"/>
        <w:rPr>
          <w:rFonts w:ascii="Arial" w:hAnsi="Arial" w:cs="Arial"/>
        </w:rPr>
      </w:pPr>
    </w:p>
    <w:p w:rsidR="00B434FC" w:rsidRDefault="00B434FC" w:rsidP="001F1E67">
      <w:pPr>
        <w:spacing w:before="0" w:after="0"/>
        <w:rPr>
          <w:rFonts w:ascii="Arial" w:hAnsi="Arial" w:cs="Arial"/>
        </w:rPr>
      </w:pPr>
      <w:r>
        <w:rPr>
          <w:rFonts w:ascii="Arial" w:hAnsi="Arial" w:cs="Arial"/>
        </w:rPr>
        <w:t>Further detail on the expen</w:t>
      </w:r>
      <w:r w:rsidR="00FF1E7E">
        <w:rPr>
          <w:rFonts w:ascii="Arial" w:hAnsi="Arial" w:cs="Arial"/>
        </w:rPr>
        <w:t>diture and income within the Ne</w:t>
      </w:r>
      <w:r>
        <w:rPr>
          <w:rFonts w:ascii="Arial" w:hAnsi="Arial" w:cs="Arial"/>
        </w:rPr>
        <w:t xml:space="preserve">t Cost of Services below is available in </w:t>
      </w:r>
      <w:r w:rsidR="00B04556">
        <w:rPr>
          <w:rFonts w:ascii="Arial" w:hAnsi="Arial" w:cs="Arial"/>
        </w:rPr>
        <w:t>Note 13</w:t>
      </w:r>
      <w:r w:rsidRPr="00B66682">
        <w:rPr>
          <w:rFonts w:ascii="Arial" w:hAnsi="Arial" w:cs="Arial"/>
        </w:rPr>
        <w:t xml:space="preserve"> on page </w:t>
      </w:r>
      <w:r w:rsidR="00EB691C">
        <w:rPr>
          <w:rFonts w:ascii="Arial" w:hAnsi="Arial" w:cs="Arial"/>
        </w:rPr>
        <w:t>59</w:t>
      </w:r>
      <w:r w:rsidRPr="00B66682">
        <w:rPr>
          <w:rFonts w:ascii="Arial" w:hAnsi="Arial" w:cs="Arial"/>
        </w:rPr>
        <w:t>.</w:t>
      </w:r>
    </w:p>
    <w:p w:rsidR="00B434FC" w:rsidRDefault="00B434FC" w:rsidP="001F1E67">
      <w:pPr>
        <w:spacing w:before="0" w:after="0"/>
        <w:rPr>
          <w:rFonts w:ascii="Arial" w:hAnsi="Arial" w:cs="Arial"/>
        </w:rPr>
      </w:pPr>
    </w:p>
    <w:p w:rsidR="00850F31" w:rsidRPr="00850F31" w:rsidRDefault="00162677" w:rsidP="00850F31">
      <w:r w:rsidRPr="00162677">
        <w:rPr>
          <w:noProof/>
          <w:lang w:eastAsia="en-GB"/>
        </w:rPr>
        <w:drawing>
          <wp:inline distT="0" distB="0" distL="0" distR="0">
            <wp:extent cx="5731510" cy="4600175"/>
            <wp:effectExtent l="0" t="0" r="2540" b="0"/>
            <wp:docPr id="32" name="Picture 32" descr="statement of income and expenditure of the council 2019/20 with 2018/19 comparators" title="comprehensive income &amp; expenditur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4600175"/>
                    </a:xfrm>
                    <a:prstGeom prst="rect">
                      <a:avLst/>
                    </a:prstGeom>
                    <a:noFill/>
                    <a:ln>
                      <a:noFill/>
                    </a:ln>
                  </pic:spPr>
                </pic:pic>
              </a:graphicData>
            </a:graphic>
          </wp:inline>
        </w:drawing>
      </w:r>
    </w:p>
    <w:p w:rsidR="00D51678" w:rsidRPr="00375FD4" w:rsidRDefault="00D51678" w:rsidP="00D51678">
      <w:pPr>
        <w:rPr>
          <w:rFonts w:ascii="Arial" w:hAnsi="Arial" w:cs="Arial"/>
        </w:rPr>
      </w:pPr>
    </w:p>
    <w:p w:rsidR="00D51678" w:rsidRPr="00375FD4" w:rsidRDefault="00D51678" w:rsidP="00D51678">
      <w:pPr>
        <w:ind w:left="-426"/>
        <w:rPr>
          <w:rFonts w:ascii="Arial" w:hAnsi="Arial" w:cs="Arial"/>
        </w:rPr>
      </w:pPr>
    </w:p>
    <w:p w:rsidR="00D51678" w:rsidRPr="00375FD4" w:rsidRDefault="00D51678" w:rsidP="00D51678">
      <w:pPr>
        <w:spacing w:before="0" w:after="200" w:line="276" w:lineRule="auto"/>
        <w:rPr>
          <w:rFonts w:ascii="Arial" w:hAnsi="Arial" w:cs="Arial"/>
        </w:rPr>
      </w:pPr>
      <w:r w:rsidRPr="00375FD4">
        <w:rPr>
          <w:rFonts w:ascii="Arial" w:hAnsi="Arial" w:cs="Arial"/>
        </w:rPr>
        <w:br w:type="page"/>
      </w:r>
    </w:p>
    <w:p w:rsidR="00D51678" w:rsidRPr="00375FD4" w:rsidRDefault="00D51678" w:rsidP="00D51678">
      <w:pPr>
        <w:spacing w:before="0" w:after="200" w:line="276" w:lineRule="auto"/>
        <w:rPr>
          <w:rFonts w:ascii="Arial" w:hAnsi="Arial" w:cs="Arial"/>
        </w:rPr>
        <w:sectPr w:rsidR="00D51678" w:rsidRPr="00375FD4" w:rsidSect="00F43F6A">
          <w:headerReference w:type="default" r:id="rId51"/>
          <w:footerReference w:type="default" r:id="rId52"/>
          <w:pgSz w:w="11906" w:h="16838"/>
          <w:pgMar w:top="1440" w:right="1440" w:bottom="1440" w:left="1440" w:header="708" w:footer="708" w:gutter="0"/>
          <w:pgNumType w:start="1"/>
          <w:cols w:space="708"/>
          <w:docGrid w:linePitch="360"/>
        </w:sectPr>
      </w:pPr>
    </w:p>
    <w:p w:rsidR="00F307A8" w:rsidRDefault="00B1447E" w:rsidP="00B1447E">
      <w:pPr>
        <w:pStyle w:val="Heading1"/>
        <w:spacing w:before="0"/>
        <w:rPr>
          <w:rFonts w:ascii="Arial" w:hAnsi="Arial" w:cs="Arial"/>
          <w:color w:val="auto"/>
          <w:sz w:val="24"/>
          <w:szCs w:val="24"/>
        </w:rPr>
      </w:pPr>
      <w:r w:rsidRPr="000A3446">
        <w:rPr>
          <w:rFonts w:ascii="Arial" w:hAnsi="Arial" w:cs="Arial"/>
          <w:color w:val="auto"/>
          <w:sz w:val="24"/>
          <w:szCs w:val="24"/>
        </w:rPr>
        <w:lastRenderedPageBreak/>
        <w:t>Movement in Reserves Statement</w:t>
      </w:r>
      <w:r w:rsidR="00447165">
        <w:rPr>
          <w:rFonts w:ascii="Arial" w:hAnsi="Arial" w:cs="Arial"/>
          <w:color w:val="auto"/>
          <w:sz w:val="24"/>
          <w:szCs w:val="24"/>
        </w:rPr>
        <w:tab/>
      </w:r>
    </w:p>
    <w:p w:rsidR="00850F31" w:rsidRDefault="00850F31" w:rsidP="00850F31"/>
    <w:p w:rsidR="00850F31" w:rsidRPr="00375FD4" w:rsidRDefault="00850F31" w:rsidP="001F1E67">
      <w:pPr>
        <w:spacing w:before="0" w:after="0"/>
        <w:rPr>
          <w:rFonts w:ascii="Arial" w:hAnsi="Arial" w:cs="Arial"/>
        </w:rPr>
      </w:pPr>
      <w:r w:rsidRPr="00375FD4">
        <w:rPr>
          <w:rFonts w:ascii="Arial" w:hAnsi="Arial" w:cs="Arial"/>
        </w:rPr>
        <w:t>This statement shows the movement in the year on the different reserves held by the authority, analysed into ‘usable reserves’ (i.e. those that can be applied to fund expenditure or reduce local taxation) and other reserves.  The surplus or (deficit) on the provision of services line shows the true economic cost of providing the authority’s services, more det</w:t>
      </w:r>
      <w:r w:rsidR="00746DB7">
        <w:rPr>
          <w:rFonts w:ascii="Arial" w:hAnsi="Arial" w:cs="Arial"/>
        </w:rPr>
        <w:t>ails of which are shown in the Comprehensive Income and Expenditure S</w:t>
      </w:r>
      <w:r w:rsidRPr="00375FD4">
        <w:rPr>
          <w:rFonts w:ascii="Arial" w:hAnsi="Arial" w:cs="Arial"/>
        </w:rPr>
        <w:t>tatement.  These are different from the statutory amounts</w:t>
      </w:r>
      <w:r w:rsidR="00746DB7">
        <w:rPr>
          <w:rFonts w:ascii="Arial" w:hAnsi="Arial" w:cs="Arial"/>
        </w:rPr>
        <w:t xml:space="preserve"> required to be charged to the General Fund balance and the Housing Revenue A</w:t>
      </w:r>
      <w:r w:rsidRPr="00375FD4">
        <w:rPr>
          <w:rFonts w:ascii="Arial" w:hAnsi="Arial" w:cs="Arial"/>
        </w:rPr>
        <w:t>ccount for council tax setting and dwelling rent setting purposes.  The net increase/decrease before transfer to earmarked reserves line shows the statutory general fund balance and housing revenue account balance before any discretionary transfers to or from earmar</w:t>
      </w:r>
      <w:r w:rsidR="00B41878">
        <w:rPr>
          <w:rFonts w:ascii="Arial" w:hAnsi="Arial" w:cs="Arial"/>
        </w:rPr>
        <w:t>ked reserves undertaken by the c</w:t>
      </w:r>
      <w:r w:rsidRPr="00375FD4">
        <w:rPr>
          <w:rFonts w:ascii="Arial" w:hAnsi="Arial" w:cs="Arial"/>
        </w:rPr>
        <w:t>ouncil.</w:t>
      </w:r>
    </w:p>
    <w:p w:rsidR="006B77B4" w:rsidRPr="006B77B4" w:rsidRDefault="006B77B4" w:rsidP="006B77B4"/>
    <w:p w:rsidR="00B1447E" w:rsidRDefault="004A6072" w:rsidP="00B1447E">
      <w:pPr>
        <w:rPr>
          <w:rFonts w:ascii="Arial" w:hAnsi="Arial" w:cs="Arial"/>
        </w:rPr>
      </w:pPr>
      <w:r w:rsidRPr="004A6072">
        <w:rPr>
          <w:noProof/>
          <w:lang w:eastAsia="en-GB"/>
        </w:rPr>
        <w:drawing>
          <wp:inline distT="0" distB="0" distL="0" distR="0">
            <wp:extent cx="8863330" cy="3549797"/>
            <wp:effectExtent l="0" t="0" r="0" b="0"/>
            <wp:docPr id="150" name="Picture 150" descr="movement in reserves of the council - capital and revenue, identifying opening and closing balances" title="movement in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63330" cy="3549797"/>
                    </a:xfrm>
                    <a:prstGeom prst="rect">
                      <a:avLst/>
                    </a:prstGeom>
                    <a:noFill/>
                    <a:ln>
                      <a:noFill/>
                    </a:ln>
                  </pic:spPr>
                </pic:pic>
              </a:graphicData>
            </a:graphic>
          </wp:inline>
        </w:drawing>
      </w:r>
    </w:p>
    <w:p w:rsidR="00BB3DDC" w:rsidRDefault="00BB3DDC" w:rsidP="00B1447E">
      <w:pPr>
        <w:rPr>
          <w:rFonts w:ascii="Arial" w:hAnsi="Arial" w:cs="Arial"/>
        </w:rPr>
      </w:pPr>
    </w:p>
    <w:p w:rsidR="00B1447E" w:rsidRPr="00D95359" w:rsidRDefault="00B1447E" w:rsidP="00B1447E">
      <w:pPr>
        <w:spacing w:before="100" w:beforeAutospacing="1" w:after="100" w:afterAutospacing="1"/>
        <w:rPr>
          <w:rFonts w:ascii="Arial" w:hAnsi="Arial" w:cs="Arial"/>
          <w:u w:val="single"/>
        </w:rPr>
        <w:sectPr w:rsidR="00B1447E" w:rsidRPr="00D95359" w:rsidSect="00B1447E">
          <w:pgSz w:w="16838" w:h="11906" w:orient="landscape"/>
          <w:pgMar w:top="1440" w:right="1440" w:bottom="1440" w:left="1440" w:header="708" w:footer="708" w:gutter="0"/>
          <w:cols w:space="708"/>
          <w:docGrid w:linePitch="360"/>
        </w:sectPr>
      </w:pPr>
    </w:p>
    <w:p w:rsidR="00990216" w:rsidRDefault="00990216" w:rsidP="00990216">
      <w:pPr>
        <w:pStyle w:val="Heading1"/>
        <w:rPr>
          <w:rFonts w:ascii="Arial" w:hAnsi="Arial" w:cs="Arial"/>
          <w:color w:val="auto"/>
          <w:sz w:val="24"/>
          <w:szCs w:val="24"/>
        </w:rPr>
      </w:pPr>
      <w:r w:rsidRPr="000A3446">
        <w:rPr>
          <w:rFonts w:ascii="Arial" w:hAnsi="Arial" w:cs="Arial"/>
          <w:color w:val="auto"/>
          <w:sz w:val="24"/>
          <w:szCs w:val="24"/>
        </w:rPr>
        <w:lastRenderedPageBreak/>
        <w:t>Balance Sheet</w:t>
      </w:r>
    </w:p>
    <w:p w:rsidR="00850F31" w:rsidRDefault="00850F31" w:rsidP="00850F31"/>
    <w:p w:rsidR="00850F31" w:rsidRPr="00375FD4" w:rsidRDefault="00850F31" w:rsidP="001F1E67">
      <w:pPr>
        <w:spacing w:before="0" w:after="0"/>
        <w:rPr>
          <w:rFonts w:ascii="Arial" w:hAnsi="Arial" w:cs="Arial"/>
        </w:rPr>
      </w:pPr>
      <w:r w:rsidRPr="00375FD4">
        <w:rPr>
          <w:rFonts w:ascii="Arial" w:hAnsi="Arial" w:cs="Arial"/>
        </w:rPr>
        <w:t>The balance sheet shows the value, as at the balance sheet date, of the assets and liabilit</w:t>
      </w:r>
      <w:r w:rsidR="00B41878">
        <w:rPr>
          <w:rFonts w:ascii="Arial" w:hAnsi="Arial" w:cs="Arial"/>
        </w:rPr>
        <w:t>ies recognised by the c</w:t>
      </w:r>
      <w:r>
        <w:rPr>
          <w:rFonts w:ascii="Arial" w:hAnsi="Arial" w:cs="Arial"/>
        </w:rPr>
        <w:t xml:space="preserve">ouncil. </w:t>
      </w:r>
      <w:r w:rsidR="00B41878">
        <w:rPr>
          <w:rFonts w:ascii="Arial" w:hAnsi="Arial" w:cs="Arial"/>
        </w:rPr>
        <w:t>The net assets of the c</w:t>
      </w:r>
      <w:r w:rsidRPr="00375FD4">
        <w:rPr>
          <w:rFonts w:ascii="Arial" w:hAnsi="Arial" w:cs="Arial"/>
        </w:rPr>
        <w:t>ouncil (assets less liabilities) are matched by the</w:t>
      </w:r>
      <w:r w:rsidR="00B41878">
        <w:rPr>
          <w:rFonts w:ascii="Arial" w:hAnsi="Arial" w:cs="Arial"/>
        </w:rPr>
        <w:t xml:space="preserve"> reserves held by the c</w:t>
      </w:r>
      <w:r>
        <w:rPr>
          <w:rFonts w:ascii="Arial" w:hAnsi="Arial" w:cs="Arial"/>
        </w:rPr>
        <w:t xml:space="preserve">ouncil. </w:t>
      </w:r>
      <w:r w:rsidRPr="00375FD4">
        <w:rPr>
          <w:rFonts w:ascii="Arial" w:hAnsi="Arial" w:cs="Arial"/>
        </w:rPr>
        <w:t xml:space="preserve">Reserves are reported in two categories:  </w:t>
      </w:r>
    </w:p>
    <w:p w:rsidR="00850F31" w:rsidRPr="00375FD4" w:rsidRDefault="00850F31" w:rsidP="001F1E67">
      <w:pPr>
        <w:spacing w:before="0" w:after="0"/>
        <w:rPr>
          <w:rFonts w:ascii="Arial" w:hAnsi="Arial" w:cs="Arial"/>
        </w:rPr>
      </w:pPr>
    </w:p>
    <w:p w:rsidR="00850F31" w:rsidRPr="004A6072" w:rsidRDefault="00850F31" w:rsidP="00EA6E47">
      <w:pPr>
        <w:numPr>
          <w:ilvl w:val="3"/>
          <w:numId w:val="7"/>
        </w:numPr>
        <w:tabs>
          <w:tab w:val="clear" w:pos="2880"/>
          <w:tab w:val="num" w:pos="426"/>
        </w:tabs>
        <w:spacing w:before="0" w:after="0"/>
        <w:ind w:left="426" w:hanging="426"/>
        <w:rPr>
          <w:rFonts w:ascii="Arial" w:hAnsi="Arial" w:cs="Arial"/>
        </w:rPr>
      </w:pPr>
      <w:r w:rsidRPr="00375FD4">
        <w:rPr>
          <w:rFonts w:ascii="Arial" w:hAnsi="Arial" w:cs="Arial"/>
        </w:rPr>
        <w:t xml:space="preserve">Usable reserves, i.e. those reserves that the authority may use to provide services, subject to the need </w:t>
      </w:r>
      <w:r w:rsidRPr="004A6072">
        <w:rPr>
          <w:rFonts w:ascii="Arial" w:hAnsi="Arial" w:cs="Arial"/>
        </w:rPr>
        <w:t>to maintain a prudent level of reserves and any statutory limitations on their use (for example the capital receipts reserve that may only be used to fund capital expenditure or repay debt); and</w:t>
      </w:r>
    </w:p>
    <w:p w:rsidR="00990216" w:rsidRPr="004A6072" w:rsidRDefault="00330180" w:rsidP="00990216">
      <w:pPr>
        <w:numPr>
          <w:ilvl w:val="3"/>
          <w:numId w:val="7"/>
        </w:numPr>
        <w:tabs>
          <w:tab w:val="clear" w:pos="2880"/>
          <w:tab w:val="num" w:pos="426"/>
        </w:tabs>
        <w:spacing w:before="0" w:after="0"/>
        <w:ind w:left="426" w:hanging="426"/>
        <w:jc w:val="both"/>
        <w:rPr>
          <w:rFonts w:ascii="Arial" w:hAnsi="Arial" w:cs="Arial"/>
        </w:rPr>
      </w:pPr>
      <w:r w:rsidRPr="004A6072">
        <w:rPr>
          <w:rFonts w:ascii="Arial" w:hAnsi="Arial" w:cs="Arial"/>
        </w:rPr>
        <w:t>Un</w:t>
      </w:r>
      <w:r w:rsidR="00850F31" w:rsidRPr="004A6072">
        <w:rPr>
          <w:rFonts w:ascii="Arial" w:hAnsi="Arial" w:cs="Arial"/>
        </w:rPr>
        <w:t>usable</w:t>
      </w:r>
      <w:r w:rsidR="00B41878" w:rsidRPr="004A6072">
        <w:rPr>
          <w:rFonts w:ascii="Arial" w:hAnsi="Arial" w:cs="Arial"/>
        </w:rPr>
        <w:t xml:space="preserve"> reserves, i.e. those that the c</w:t>
      </w:r>
      <w:r w:rsidR="00850F31" w:rsidRPr="004A6072">
        <w:rPr>
          <w:rFonts w:ascii="Arial" w:hAnsi="Arial" w:cs="Arial"/>
        </w:rPr>
        <w:t>ouncil is not able to use to provide services.  This category of reserves includes reserves that hold unrealised gains and losses (for example the revaluation reserve), where amounts would only become available to provide services if the assets are sold; and reserves that hold timing differences shown in the MIRS line ‘adjustments between accounting basis and funding basis under regulations’.</w:t>
      </w:r>
      <w:r w:rsidR="00EB691C" w:rsidRPr="004A6072">
        <w:rPr>
          <w:rFonts w:ascii="Arial" w:hAnsi="Arial" w:cs="Arial"/>
        </w:rPr>
        <w:t xml:space="preserve"> </w:t>
      </w:r>
    </w:p>
    <w:p w:rsidR="00EB691C" w:rsidRPr="004A6072" w:rsidRDefault="00EB691C" w:rsidP="00EB691C">
      <w:pPr>
        <w:spacing w:before="0" w:after="0"/>
        <w:ind w:left="426"/>
        <w:jc w:val="both"/>
        <w:rPr>
          <w:rFonts w:ascii="Arial" w:hAnsi="Arial" w:cs="Arial"/>
        </w:rPr>
      </w:pPr>
    </w:p>
    <w:p w:rsidR="00427171" w:rsidRPr="004A6072" w:rsidRDefault="004A6072" w:rsidP="00823E64">
      <w:pPr>
        <w:spacing w:before="0" w:after="0"/>
        <w:rPr>
          <w:rFonts w:ascii="Arial" w:hAnsi="Arial" w:cs="Arial"/>
        </w:rPr>
      </w:pPr>
      <w:r w:rsidRPr="004A6072">
        <w:rPr>
          <w:noProof/>
          <w:lang w:eastAsia="en-GB"/>
        </w:rPr>
        <w:drawing>
          <wp:inline distT="0" distB="0" distL="0" distR="0">
            <wp:extent cx="4991100" cy="5167464"/>
            <wp:effectExtent l="0" t="0" r="0" b="0"/>
            <wp:docPr id="153" name="Picture 153" descr="the councils balance sheet for 2019/20 and 2018/19 comparator" title="balanc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92811" cy="5169235"/>
                    </a:xfrm>
                    <a:prstGeom prst="rect">
                      <a:avLst/>
                    </a:prstGeom>
                    <a:noFill/>
                    <a:ln>
                      <a:noFill/>
                    </a:ln>
                  </pic:spPr>
                </pic:pic>
              </a:graphicData>
            </a:graphic>
          </wp:inline>
        </w:drawing>
      </w:r>
    </w:p>
    <w:p w:rsidR="00565CD8" w:rsidRPr="004A6072" w:rsidRDefault="00565CD8" w:rsidP="00823E64">
      <w:pPr>
        <w:spacing w:before="0" w:after="0"/>
        <w:rPr>
          <w:rFonts w:ascii="Arial" w:hAnsi="Arial" w:cs="Arial"/>
        </w:rPr>
      </w:pPr>
    </w:p>
    <w:p w:rsidR="0044151F" w:rsidRPr="004A6072" w:rsidRDefault="00A803FC" w:rsidP="00823E64">
      <w:pPr>
        <w:spacing w:before="0" w:after="0"/>
        <w:rPr>
          <w:rFonts w:ascii="Arial" w:hAnsi="Arial" w:cs="Arial"/>
          <w:color w:val="FF0000"/>
        </w:rPr>
      </w:pPr>
      <w:r w:rsidRPr="004A6072">
        <w:rPr>
          <w:rFonts w:ascii="Arial" w:hAnsi="Arial" w:cs="Arial"/>
        </w:rPr>
        <w:t xml:space="preserve">The </w:t>
      </w:r>
      <w:r w:rsidR="00A2284D" w:rsidRPr="004A6072">
        <w:rPr>
          <w:rFonts w:ascii="Arial" w:hAnsi="Arial" w:cs="Arial"/>
        </w:rPr>
        <w:t>un</w:t>
      </w:r>
      <w:r w:rsidR="007D5A01" w:rsidRPr="004A6072">
        <w:rPr>
          <w:rFonts w:ascii="Arial" w:hAnsi="Arial" w:cs="Arial"/>
        </w:rPr>
        <w:t xml:space="preserve">audited Financial Statements were </w:t>
      </w:r>
      <w:r w:rsidR="00823E64" w:rsidRPr="004A6072">
        <w:rPr>
          <w:rFonts w:ascii="Arial" w:hAnsi="Arial" w:cs="Arial"/>
          <w:color w:val="000000"/>
          <w:lang w:val="en-US"/>
        </w:rPr>
        <w:t xml:space="preserve">authorised for issue on </w:t>
      </w:r>
      <w:r w:rsidR="00A2284D" w:rsidRPr="004A6072">
        <w:rPr>
          <w:rFonts w:ascii="Arial" w:hAnsi="Arial" w:cs="Arial"/>
          <w:color w:val="000000"/>
          <w:lang w:val="en-US"/>
        </w:rPr>
        <w:t>30 June 2020 and the audited Fina</w:t>
      </w:r>
      <w:r w:rsidR="004A6072" w:rsidRPr="004A6072">
        <w:rPr>
          <w:rFonts w:ascii="Arial" w:hAnsi="Arial" w:cs="Arial"/>
          <w:color w:val="000000"/>
          <w:lang w:val="en-US"/>
        </w:rPr>
        <w:t>ncial Statements were authoris</w:t>
      </w:r>
      <w:r w:rsidR="00A2284D" w:rsidRPr="004A6072">
        <w:rPr>
          <w:rFonts w:ascii="Arial" w:hAnsi="Arial" w:cs="Arial"/>
          <w:color w:val="000000"/>
          <w:lang w:val="en-US"/>
        </w:rPr>
        <w:t xml:space="preserve">ed for issue on </w:t>
      </w:r>
      <w:r w:rsidRPr="004A6072">
        <w:rPr>
          <w:rFonts w:ascii="Arial" w:hAnsi="Arial" w:cs="Arial"/>
          <w:color w:val="000000"/>
          <w:lang w:val="en-US"/>
        </w:rPr>
        <w:t>25 November</w:t>
      </w:r>
      <w:r w:rsidR="00823E64" w:rsidRPr="004A6072">
        <w:rPr>
          <w:rFonts w:ascii="Arial" w:hAnsi="Arial" w:cs="Arial"/>
          <w:color w:val="000000"/>
          <w:lang w:val="en-US"/>
        </w:rPr>
        <w:t xml:space="preserve"> 2020.</w:t>
      </w:r>
    </w:p>
    <w:p w:rsidR="002E1EC0" w:rsidRPr="004A6072" w:rsidRDefault="002E1EC0" w:rsidP="00990216">
      <w:pPr>
        <w:spacing w:before="0" w:after="0"/>
        <w:jc w:val="right"/>
        <w:rPr>
          <w:noProof/>
          <w:color w:val="1F497D"/>
          <w:lang w:eastAsia="en-GB"/>
        </w:rPr>
      </w:pPr>
    </w:p>
    <w:p w:rsidR="00A803FC" w:rsidRPr="004A6072" w:rsidRDefault="00A803FC" w:rsidP="00990216">
      <w:pPr>
        <w:spacing w:before="0" w:after="0"/>
        <w:jc w:val="right"/>
        <w:rPr>
          <w:rFonts w:ascii="Arial" w:hAnsi="Arial" w:cs="Arial"/>
        </w:rPr>
      </w:pPr>
    </w:p>
    <w:p w:rsidR="00990216" w:rsidRPr="004A6072" w:rsidRDefault="00990216" w:rsidP="00990216">
      <w:pPr>
        <w:spacing w:before="0" w:after="0"/>
        <w:jc w:val="right"/>
        <w:rPr>
          <w:rFonts w:ascii="Arial" w:hAnsi="Arial" w:cs="Arial"/>
        </w:rPr>
      </w:pPr>
      <w:r w:rsidRPr="004A6072">
        <w:rPr>
          <w:rFonts w:ascii="Arial" w:hAnsi="Arial" w:cs="Arial"/>
        </w:rPr>
        <w:t>Stephen West</w:t>
      </w:r>
    </w:p>
    <w:p w:rsidR="00990216" w:rsidRPr="004A6072" w:rsidRDefault="000B561E" w:rsidP="00990216">
      <w:pPr>
        <w:spacing w:before="0" w:after="0"/>
        <w:jc w:val="right"/>
        <w:rPr>
          <w:rFonts w:ascii="Arial" w:hAnsi="Arial" w:cs="Arial"/>
        </w:rPr>
      </w:pPr>
      <w:r w:rsidRPr="004A6072">
        <w:rPr>
          <w:rFonts w:ascii="Arial" w:hAnsi="Arial" w:cs="Arial"/>
        </w:rPr>
        <w:t xml:space="preserve">Strategic Lead - </w:t>
      </w:r>
      <w:r w:rsidR="00990216" w:rsidRPr="004A6072">
        <w:rPr>
          <w:rFonts w:ascii="Arial" w:hAnsi="Arial" w:cs="Arial"/>
        </w:rPr>
        <w:t>Resources</w:t>
      </w:r>
    </w:p>
    <w:p w:rsidR="00990216" w:rsidRPr="004A6072" w:rsidRDefault="00990216" w:rsidP="00990216">
      <w:pPr>
        <w:spacing w:before="0" w:after="0"/>
        <w:jc w:val="right"/>
        <w:rPr>
          <w:rFonts w:ascii="Arial" w:hAnsi="Arial" w:cs="Arial"/>
        </w:rPr>
      </w:pPr>
      <w:r w:rsidRPr="004A6072">
        <w:rPr>
          <w:rFonts w:ascii="Arial" w:hAnsi="Arial" w:cs="Arial"/>
        </w:rPr>
        <w:t>West Dunbartonshire Council</w:t>
      </w:r>
    </w:p>
    <w:p w:rsidR="00990216" w:rsidRPr="004A6072" w:rsidRDefault="00990216" w:rsidP="0044151F">
      <w:pPr>
        <w:spacing w:before="0" w:after="0"/>
        <w:jc w:val="right"/>
        <w:rPr>
          <w:rFonts w:ascii="Arial" w:hAnsi="Arial" w:cs="Arial"/>
        </w:rPr>
      </w:pPr>
      <w:r w:rsidRPr="004A6072">
        <w:rPr>
          <w:rFonts w:ascii="Arial" w:hAnsi="Arial" w:cs="Arial"/>
        </w:rPr>
        <w:t xml:space="preserve">Date: </w:t>
      </w:r>
      <w:r w:rsidR="00A803FC" w:rsidRPr="004A6072">
        <w:rPr>
          <w:rFonts w:ascii="Arial" w:eastAsiaTheme="minorHAnsi" w:hAnsi="Arial" w:cs="Arial"/>
          <w:color w:val="000000"/>
        </w:rPr>
        <w:t>25 November</w:t>
      </w:r>
      <w:r w:rsidR="0044151F" w:rsidRPr="004A6072">
        <w:rPr>
          <w:rFonts w:ascii="Arial" w:eastAsiaTheme="minorHAnsi" w:hAnsi="Arial" w:cs="Arial"/>
          <w:b/>
          <w:color w:val="000000"/>
        </w:rPr>
        <w:t xml:space="preserve"> </w:t>
      </w:r>
      <w:r w:rsidR="00823E64" w:rsidRPr="004A6072">
        <w:rPr>
          <w:rFonts w:ascii="Arial" w:eastAsiaTheme="minorHAnsi" w:hAnsi="Arial" w:cs="Arial"/>
          <w:color w:val="000000"/>
        </w:rPr>
        <w:t>2020</w:t>
      </w:r>
    </w:p>
    <w:p w:rsidR="00990216" w:rsidRDefault="00990216" w:rsidP="006E2DAC">
      <w:pPr>
        <w:pStyle w:val="Heading1"/>
        <w:rPr>
          <w:rFonts w:ascii="Arial" w:hAnsi="Arial" w:cs="Arial"/>
          <w:color w:val="auto"/>
          <w:sz w:val="24"/>
          <w:szCs w:val="24"/>
        </w:rPr>
      </w:pPr>
      <w:r w:rsidRPr="004A6072">
        <w:rPr>
          <w:rFonts w:ascii="Arial" w:hAnsi="Arial" w:cs="Arial"/>
          <w:color w:val="auto"/>
          <w:sz w:val="24"/>
          <w:szCs w:val="24"/>
        </w:rPr>
        <w:lastRenderedPageBreak/>
        <w:t>C</w:t>
      </w:r>
      <w:r w:rsidR="00850F31" w:rsidRPr="004A6072">
        <w:rPr>
          <w:rFonts w:ascii="Arial" w:hAnsi="Arial" w:cs="Arial"/>
          <w:color w:val="auto"/>
          <w:sz w:val="24"/>
          <w:szCs w:val="24"/>
        </w:rPr>
        <w:t>a</w:t>
      </w:r>
      <w:r w:rsidRPr="004A6072">
        <w:rPr>
          <w:rFonts w:ascii="Arial" w:hAnsi="Arial" w:cs="Arial"/>
          <w:color w:val="auto"/>
          <w:sz w:val="24"/>
          <w:szCs w:val="24"/>
        </w:rPr>
        <w:t>sh Flow Stateme</w:t>
      </w:r>
      <w:r w:rsidR="00850F31" w:rsidRPr="004A6072">
        <w:rPr>
          <w:rFonts w:ascii="Arial" w:hAnsi="Arial" w:cs="Arial"/>
          <w:color w:val="auto"/>
          <w:sz w:val="24"/>
          <w:szCs w:val="24"/>
        </w:rPr>
        <w:t>n</w:t>
      </w:r>
      <w:r w:rsidRPr="004A6072">
        <w:rPr>
          <w:rFonts w:ascii="Arial" w:hAnsi="Arial" w:cs="Arial"/>
          <w:color w:val="auto"/>
          <w:sz w:val="24"/>
          <w:szCs w:val="24"/>
        </w:rPr>
        <w:t>t</w:t>
      </w:r>
    </w:p>
    <w:p w:rsidR="00850F31" w:rsidRDefault="00850F31" w:rsidP="00850F31"/>
    <w:p w:rsidR="00850F31" w:rsidRDefault="00850F31" w:rsidP="00850F31">
      <w:pPr>
        <w:spacing w:before="0" w:after="0"/>
        <w:rPr>
          <w:rFonts w:ascii="Arial" w:hAnsi="Arial" w:cs="Arial"/>
        </w:rPr>
      </w:pPr>
      <w:r w:rsidRPr="00375FD4">
        <w:rPr>
          <w:rFonts w:ascii="Arial" w:hAnsi="Arial" w:cs="Arial"/>
        </w:rPr>
        <w:t>The cash flow statement shows the changes in ca</w:t>
      </w:r>
      <w:r w:rsidR="00B41878">
        <w:rPr>
          <w:rFonts w:ascii="Arial" w:hAnsi="Arial" w:cs="Arial"/>
        </w:rPr>
        <w:t>sh and cash equivalents of the c</w:t>
      </w:r>
      <w:r w:rsidRPr="00375FD4">
        <w:rPr>
          <w:rFonts w:ascii="Arial" w:hAnsi="Arial" w:cs="Arial"/>
        </w:rPr>
        <w:t>ouncil during the reporting period.  The statement shows how</w:t>
      </w:r>
      <w:r w:rsidR="00B41878">
        <w:rPr>
          <w:rFonts w:ascii="Arial" w:hAnsi="Arial" w:cs="Arial"/>
        </w:rPr>
        <w:t xml:space="preserve"> the c</w:t>
      </w:r>
      <w:r w:rsidRPr="00375FD4">
        <w:rPr>
          <w:rFonts w:ascii="Arial" w:hAnsi="Arial" w:cs="Arial"/>
        </w:rPr>
        <w:t xml:space="preserve">ouncil 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Investing activities represent the extent to which cash outflows have been made for resources which are intended to contribute to </w:t>
      </w:r>
      <w:r w:rsidR="00B41878">
        <w:rPr>
          <w:rFonts w:ascii="Arial" w:hAnsi="Arial" w:cs="Arial"/>
        </w:rPr>
        <w:t>the c</w:t>
      </w:r>
      <w:r w:rsidRPr="00375FD4">
        <w:rPr>
          <w:rFonts w:ascii="Arial" w:hAnsi="Arial" w:cs="Arial"/>
        </w:rPr>
        <w:t>ouncil’s future service delivery.  Cash flows arising from financing activities are useful in predicting claims on future cash flows by providers of c</w:t>
      </w:r>
      <w:r w:rsidR="00B41878">
        <w:rPr>
          <w:rFonts w:ascii="Arial" w:hAnsi="Arial" w:cs="Arial"/>
        </w:rPr>
        <w:t>apital (i.e. borrowing) to the c</w:t>
      </w:r>
      <w:r w:rsidRPr="00375FD4">
        <w:rPr>
          <w:rFonts w:ascii="Arial" w:hAnsi="Arial" w:cs="Arial"/>
        </w:rPr>
        <w:t>ouncil.</w:t>
      </w:r>
    </w:p>
    <w:p w:rsidR="00990216" w:rsidRPr="00375FD4" w:rsidRDefault="00990216" w:rsidP="00990216">
      <w:pPr>
        <w:spacing w:before="0" w:after="0"/>
        <w:rPr>
          <w:rFonts w:ascii="Arial" w:hAnsi="Arial" w:cs="Arial"/>
          <w:b/>
        </w:rPr>
      </w:pPr>
    </w:p>
    <w:p w:rsidR="00245D9B" w:rsidRDefault="00A4204C">
      <w:pPr>
        <w:spacing w:before="0" w:after="200" w:line="276" w:lineRule="auto"/>
        <w:rPr>
          <w:noProof/>
          <w:lang w:eastAsia="en-GB"/>
        </w:rPr>
      </w:pPr>
      <w:r w:rsidRPr="00A4204C">
        <w:rPr>
          <w:noProof/>
          <w:lang w:eastAsia="en-GB"/>
        </w:rPr>
        <w:drawing>
          <wp:inline distT="0" distB="0" distL="0" distR="0">
            <wp:extent cx="5731510" cy="4972690"/>
            <wp:effectExtent l="0" t="0" r="2540" b="0"/>
            <wp:docPr id="154" name="Picture 154" descr="statement idetnifying the cash flows in and out of the council 2019/20 and 2018/19 comparator" title="cash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1510" cy="4972690"/>
                    </a:xfrm>
                    <a:prstGeom prst="rect">
                      <a:avLst/>
                    </a:prstGeom>
                    <a:noFill/>
                    <a:ln>
                      <a:noFill/>
                    </a:ln>
                  </pic:spPr>
                </pic:pic>
              </a:graphicData>
            </a:graphic>
          </wp:inline>
        </w:drawing>
      </w:r>
    </w:p>
    <w:p w:rsidR="009A309F" w:rsidRDefault="00990216">
      <w:pPr>
        <w:spacing w:before="0" w:after="200" w:line="276" w:lineRule="auto"/>
        <w:rPr>
          <w:rFonts w:ascii="Arial" w:hAnsi="Arial" w:cs="Arial"/>
          <w:b/>
        </w:rPr>
      </w:pPr>
      <w:r w:rsidRPr="00375FD4">
        <w:rPr>
          <w:rFonts w:ascii="Arial" w:hAnsi="Arial" w:cs="Arial"/>
          <w:b/>
        </w:rPr>
        <w:br w:type="page"/>
      </w:r>
    </w:p>
    <w:p w:rsidR="00990216" w:rsidRPr="000A3446" w:rsidRDefault="00990216" w:rsidP="00FD03AE">
      <w:pPr>
        <w:spacing w:before="0" w:after="0"/>
        <w:rPr>
          <w:rFonts w:ascii="Arial" w:hAnsi="Arial" w:cs="Arial"/>
          <w:b/>
          <w:sz w:val="24"/>
          <w:szCs w:val="24"/>
        </w:rPr>
      </w:pPr>
      <w:r w:rsidRPr="000A3446">
        <w:rPr>
          <w:rFonts w:ascii="Arial" w:hAnsi="Arial" w:cs="Arial"/>
          <w:b/>
          <w:sz w:val="24"/>
          <w:szCs w:val="24"/>
        </w:rPr>
        <w:lastRenderedPageBreak/>
        <w:t>Notes to the Financial Statements</w:t>
      </w:r>
    </w:p>
    <w:p w:rsidR="00B40E40" w:rsidRDefault="00B40E40" w:rsidP="00DD23A7">
      <w:pPr>
        <w:pStyle w:val="Heading1"/>
        <w:spacing w:before="0"/>
        <w:rPr>
          <w:rFonts w:ascii="Arial" w:hAnsi="Arial" w:cs="Arial"/>
          <w:color w:val="auto"/>
          <w:sz w:val="20"/>
          <w:szCs w:val="20"/>
        </w:rPr>
      </w:pPr>
    </w:p>
    <w:p w:rsidR="00990216" w:rsidRPr="000A3446" w:rsidRDefault="007D07BD" w:rsidP="00DD23A7">
      <w:pPr>
        <w:pStyle w:val="Heading1"/>
        <w:spacing w:before="0"/>
        <w:rPr>
          <w:rFonts w:ascii="Arial" w:hAnsi="Arial" w:cs="Arial"/>
          <w:color w:val="auto"/>
          <w:sz w:val="20"/>
          <w:szCs w:val="20"/>
        </w:rPr>
      </w:pPr>
      <w:r>
        <w:rPr>
          <w:rFonts w:ascii="Arial" w:hAnsi="Arial" w:cs="Arial"/>
          <w:color w:val="auto"/>
          <w:sz w:val="20"/>
          <w:szCs w:val="20"/>
        </w:rPr>
        <w:t>Note 1</w:t>
      </w:r>
      <w:r w:rsidR="00990216" w:rsidRPr="000A3446">
        <w:rPr>
          <w:rFonts w:ascii="Arial" w:hAnsi="Arial" w:cs="Arial"/>
          <w:color w:val="auto"/>
          <w:sz w:val="20"/>
          <w:szCs w:val="20"/>
        </w:rPr>
        <w:t xml:space="preserve"> – Assumptions Made About the Future and Other Major Sources of Estimation Uncertainty</w:t>
      </w:r>
    </w:p>
    <w:p w:rsidR="00990216" w:rsidRPr="00375FD4" w:rsidRDefault="00990216" w:rsidP="00990216">
      <w:pPr>
        <w:spacing w:before="0" w:after="0"/>
        <w:ind w:left="900" w:hanging="900"/>
        <w:rPr>
          <w:rFonts w:ascii="Arial" w:hAnsi="Arial" w:cs="Arial"/>
          <w:b/>
        </w:rPr>
      </w:pPr>
    </w:p>
    <w:p w:rsidR="00990216" w:rsidRDefault="00990216" w:rsidP="001F1E67">
      <w:pPr>
        <w:spacing w:before="0" w:after="0"/>
        <w:rPr>
          <w:rFonts w:ascii="Arial" w:hAnsi="Arial" w:cs="Arial"/>
        </w:rPr>
      </w:pPr>
      <w:r w:rsidRPr="001127B9">
        <w:rPr>
          <w:rFonts w:ascii="Arial" w:hAnsi="Arial" w:cs="Arial"/>
        </w:rPr>
        <w:t>The Financial Statements contain estimated figures that are ba</w:t>
      </w:r>
      <w:r w:rsidR="0060502C" w:rsidRPr="001127B9">
        <w:rPr>
          <w:rFonts w:ascii="Arial" w:hAnsi="Arial" w:cs="Arial"/>
        </w:rPr>
        <w:t>sed on assumptions made by the</w:t>
      </w:r>
      <w:r w:rsidR="00B41878">
        <w:rPr>
          <w:rFonts w:ascii="Arial" w:hAnsi="Arial" w:cs="Arial"/>
        </w:rPr>
        <w:t xml:space="preserve"> c</w:t>
      </w:r>
      <w:r w:rsidRPr="00375FD4">
        <w:rPr>
          <w:rFonts w:ascii="Arial" w:hAnsi="Arial" w:cs="Arial"/>
        </w:rPr>
        <w:t>ouncil about the future or that are otherwise uncertain.  Estimates are made taking into account historical experience, current trends and other relevant factors.  However, because balances cannot be determined with certainty, actual results could be materially different from the assumptions and estimates.  The items in the authority’s b</w:t>
      </w:r>
      <w:r w:rsidR="00386EC7">
        <w:rPr>
          <w:rFonts w:ascii="Arial" w:hAnsi="Arial" w:cs="Arial"/>
        </w:rPr>
        <w:t>alance sheet as a</w:t>
      </w:r>
      <w:r w:rsidR="009A309F">
        <w:rPr>
          <w:rFonts w:ascii="Arial" w:hAnsi="Arial" w:cs="Arial"/>
        </w:rPr>
        <w:t>t 31 March 20</w:t>
      </w:r>
      <w:r w:rsidR="007D07BD">
        <w:rPr>
          <w:rFonts w:ascii="Arial" w:hAnsi="Arial" w:cs="Arial"/>
        </w:rPr>
        <w:t>20</w:t>
      </w:r>
      <w:r w:rsidRPr="00375FD4">
        <w:rPr>
          <w:rFonts w:ascii="Arial" w:hAnsi="Arial" w:cs="Arial"/>
        </w:rPr>
        <w:t>, for which there is a significant risk of material adjustment in the forthcoming financial year are as follows:</w:t>
      </w:r>
    </w:p>
    <w:p w:rsidR="00990216" w:rsidRPr="00375FD4" w:rsidRDefault="00990216" w:rsidP="007D07BD">
      <w:pPr>
        <w:spacing w:before="0" w:after="0"/>
        <w:jc w:val="both"/>
        <w:rPr>
          <w:rFonts w:ascii="Arial" w:hAnsi="Arial" w:cs="Arial"/>
        </w:rPr>
      </w:pPr>
    </w:p>
    <w:tbl>
      <w:tblPr>
        <w:tblW w:w="9371" w:type="dxa"/>
        <w:tblInd w:w="93" w:type="dxa"/>
        <w:tblLook w:val="04A0" w:firstRow="1" w:lastRow="0" w:firstColumn="1" w:lastColumn="0" w:noHBand="0" w:noVBand="1"/>
      </w:tblPr>
      <w:tblGrid>
        <w:gridCol w:w="1480"/>
        <w:gridCol w:w="3780"/>
        <w:gridCol w:w="4111"/>
      </w:tblGrid>
      <w:tr w:rsidR="00312456" w:rsidRPr="00312456" w:rsidTr="00953848">
        <w:trPr>
          <w:trHeight w:val="270"/>
        </w:trPr>
        <w:tc>
          <w:tcPr>
            <w:tcW w:w="1480" w:type="dxa"/>
            <w:tcBorders>
              <w:top w:val="single" w:sz="8" w:space="0" w:color="auto"/>
              <w:left w:val="single" w:sz="8" w:space="0" w:color="auto"/>
              <w:bottom w:val="single" w:sz="8" w:space="0" w:color="auto"/>
              <w:right w:val="single" w:sz="8" w:space="0" w:color="auto"/>
            </w:tcBorders>
            <w:shd w:val="clear" w:color="auto" w:fill="auto"/>
            <w:hideMark/>
          </w:tcPr>
          <w:p w:rsidR="00312456" w:rsidRPr="00312456" w:rsidRDefault="00312456" w:rsidP="00312456">
            <w:pPr>
              <w:spacing w:before="0" w:after="0"/>
              <w:rPr>
                <w:rFonts w:ascii="Arial" w:hAnsi="Arial" w:cs="Calibri"/>
                <w:b/>
                <w:bCs/>
                <w:color w:val="000000"/>
                <w:lang w:eastAsia="en-GB"/>
              </w:rPr>
            </w:pPr>
            <w:r w:rsidRPr="00312456">
              <w:rPr>
                <w:rFonts w:ascii="Arial" w:hAnsi="Arial" w:cs="Calibri"/>
                <w:b/>
                <w:bCs/>
                <w:color w:val="000000"/>
                <w:lang w:eastAsia="en-GB"/>
              </w:rPr>
              <w:t>Item</w:t>
            </w:r>
          </w:p>
        </w:tc>
        <w:tc>
          <w:tcPr>
            <w:tcW w:w="3780" w:type="dxa"/>
            <w:tcBorders>
              <w:top w:val="single" w:sz="8" w:space="0" w:color="auto"/>
              <w:left w:val="nil"/>
              <w:bottom w:val="single" w:sz="8" w:space="0" w:color="auto"/>
              <w:right w:val="single" w:sz="8" w:space="0" w:color="auto"/>
            </w:tcBorders>
            <w:shd w:val="clear" w:color="auto" w:fill="auto"/>
            <w:hideMark/>
          </w:tcPr>
          <w:p w:rsidR="00312456" w:rsidRPr="00312456" w:rsidRDefault="00312456" w:rsidP="00312456">
            <w:pPr>
              <w:spacing w:before="0" w:after="0"/>
              <w:rPr>
                <w:rFonts w:ascii="Arial" w:hAnsi="Arial" w:cs="Calibri"/>
                <w:b/>
                <w:bCs/>
                <w:color w:val="000000"/>
                <w:lang w:eastAsia="en-GB"/>
              </w:rPr>
            </w:pPr>
            <w:r w:rsidRPr="00312456">
              <w:rPr>
                <w:rFonts w:ascii="Arial" w:hAnsi="Arial" w:cs="Calibri"/>
                <w:b/>
                <w:bCs/>
                <w:color w:val="000000"/>
                <w:lang w:eastAsia="en-GB"/>
              </w:rPr>
              <w:t>Uncertainty</w:t>
            </w:r>
          </w:p>
        </w:tc>
        <w:tc>
          <w:tcPr>
            <w:tcW w:w="4111" w:type="dxa"/>
            <w:tcBorders>
              <w:top w:val="single" w:sz="8" w:space="0" w:color="auto"/>
              <w:left w:val="nil"/>
              <w:bottom w:val="single" w:sz="8" w:space="0" w:color="auto"/>
              <w:right w:val="single" w:sz="8" w:space="0" w:color="auto"/>
            </w:tcBorders>
            <w:shd w:val="clear" w:color="auto" w:fill="auto"/>
            <w:hideMark/>
          </w:tcPr>
          <w:p w:rsidR="00312456" w:rsidRPr="00312456" w:rsidRDefault="00312456" w:rsidP="00312456">
            <w:pPr>
              <w:spacing w:before="0" w:after="0"/>
              <w:rPr>
                <w:rFonts w:ascii="Arial" w:hAnsi="Arial" w:cs="Calibri"/>
                <w:b/>
                <w:bCs/>
                <w:color w:val="000000"/>
                <w:lang w:eastAsia="en-GB"/>
              </w:rPr>
            </w:pPr>
            <w:r w:rsidRPr="00312456">
              <w:rPr>
                <w:rFonts w:ascii="Arial" w:hAnsi="Arial" w:cs="Calibri"/>
                <w:b/>
                <w:bCs/>
                <w:color w:val="000000"/>
                <w:lang w:eastAsia="en-GB"/>
              </w:rPr>
              <w:t xml:space="preserve">Potential effect </w:t>
            </w:r>
          </w:p>
        </w:tc>
      </w:tr>
      <w:tr w:rsidR="00953848" w:rsidRPr="00312456" w:rsidTr="00953848">
        <w:trPr>
          <w:trHeight w:val="1800"/>
        </w:trPr>
        <w:tc>
          <w:tcPr>
            <w:tcW w:w="1480" w:type="dxa"/>
            <w:tcBorders>
              <w:top w:val="nil"/>
              <w:left w:val="single" w:sz="8" w:space="0" w:color="auto"/>
              <w:bottom w:val="single" w:sz="8" w:space="0" w:color="auto"/>
              <w:right w:val="single" w:sz="8" w:space="0" w:color="auto"/>
            </w:tcBorders>
            <w:shd w:val="clear" w:color="auto" w:fill="auto"/>
          </w:tcPr>
          <w:p w:rsidR="00953848" w:rsidRPr="00953848" w:rsidRDefault="00953848" w:rsidP="00953848">
            <w:r w:rsidRPr="00312456">
              <w:rPr>
                <w:rFonts w:ascii="Arial" w:hAnsi="Arial" w:cs="Calibri"/>
                <w:color w:val="000000"/>
                <w:lang w:eastAsia="en-GB"/>
              </w:rPr>
              <w:t>Property Plant and Equipment</w:t>
            </w:r>
            <w:r>
              <w:rPr>
                <w:rFonts w:ascii="Arial" w:hAnsi="Arial" w:cs="Calibri"/>
                <w:color w:val="000000"/>
                <w:lang w:eastAsia="en-GB"/>
              </w:rPr>
              <w:t xml:space="preserve"> – m</w:t>
            </w:r>
            <w:r w:rsidRPr="00953848">
              <w:rPr>
                <w:rFonts w:ascii="Arial" w:hAnsi="Arial" w:cs="Calibri"/>
                <w:color w:val="000000"/>
                <w:lang w:eastAsia="en-GB"/>
              </w:rPr>
              <w:t>aterial valuation uncertainty due to Novel Coronavirus (COVID – 19)</w:t>
            </w:r>
          </w:p>
          <w:p w:rsidR="00953848" w:rsidRPr="003B287E" w:rsidRDefault="00953848" w:rsidP="00953848">
            <w:pPr>
              <w:spacing w:before="0" w:after="0"/>
              <w:rPr>
                <w:rFonts w:ascii="Arial" w:hAnsi="Arial" w:cs="Calibri"/>
                <w:color w:val="000000"/>
                <w:lang w:eastAsia="en-GB"/>
              </w:rPr>
            </w:pPr>
          </w:p>
        </w:tc>
        <w:tc>
          <w:tcPr>
            <w:tcW w:w="3780" w:type="dxa"/>
            <w:tcBorders>
              <w:top w:val="nil"/>
              <w:left w:val="nil"/>
              <w:bottom w:val="single" w:sz="8" w:space="0" w:color="auto"/>
              <w:right w:val="single" w:sz="8" w:space="0" w:color="auto"/>
            </w:tcBorders>
            <w:shd w:val="clear" w:color="auto" w:fill="auto"/>
          </w:tcPr>
          <w:p w:rsidR="00953848" w:rsidRPr="00953848" w:rsidRDefault="00953848" w:rsidP="006617BC">
            <w:pPr>
              <w:spacing w:before="0" w:after="0"/>
              <w:rPr>
                <w:rFonts w:ascii="Arial" w:hAnsi="Arial" w:cs="Calibri"/>
                <w:color w:val="000000"/>
                <w:lang w:eastAsia="en-GB"/>
              </w:rPr>
            </w:pPr>
            <w:r w:rsidRPr="00953848">
              <w:rPr>
                <w:rFonts w:ascii="Arial" w:hAnsi="Arial" w:cs="Calibri"/>
                <w:color w:val="000000"/>
                <w:lang w:eastAsia="en-GB"/>
              </w:rPr>
              <w:t xml:space="preserve">The outbreak of the Novel Coronavirus (COVID-19), declared by the World Health Organisation as a “Global Pandemic” on the 11th March 2020, has impacted global financial markets. Market activity is being impacted in many sectors. </w:t>
            </w:r>
            <w:r w:rsidR="006617BC">
              <w:rPr>
                <w:rFonts w:ascii="Arial" w:hAnsi="Arial" w:cs="Calibri"/>
                <w:color w:val="000000"/>
                <w:lang w:eastAsia="en-GB"/>
              </w:rPr>
              <w:t>V</w:t>
            </w:r>
            <w:r w:rsidRPr="00953848">
              <w:rPr>
                <w:rFonts w:ascii="Arial" w:hAnsi="Arial" w:cs="Calibri"/>
                <w:color w:val="000000"/>
                <w:lang w:eastAsia="en-GB"/>
              </w:rPr>
              <w:t xml:space="preserve">aluations are therefore reported as being subject to ‘material valuation uncertainty’ as set out in VPS 3 and VPGA 10 of the RICS </w:t>
            </w:r>
            <w:bookmarkStart w:id="3" w:name="_Hlk35525328"/>
            <w:r w:rsidRPr="00953848">
              <w:rPr>
                <w:rFonts w:ascii="Arial" w:hAnsi="Arial" w:cs="Calibri"/>
                <w:color w:val="000000"/>
                <w:lang w:eastAsia="en-GB"/>
              </w:rPr>
              <w:t>Valuation – Global Standards</w:t>
            </w:r>
            <w:bookmarkEnd w:id="3"/>
            <w:r w:rsidRPr="00953848">
              <w:rPr>
                <w:rFonts w:ascii="Arial" w:hAnsi="Arial" w:cs="Calibri"/>
                <w:color w:val="000000"/>
                <w:lang w:eastAsia="en-GB"/>
              </w:rPr>
              <w:t>. Consequently, less certainty – and a higher degree of cau</w:t>
            </w:r>
            <w:r w:rsidR="00AB0511">
              <w:rPr>
                <w:rFonts w:ascii="Arial" w:hAnsi="Arial" w:cs="Calibri"/>
                <w:color w:val="000000"/>
                <w:lang w:eastAsia="en-GB"/>
              </w:rPr>
              <w:t>tion – should be attached to the</w:t>
            </w:r>
            <w:r w:rsidRPr="00953848">
              <w:rPr>
                <w:rFonts w:ascii="Arial" w:hAnsi="Arial" w:cs="Calibri"/>
                <w:color w:val="000000"/>
                <w:lang w:eastAsia="en-GB"/>
              </w:rPr>
              <w:t xml:space="preserve"> valuation</w:t>
            </w:r>
            <w:r w:rsidR="00AB0511">
              <w:rPr>
                <w:rFonts w:ascii="Arial" w:hAnsi="Arial" w:cs="Calibri"/>
                <w:color w:val="000000"/>
                <w:lang w:eastAsia="en-GB"/>
              </w:rPr>
              <w:t>s</w:t>
            </w:r>
            <w:r w:rsidRPr="00953848">
              <w:rPr>
                <w:rFonts w:ascii="Arial" w:hAnsi="Arial" w:cs="Calibri"/>
                <w:color w:val="000000"/>
                <w:lang w:eastAsia="en-GB"/>
              </w:rPr>
              <w:t xml:space="preserve"> than would normally be the case. </w:t>
            </w:r>
          </w:p>
          <w:p w:rsidR="00953848" w:rsidRPr="00953848" w:rsidRDefault="00953848" w:rsidP="00953848">
            <w:pPr>
              <w:spacing w:before="0" w:after="0"/>
              <w:rPr>
                <w:rFonts w:ascii="Arial" w:hAnsi="Arial" w:cs="Calibri"/>
                <w:color w:val="000000"/>
                <w:lang w:eastAsia="en-GB"/>
              </w:rPr>
            </w:pPr>
            <w:r w:rsidRPr="00953848">
              <w:rPr>
                <w:rFonts w:ascii="Arial" w:hAnsi="Arial" w:cs="Calibri"/>
                <w:color w:val="000000"/>
                <w:lang w:eastAsia="en-GB"/>
              </w:rPr>
              <w:t>For the avoidance of doubt, the inclusion of the ‘material valuation uncertainty’ declaration above does not mean that the valuation cannot be relied upon. Rather, the declaration has been included to ensure transparency of the fact that – in the current extraordinary circumstances – less certainty can be attached to the valuation than would otherwise be the case. The material uncertainty clause is to serve as a precaution and doe</w:t>
            </w:r>
            <w:r>
              <w:rPr>
                <w:rFonts w:ascii="Arial" w:hAnsi="Arial" w:cs="Calibri"/>
                <w:color w:val="000000"/>
                <w:lang w:eastAsia="en-GB"/>
              </w:rPr>
              <w:t>s not invalidate the valuation.</w:t>
            </w:r>
          </w:p>
          <w:p w:rsidR="00953848" w:rsidRPr="003B287E" w:rsidRDefault="00953848" w:rsidP="00953848">
            <w:pPr>
              <w:spacing w:before="0" w:after="0"/>
              <w:rPr>
                <w:rFonts w:ascii="Arial" w:hAnsi="Arial" w:cs="Calibri"/>
                <w:color w:val="000000"/>
                <w:lang w:eastAsia="en-GB"/>
              </w:rPr>
            </w:pPr>
          </w:p>
        </w:tc>
        <w:tc>
          <w:tcPr>
            <w:tcW w:w="4111" w:type="dxa"/>
            <w:tcBorders>
              <w:top w:val="nil"/>
              <w:left w:val="nil"/>
              <w:bottom w:val="single" w:sz="8" w:space="0" w:color="auto"/>
              <w:right w:val="single" w:sz="8" w:space="0" w:color="auto"/>
            </w:tcBorders>
            <w:shd w:val="clear" w:color="auto" w:fill="auto"/>
          </w:tcPr>
          <w:p w:rsidR="00953848" w:rsidRPr="00953848" w:rsidRDefault="00953848" w:rsidP="006617BC">
            <w:pPr>
              <w:spacing w:before="0" w:after="0"/>
              <w:rPr>
                <w:rFonts w:ascii="Arial" w:hAnsi="Arial" w:cs="Calibri"/>
                <w:color w:val="000000"/>
                <w:lang w:eastAsia="en-GB"/>
              </w:rPr>
            </w:pPr>
            <w:r w:rsidRPr="00953848">
              <w:rPr>
                <w:rFonts w:ascii="Arial" w:hAnsi="Arial" w:cs="Calibri"/>
                <w:color w:val="000000"/>
                <w:lang w:eastAsia="en-GB"/>
              </w:rPr>
              <w:t>The majority of the Council’s assets that have been valued as at 31 March 2020 are specialised properties and as such have been valued using the Depreciated Replacement Cost (DRC) approach. These valuations were undertaken and submitted shortly befor</w:t>
            </w:r>
            <w:r w:rsidR="006617BC">
              <w:rPr>
                <w:rFonts w:ascii="Arial" w:hAnsi="Arial" w:cs="Calibri"/>
                <w:color w:val="000000"/>
                <w:lang w:eastAsia="en-GB"/>
              </w:rPr>
              <w:t xml:space="preserve">e the valuation date and </w:t>
            </w:r>
            <w:r w:rsidRPr="00953848">
              <w:rPr>
                <w:rFonts w:ascii="Arial" w:hAnsi="Arial" w:cs="Calibri"/>
                <w:color w:val="000000"/>
                <w:lang w:eastAsia="en-GB"/>
              </w:rPr>
              <w:t xml:space="preserve"> the decisi</w:t>
            </w:r>
            <w:r w:rsidR="006E4A0D">
              <w:rPr>
                <w:rFonts w:ascii="Arial" w:hAnsi="Arial" w:cs="Calibri"/>
                <w:color w:val="000000"/>
                <w:lang w:eastAsia="en-GB"/>
              </w:rPr>
              <w:t xml:space="preserve">on </w:t>
            </w:r>
            <w:r w:rsidR="006617BC">
              <w:rPr>
                <w:rFonts w:ascii="Arial" w:hAnsi="Arial" w:cs="Calibri"/>
                <w:color w:val="000000"/>
                <w:lang w:eastAsia="en-GB"/>
              </w:rPr>
              <w:t xml:space="preserve">taken to </w:t>
            </w:r>
            <w:r w:rsidRPr="00953848">
              <w:rPr>
                <w:rFonts w:ascii="Arial" w:hAnsi="Arial" w:cs="Calibri"/>
                <w:color w:val="000000"/>
                <w:lang w:eastAsia="en-GB"/>
              </w:rPr>
              <w:t xml:space="preserve">leave them unchanged following consideration of the inputs and the information that was available at the date of the valuation. </w:t>
            </w:r>
            <w:r w:rsidR="006617BC">
              <w:rPr>
                <w:rFonts w:ascii="Arial" w:hAnsi="Arial" w:cs="Calibri"/>
                <w:color w:val="000000"/>
                <w:lang w:eastAsia="en-GB"/>
              </w:rPr>
              <w:t xml:space="preserve">Following review of </w:t>
            </w:r>
            <w:r w:rsidRPr="00953848">
              <w:rPr>
                <w:rFonts w:ascii="Arial" w:hAnsi="Arial" w:cs="Calibri"/>
                <w:color w:val="000000"/>
                <w:lang w:eastAsia="en-GB"/>
              </w:rPr>
              <w:t xml:space="preserve"> the information published by BCIS in terms of build cost information and noted that there had only been a nominal adjustment, less than 1%, between the information relied upon and that which was</w:t>
            </w:r>
            <w:r w:rsidR="006617BC">
              <w:rPr>
                <w:rFonts w:ascii="Arial" w:hAnsi="Arial" w:cs="Calibri"/>
                <w:color w:val="000000"/>
                <w:lang w:eastAsia="en-GB"/>
              </w:rPr>
              <w:t xml:space="preserve"> available on 31 March 2020, it was </w:t>
            </w:r>
            <w:r w:rsidRPr="00953848">
              <w:rPr>
                <w:rFonts w:ascii="Arial" w:hAnsi="Arial" w:cs="Calibri"/>
                <w:color w:val="000000"/>
                <w:lang w:eastAsia="en-GB"/>
              </w:rPr>
              <w:t>concluded that this was not sufficient to merit amendment of the valuations provided</w:t>
            </w:r>
            <w:r w:rsidR="006617BC">
              <w:rPr>
                <w:rFonts w:ascii="Arial" w:hAnsi="Arial" w:cs="Calibri"/>
                <w:color w:val="000000"/>
                <w:lang w:eastAsia="en-GB"/>
              </w:rPr>
              <w:t>.</w:t>
            </w:r>
          </w:p>
          <w:p w:rsidR="00953848" w:rsidRPr="003B287E" w:rsidRDefault="00953848" w:rsidP="006617BC">
            <w:pPr>
              <w:spacing w:before="0" w:after="0"/>
              <w:rPr>
                <w:rFonts w:ascii="Arial" w:hAnsi="Arial" w:cs="Calibri"/>
                <w:color w:val="000000"/>
                <w:lang w:eastAsia="en-GB"/>
              </w:rPr>
            </w:pPr>
            <w:r w:rsidRPr="00953848">
              <w:rPr>
                <w:rFonts w:ascii="Arial" w:hAnsi="Arial" w:cs="Calibri"/>
                <w:color w:val="000000"/>
                <w:lang w:eastAsia="en-GB"/>
              </w:rPr>
              <w:t>The de</w:t>
            </w:r>
            <w:r w:rsidR="006617BC">
              <w:rPr>
                <w:rFonts w:ascii="Arial" w:hAnsi="Arial" w:cs="Calibri"/>
                <w:color w:val="000000"/>
                <w:lang w:eastAsia="en-GB"/>
              </w:rPr>
              <w:t xml:space="preserve">tailed impacts of the pandemic </w:t>
            </w:r>
            <w:r w:rsidRPr="00953848">
              <w:rPr>
                <w:rFonts w:ascii="Arial" w:hAnsi="Arial" w:cs="Calibri"/>
                <w:color w:val="000000"/>
                <w:lang w:eastAsia="en-GB"/>
              </w:rPr>
              <w:t xml:space="preserve">were not known as at 31 March 2020 and, indeed, are unlikely to be known for some time yet. </w:t>
            </w:r>
          </w:p>
        </w:tc>
      </w:tr>
      <w:tr w:rsidR="00953848" w:rsidRPr="008C5E10" w:rsidTr="00A61513">
        <w:trPr>
          <w:trHeight w:val="2055"/>
        </w:trPr>
        <w:tc>
          <w:tcPr>
            <w:tcW w:w="1480" w:type="dxa"/>
            <w:tcBorders>
              <w:top w:val="nil"/>
              <w:left w:val="single" w:sz="8" w:space="0" w:color="auto"/>
              <w:bottom w:val="single" w:sz="8" w:space="0" w:color="auto"/>
              <w:right w:val="single" w:sz="8" w:space="0" w:color="auto"/>
            </w:tcBorders>
            <w:shd w:val="clear" w:color="auto" w:fill="auto"/>
            <w:hideMark/>
          </w:tcPr>
          <w:p w:rsidR="00953848" w:rsidRPr="00312456" w:rsidRDefault="00953848" w:rsidP="00A61513">
            <w:pPr>
              <w:spacing w:before="0" w:after="0"/>
              <w:rPr>
                <w:rFonts w:ascii="Arial" w:hAnsi="Arial" w:cs="Calibri"/>
                <w:color w:val="000000"/>
                <w:lang w:eastAsia="en-GB"/>
              </w:rPr>
            </w:pPr>
            <w:r w:rsidRPr="00312456">
              <w:rPr>
                <w:rFonts w:ascii="Arial" w:hAnsi="Arial" w:cs="Calibri"/>
                <w:color w:val="000000"/>
                <w:lang w:eastAsia="en-GB"/>
              </w:rPr>
              <w:t>Property Plant and Equipment</w:t>
            </w:r>
            <w:r>
              <w:rPr>
                <w:rFonts w:ascii="Arial" w:hAnsi="Arial" w:cs="Calibri"/>
                <w:color w:val="000000"/>
                <w:lang w:eastAsia="en-GB"/>
              </w:rPr>
              <w:t xml:space="preserve"> – depreciation / useful lives</w:t>
            </w:r>
          </w:p>
        </w:tc>
        <w:tc>
          <w:tcPr>
            <w:tcW w:w="3780" w:type="dxa"/>
            <w:tcBorders>
              <w:top w:val="nil"/>
              <w:left w:val="nil"/>
              <w:bottom w:val="single" w:sz="8" w:space="0" w:color="auto"/>
              <w:right w:val="single" w:sz="8" w:space="0" w:color="auto"/>
            </w:tcBorders>
            <w:shd w:val="clear" w:color="auto" w:fill="auto"/>
            <w:hideMark/>
          </w:tcPr>
          <w:p w:rsidR="002555C4" w:rsidRPr="00312456" w:rsidRDefault="00953848" w:rsidP="002555C4">
            <w:pPr>
              <w:spacing w:before="0" w:after="0"/>
              <w:rPr>
                <w:rFonts w:ascii="Arial" w:hAnsi="Arial" w:cs="Calibri"/>
                <w:color w:val="000000"/>
                <w:lang w:eastAsia="en-GB"/>
              </w:rPr>
            </w:pPr>
            <w:r w:rsidRPr="00312456">
              <w:rPr>
                <w:rFonts w:ascii="Arial" w:hAnsi="Arial" w:cs="Calibri"/>
                <w:color w:val="000000"/>
                <w:lang w:eastAsia="en-GB"/>
              </w:rPr>
              <w:t>Assets are depreciated over useful lives that are dependent on assumptions about the level of repairs and maintenance that will incur in relation to those assets. The current economic clima</w:t>
            </w:r>
            <w:r>
              <w:rPr>
                <w:rFonts w:ascii="Arial" w:hAnsi="Arial" w:cs="Calibri"/>
                <w:color w:val="000000"/>
                <w:lang w:eastAsia="en-GB"/>
              </w:rPr>
              <w:t>te makes it uncertain that the c</w:t>
            </w:r>
            <w:r w:rsidRPr="00312456">
              <w:rPr>
                <w:rFonts w:ascii="Arial" w:hAnsi="Arial" w:cs="Calibri"/>
                <w:color w:val="000000"/>
                <w:lang w:eastAsia="en-GB"/>
              </w:rPr>
              <w:t>ouncil will be able to sustain its current level of spending on maintenance, bringing into doubt the useful lives assigned to assets.</w:t>
            </w:r>
          </w:p>
        </w:tc>
        <w:tc>
          <w:tcPr>
            <w:tcW w:w="4111" w:type="dxa"/>
            <w:tcBorders>
              <w:top w:val="nil"/>
              <w:left w:val="nil"/>
              <w:bottom w:val="single" w:sz="8" w:space="0" w:color="auto"/>
              <w:right w:val="single" w:sz="8" w:space="0" w:color="auto"/>
            </w:tcBorders>
            <w:shd w:val="clear" w:color="auto" w:fill="auto"/>
            <w:hideMark/>
          </w:tcPr>
          <w:p w:rsidR="00953848" w:rsidRPr="008C5E10" w:rsidRDefault="00953848" w:rsidP="00A61513">
            <w:pPr>
              <w:spacing w:before="0" w:after="0"/>
              <w:rPr>
                <w:rFonts w:ascii="Arial" w:hAnsi="Arial" w:cs="Calibri"/>
                <w:color w:val="000000"/>
                <w:lang w:eastAsia="en-GB"/>
              </w:rPr>
            </w:pPr>
            <w:r w:rsidRPr="00BF360E">
              <w:rPr>
                <w:rFonts w:ascii="Arial" w:hAnsi="Arial" w:cs="Arial"/>
                <w:color w:val="000000"/>
                <w:lang w:eastAsia="en-GB"/>
              </w:rPr>
              <w:t xml:space="preserve">If the useful lives of assets are reduced, depreciation will increase and the carrying amount of assets will </w:t>
            </w:r>
            <w:r w:rsidRPr="006D6AF7">
              <w:rPr>
                <w:rFonts w:ascii="Arial" w:hAnsi="Arial" w:cs="Arial"/>
                <w:color w:val="000000"/>
                <w:lang w:eastAsia="en-GB"/>
              </w:rPr>
              <w:t xml:space="preserve">fall. It is estimated that the annual depreciation charge for buildings would increase </w:t>
            </w:r>
            <w:r w:rsidRPr="005346EC">
              <w:rPr>
                <w:rFonts w:ascii="Arial" w:hAnsi="Arial" w:cs="Arial"/>
                <w:color w:val="000000"/>
                <w:lang w:eastAsia="en-GB"/>
              </w:rPr>
              <w:t>by £</w:t>
            </w:r>
            <w:r w:rsidR="005346EC" w:rsidRPr="005346EC">
              <w:rPr>
                <w:rFonts w:ascii="Arial" w:hAnsi="Arial" w:cs="Arial"/>
                <w:color w:val="000000"/>
                <w:lang w:eastAsia="en-GB"/>
              </w:rPr>
              <w:t>1.570</w:t>
            </w:r>
            <w:r w:rsidRPr="005346EC">
              <w:rPr>
                <w:rFonts w:ascii="Arial" w:hAnsi="Arial" w:cs="Arial"/>
                <w:color w:val="000000"/>
                <w:lang w:eastAsia="en-GB"/>
              </w:rPr>
              <w:t>m</w:t>
            </w:r>
            <w:r w:rsidRPr="006D6AF7">
              <w:rPr>
                <w:rFonts w:ascii="Arial" w:hAnsi="Arial" w:cs="Arial"/>
                <w:color w:val="000000"/>
                <w:lang w:eastAsia="en-GB"/>
              </w:rPr>
              <w:t xml:space="preserve"> for every year that useful lives had to be reduced</w:t>
            </w:r>
            <w:r w:rsidRPr="008C5E10">
              <w:rPr>
                <w:rFonts w:ascii="Arial" w:hAnsi="Arial" w:cs="Calibri"/>
                <w:color w:val="000000"/>
                <w:lang w:eastAsia="en-GB"/>
              </w:rPr>
              <w:t>.</w:t>
            </w:r>
          </w:p>
        </w:tc>
      </w:tr>
    </w:tbl>
    <w:p w:rsidR="00990216" w:rsidRDefault="00990216"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2555C4" w:rsidRDefault="002555C4" w:rsidP="00990216">
      <w:pPr>
        <w:spacing w:before="0" w:after="0"/>
        <w:rPr>
          <w:rFonts w:ascii="Arial" w:hAnsi="Arial" w:cs="Arial"/>
          <w:b/>
        </w:rPr>
      </w:pPr>
    </w:p>
    <w:p w:rsidR="00E50759" w:rsidRPr="000A3446" w:rsidRDefault="00E50759" w:rsidP="00E50759">
      <w:pPr>
        <w:spacing w:before="0" w:after="0"/>
        <w:rPr>
          <w:rFonts w:ascii="Arial" w:hAnsi="Arial" w:cs="Arial"/>
          <w:b/>
          <w:sz w:val="24"/>
          <w:szCs w:val="24"/>
        </w:rPr>
      </w:pPr>
      <w:r w:rsidRPr="000A3446">
        <w:rPr>
          <w:rFonts w:ascii="Arial" w:hAnsi="Arial" w:cs="Arial"/>
          <w:b/>
          <w:sz w:val="24"/>
          <w:szCs w:val="24"/>
        </w:rPr>
        <w:lastRenderedPageBreak/>
        <w:t>Notes to the Financial Statements</w:t>
      </w:r>
      <w:r>
        <w:rPr>
          <w:rFonts w:ascii="Arial" w:hAnsi="Arial" w:cs="Arial"/>
          <w:b/>
          <w:sz w:val="24"/>
          <w:szCs w:val="24"/>
        </w:rPr>
        <w:t xml:space="preserve"> (Cont’d)</w:t>
      </w:r>
    </w:p>
    <w:p w:rsidR="00E50759" w:rsidRDefault="00E50759" w:rsidP="00E50759">
      <w:pPr>
        <w:pStyle w:val="Heading1"/>
        <w:spacing w:before="0"/>
        <w:rPr>
          <w:rFonts w:ascii="Arial" w:hAnsi="Arial" w:cs="Arial"/>
          <w:color w:val="auto"/>
          <w:sz w:val="20"/>
          <w:szCs w:val="20"/>
        </w:rPr>
      </w:pPr>
    </w:p>
    <w:p w:rsidR="00E50759" w:rsidRPr="000A3446" w:rsidRDefault="00E50759" w:rsidP="00E50759">
      <w:pPr>
        <w:pStyle w:val="Heading1"/>
        <w:spacing w:before="0"/>
        <w:rPr>
          <w:rFonts w:ascii="Arial" w:hAnsi="Arial" w:cs="Arial"/>
          <w:color w:val="auto"/>
          <w:sz w:val="20"/>
          <w:szCs w:val="20"/>
        </w:rPr>
      </w:pPr>
      <w:r>
        <w:rPr>
          <w:rFonts w:ascii="Arial" w:hAnsi="Arial" w:cs="Arial"/>
          <w:color w:val="auto"/>
          <w:sz w:val="20"/>
          <w:szCs w:val="20"/>
        </w:rPr>
        <w:t>Note 1</w:t>
      </w:r>
      <w:r w:rsidRPr="000A3446">
        <w:rPr>
          <w:rFonts w:ascii="Arial" w:hAnsi="Arial" w:cs="Arial"/>
          <w:color w:val="auto"/>
          <w:sz w:val="20"/>
          <w:szCs w:val="20"/>
        </w:rPr>
        <w:t xml:space="preserve"> – Assumptions Made About the Future and Other Major Sources of Estimation Uncertainty</w:t>
      </w:r>
      <w:r>
        <w:rPr>
          <w:rFonts w:ascii="Arial" w:hAnsi="Arial" w:cs="Arial"/>
          <w:color w:val="auto"/>
          <w:sz w:val="20"/>
          <w:szCs w:val="20"/>
        </w:rPr>
        <w:t xml:space="preserve"> (cont’d)</w:t>
      </w:r>
    </w:p>
    <w:p w:rsidR="002555C4" w:rsidRDefault="002555C4" w:rsidP="00990216">
      <w:pPr>
        <w:spacing w:before="0" w:after="0"/>
        <w:rPr>
          <w:rFonts w:ascii="Arial" w:hAnsi="Arial" w:cs="Arial"/>
          <w:b/>
        </w:rPr>
      </w:pPr>
    </w:p>
    <w:p w:rsidR="00E50759" w:rsidRDefault="00E50759" w:rsidP="00990216">
      <w:pPr>
        <w:spacing w:before="0" w:after="0"/>
        <w:rPr>
          <w:rFonts w:ascii="Arial" w:hAnsi="Arial" w:cs="Arial"/>
          <w:b/>
        </w:rPr>
      </w:pPr>
    </w:p>
    <w:tbl>
      <w:tblPr>
        <w:tblW w:w="9371" w:type="dxa"/>
        <w:tblInd w:w="93" w:type="dxa"/>
        <w:tblLook w:val="04A0" w:firstRow="1" w:lastRow="0" w:firstColumn="1" w:lastColumn="0" w:noHBand="0" w:noVBand="1"/>
      </w:tblPr>
      <w:tblGrid>
        <w:gridCol w:w="1480"/>
        <w:gridCol w:w="3780"/>
        <w:gridCol w:w="4111"/>
      </w:tblGrid>
      <w:tr w:rsidR="002555C4" w:rsidRPr="00E50759" w:rsidTr="00E50759">
        <w:trPr>
          <w:trHeight w:val="344"/>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2555C4" w:rsidRPr="00E50759" w:rsidRDefault="002555C4" w:rsidP="002555C4">
            <w:pPr>
              <w:spacing w:before="0" w:after="0"/>
              <w:rPr>
                <w:rFonts w:ascii="Arial" w:hAnsi="Arial" w:cs="Calibri"/>
                <w:b/>
                <w:bCs/>
                <w:color w:val="000000"/>
                <w:lang w:eastAsia="en-GB"/>
              </w:rPr>
            </w:pPr>
            <w:r w:rsidRPr="00E50759">
              <w:rPr>
                <w:rFonts w:ascii="Arial" w:hAnsi="Arial" w:cs="Calibri"/>
                <w:b/>
                <w:bCs/>
                <w:color w:val="000000"/>
                <w:lang w:eastAsia="en-GB"/>
              </w:rPr>
              <w:t>Item</w:t>
            </w:r>
          </w:p>
        </w:tc>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2555C4" w:rsidRPr="00E50759" w:rsidRDefault="002555C4" w:rsidP="002555C4">
            <w:pPr>
              <w:spacing w:before="0" w:after="0"/>
              <w:rPr>
                <w:rFonts w:ascii="Arial" w:hAnsi="Arial" w:cs="Calibri"/>
                <w:b/>
                <w:bCs/>
                <w:color w:val="000000"/>
                <w:lang w:eastAsia="en-GB"/>
              </w:rPr>
            </w:pPr>
            <w:r w:rsidRPr="00E50759">
              <w:rPr>
                <w:rFonts w:ascii="Arial" w:hAnsi="Arial" w:cs="Calibri"/>
                <w:b/>
                <w:bCs/>
                <w:color w:val="000000"/>
                <w:lang w:eastAsia="en-GB"/>
              </w:rPr>
              <w:t>Uncertainty</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2555C4" w:rsidRPr="00E50759" w:rsidRDefault="002555C4" w:rsidP="002555C4">
            <w:pPr>
              <w:spacing w:before="0" w:after="0"/>
              <w:rPr>
                <w:rFonts w:ascii="Arial" w:hAnsi="Arial" w:cs="Calibri"/>
                <w:b/>
                <w:bCs/>
                <w:color w:val="000000"/>
                <w:lang w:eastAsia="en-GB"/>
              </w:rPr>
            </w:pPr>
            <w:r w:rsidRPr="00E50759">
              <w:rPr>
                <w:rFonts w:ascii="Arial" w:hAnsi="Arial" w:cs="Calibri"/>
                <w:b/>
                <w:bCs/>
                <w:color w:val="000000"/>
                <w:lang w:eastAsia="en-GB"/>
              </w:rPr>
              <w:t xml:space="preserve">Potential effect </w:t>
            </w:r>
          </w:p>
        </w:tc>
      </w:tr>
      <w:tr w:rsidR="002555C4" w:rsidRPr="002A36EB" w:rsidTr="00E50759">
        <w:trPr>
          <w:trHeight w:val="1800"/>
        </w:trPr>
        <w:tc>
          <w:tcPr>
            <w:tcW w:w="1480" w:type="dxa"/>
            <w:tcBorders>
              <w:top w:val="single" w:sz="4" w:space="0" w:color="auto"/>
              <w:left w:val="single" w:sz="8" w:space="0" w:color="auto"/>
              <w:bottom w:val="single" w:sz="8" w:space="0" w:color="auto"/>
              <w:right w:val="single" w:sz="8" w:space="0" w:color="auto"/>
            </w:tcBorders>
            <w:shd w:val="clear" w:color="auto" w:fill="auto"/>
            <w:hideMark/>
          </w:tcPr>
          <w:p w:rsidR="002555C4" w:rsidRPr="002A36EB" w:rsidRDefault="002555C4" w:rsidP="002555C4">
            <w:pPr>
              <w:spacing w:before="0" w:after="0"/>
              <w:rPr>
                <w:rFonts w:ascii="Arial" w:hAnsi="Arial" w:cs="Calibri"/>
                <w:color w:val="000000"/>
                <w:lang w:eastAsia="en-GB"/>
              </w:rPr>
            </w:pPr>
            <w:r w:rsidRPr="002A36EB">
              <w:rPr>
                <w:rFonts w:ascii="Arial" w:hAnsi="Arial" w:cs="Calibri"/>
                <w:color w:val="000000"/>
                <w:lang w:eastAsia="en-GB"/>
              </w:rPr>
              <w:t>Provision – equal pay</w:t>
            </w:r>
          </w:p>
        </w:tc>
        <w:tc>
          <w:tcPr>
            <w:tcW w:w="3780" w:type="dxa"/>
            <w:tcBorders>
              <w:top w:val="single" w:sz="4" w:space="0" w:color="auto"/>
              <w:left w:val="nil"/>
              <w:bottom w:val="single" w:sz="8" w:space="0" w:color="auto"/>
              <w:right w:val="single" w:sz="8" w:space="0" w:color="auto"/>
            </w:tcBorders>
            <w:shd w:val="clear" w:color="auto" w:fill="auto"/>
            <w:hideMark/>
          </w:tcPr>
          <w:p w:rsidR="002555C4" w:rsidRPr="002A36EB" w:rsidRDefault="002555C4" w:rsidP="002555C4">
            <w:pPr>
              <w:spacing w:before="0" w:after="0"/>
              <w:rPr>
                <w:rFonts w:ascii="Arial" w:hAnsi="Arial" w:cs="Calibri"/>
                <w:color w:val="000000"/>
                <w:lang w:eastAsia="en-GB"/>
              </w:rPr>
            </w:pPr>
            <w:r w:rsidRPr="002A36EB">
              <w:rPr>
                <w:rFonts w:ascii="Arial" w:hAnsi="Arial" w:cs="Calibri"/>
                <w:color w:val="000000"/>
                <w:lang w:eastAsia="en-GB"/>
              </w:rPr>
              <w:t>The council has</w:t>
            </w:r>
            <w:r w:rsidR="00AB0511">
              <w:rPr>
                <w:rFonts w:ascii="Arial" w:hAnsi="Arial" w:cs="Calibri"/>
                <w:color w:val="000000"/>
                <w:lang w:eastAsia="en-GB"/>
              </w:rPr>
              <w:t xml:space="preserve"> set aside a provision of £0.232</w:t>
            </w:r>
            <w:r w:rsidRPr="002A36EB">
              <w:rPr>
                <w:rFonts w:ascii="Arial" w:hAnsi="Arial" w:cs="Calibri"/>
                <w:color w:val="000000"/>
                <w:lang w:eastAsia="en-GB"/>
              </w:rPr>
              <w:t>m for the settlement of claims arising from the Equal Pay Initiative, based upon the number of claims received and an average settlement amount. It is not certain that all valid claims have been received by the c</w:t>
            </w:r>
            <w:r>
              <w:rPr>
                <w:rFonts w:ascii="Arial" w:hAnsi="Arial" w:cs="Calibri"/>
                <w:color w:val="000000"/>
                <w:lang w:eastAsia="en-GB"/>
              </w:rPr>
              <w:t xml:space="preserve">ouncil or that precedents </w:t>
            </w:r>
            <w:r w:rsidRPr="002A36EB">
              <w:rPr>
                <w:rFonts w:ascii="Arial" w:hAnsi="Arial" w:cs="Calibri"/>
                <w:color w:val="000000"/>
                <w:lang w:eastAsia="en-GB"/>
              </w:rPr>
              <w:t>elsewhere on settlement values will be applicable.</w:t>
            </w:r>
          </w:p>
        </w:tc>
        <w:tc>
          <w:tcPr>
            <w:tcW w:w="4111" w:type="dxa"/>
            <w:tcBorders>
              <w:top w:val="single" w:sz="4" w:space="0" w:color="auto"/>
              <w:left w:val="nil"/>
              <w:bottom w:val="single" w:sz="8" w:space="0" w:color="auto"/>
              <w:right w:val="single" w:sz="8" w:space="0" w:color="auto"/>
            </w:tcBorders>
            <w:shd w:val="clear" w:color="auto" w:fill="auto"/>
            <w:hideMark/>
          </w:tcPr>
          <w:p w:rsidR="002555C4" w:rsidRPr="002A36EB" w:rsidRDefault="002555C4" w:rsidP="002555C4">
            <w:pPr>
              <w:spacing w:before="0" w:after="0"/>
              <w:rPr>
                <w:rFonts w:ascii="Arial" w:hAnsi="Arial" w:cs="Calibri"/>
                <w:color w:val="000000"/>
                <w:lang w:eastAsia="en-GB"/>
              </w:rPr>
            </w:pPr>
            <w:r w:rsidRPr="002A36EB">
              <w:rPr>
                <w:rFonts w:ascii="Arial" w:hAnsi="Arial" w:cs="Calibri"/>
                <w:color w:val="000000"/>
                <w:lang w:eastAsia="en-GB"/>
              </w:rPr>
              <w:t>An increase over the forthcoming year of 10% in either the total number of claims or the estimated average settlement would have an effect of adding £0.023m to the provision needed.</w:t>
            </w:r>
          </w:p>
        </w:tc>
      </w:tr>
      <w:tr w:rsidR="002555C4" w:rsidRPr="00312456" w:rsidTr="002555C4">
        <w:trPr>
          <w:trHeight w:val="2055"/>
        </w:trPr>
        <w:tc>
          <w:tcPr>
            <w:tcW w:w="1480" w:type="dxa"/>
            <w:tcBorders>
              <w:top w:val="nil"/>
              <w:left w:val="single" w:sz="8" w:space="0" w:color="auto"/>
              <w:bottom w:val="single" w:sz="8" w:space="0" w:color="auto"/>
              <w:right w:val="single" w:sz="8" w:space="0" w:color="auto"/>
            </w:tcBorders>
            <w:shd w:val="clear" w:color="auto" w:fill="auto"/>
          </w:tcPr>
          <w:p w:rsidR="002555C4" w:rsidRPr="00312456" w:rsidRDefault="002555C4" w:rsidP="002555C4">
            <w:pPr>
              <w:spacing w:before="0" w:after="0"/>
              <w:rPr>
                <w:rFonts w:ascii="Arial" w:hAnsi="Arial" w:cs="Calibri"/>
                <w:color w:val="000000"/>
                <w:lang w:eastAsia="en-GB"/>
              </w:rPr>
            </w:pPr>
            <w:r w:rsidRPr="00312456">
              <w:rPr>
                <w:rFonts w:ascii="Arial" w:hAnsi="Arial" w:cs="Calibri"/>
                <w:color w:val="000000"/>
                <w:lang w:eastAsia="en-GB"/>
              </w:rPr>
              <w:t>Pension liability</w:t>
            </w:r>
          </w:p>
        </w:tc>
        <w:tc>
          <w:tcPr>
            <w:tcW w:w="3780" w:type="dxa"/>
            <w:tcBorders>
              <w:top w:val="nil"/>
              <w:left w:val="nil"/>
              <w:bottom w:val="single" w:sz="8" w:space="0" w:color="auto"/>
              <w:right w:val="single" w:sz="8" w:space="0" w:color="auto"/>
            </w:tcBorders>
            <w:shd w:val="clear" w:color="auto" w:fill="auto"/>
          </w:tcPr>
          <w:p w:rsidR="002555C4" w:rsidRPr="00312456" w:rsidRDefault="002555C4" w:rsidP="002555C4">
            <w:pPr>
              <w:spacing w:before="0" w:after="0"/>
              <w:rPr>
                <w:rFonts w:ascii="Arial" w:hAnsi="Arial" w:cs="Calibri"/>
                <w:color w:val="000000"/>
                <w:lang w:eastAsia="en-GB"/>
              </w:rPr>
            </w:pPr>
            <w:r w:rsidRPr="00312456">
              <w:rPr>
                <w:rFonts w:ascii="Arial" w:hAnsi="Arial" w:cs="Calibri"/>
                <w:color w:val="000000"/>
                <w:lang w:eastAsia="en-GB"/>
              </w:rPr>
              <w:t>Estimation of the net liability to pay pensions depends on a number of complex judgements relating to the discount rates used, the rate at which salaries are projected to increase by, changes to retirement ages, mortality rates and expected returns on pension assets held. A firm of consulting actua</w:t>
            </w:r>
            <w:r>
              <w:rPr>
                <w:rFonts w:ascii="Arial" w:hAnsi="Arial" w:cs="Calibri"/>
                <w:color w:val="000000"/>
                <w:lang w:eastAsia="en-GB"/>
              </w:rPr>
              <w:t>ries is engaged to provide the c</w:t>
            </w:r>
            <w:r w:rsidRPr="00312456">
              <w:rPr>
                <w:rFonts w:ascii="Arial" w:hAnsi="Arial" w:cs="Calibri"/>
                <w:color w:val="000000"/>
                <w:lang w:eastAsia="en-GB"/>
              </w:rPr>
              <w:t>ouncil with expert advice about the assumptions applied.</w:t>
            </w:r>
          </w:p>
        </w:tc>
        <w:tc>
          <w:tcPr>
            <w:tcW w:w="4111" w:type="dxa"/>
            <w:tcBorders>
              <w:top w:val="nil"/>
              <w:left w:val="nil"/>
              <w:bottom w:val="single" w:sz="8" w:space="0" w:color="auto"/>
              <w:right w:val="single" w:sz="8" w:space="0" w:color="auto"/>
            </w:tcBorders>
            <w:shd w:val="clear" w:color="auto" w:fill="auto"/>
          </w:tcPr>
          <w:p w:rsidR="002555C4" w:rsidRPr="00312456" w:rsidRDefault="002555C4" w:rsidP="002555C4">
            <w:pPr>
              <w:spacing w:before="0" w:after="0"/>
              <w:rPr>
                <w:rFonts w:ascii="Arial" w:hAnsi="Arial" w:cs="Calibri"/>
                <w:color w:val="000000"/>
                <w:lang w:eastAsia="en-GB"/>
              </w:rPr>
            </w:pPr>
            <w:r w:rsidRPr="00312456">
              <w:rPr>
                <w:rFonts w:ascii="Arial" w:hAnsi="Arial" w:cs="Calibri"/>
                <w:color w:val="000000"/>
                <w:lang w:eastAsia="en-GB"/>
              </w:rPr>
              <w:t>The effect on the net liability can be measured. However, the assumptions inter</w:t>
            </w:r>
            <w:r>
              <w:rPr>
                <w:rFonts w:ascii="Arial" w:hAnsi="Arial" w:cs="Calibri"/>
                <w:color w:val="000000"/>
                <w:lang w:eastAsia="en-GB"/>
              </w:rPr>
              <w:t>act in complex ways. During 2019/20</w:t>
            </w:r>
            <w:r w:rsidRPr="00312456">
              <w:rPr>
                <w:rFonts w:ascii="Arial" w:hAnsi="Arial" w:cs="Calibri"/>
                <w:color w:val="000000"/>
                <w:lang w:eastAsia="en-GB"/>
              </w:rPr>
              <w:t xml:space="preserve"> the </w:t>
            </w:r>
            <w:r w:rsidRPr="00C445F5">
              <w:rPr>
                <w:rFonts w:ascii="Arial" w:hAnsi="Arial" w:cs="Calibri"/>
                <w:color w:val="000000"/>
                <w:lang w:eastAsia="en-GB"/>
              </w:rPr>
              <w:t>appointed actuaries advised that the net li</w:t>
            </w:r>
            <w:r w:rsidR="0067574D">
              <w:rPr>
                <w:rFonts w:ascii="Arial" w:hAnsi="Arial" w:cs="Calibri"/>
                <w:color w:val="000000"/>
                <w:lang w:eastAsia="en-GB"/>
              </w:rPr>
              <w:t>ability had decreased by £71.138</w:t>
            </w:r>
            <w:r w:rsidRPr="00C445F5">
              <w:rPr>
                <w:rFonts w:ascii="Arial" w:hAnsi="Arial" w:cs="Calibri"/>
                <w:color w:val="000000"/>
                <w:lang w:eastAsia="en-GB"/>
              </w:rPr>
              <w:t>m</w:t>
            </w:r>
            <w:r w:rsidRPr="003B287E">
              <w:rPr>
                <w:rFonts w:ascii="Arial" w:hAnsi="Arial" w:cs="Calibri"/>
                <w:color w:val="000000"/>
                <w:lang w:eastAsia="en-GB"/>
              </w:rPr>
              <w:t xml:space="preserve"> as a result</w:t>
            </w:r>
            <w:r w:rsidRPr="00312456">
              <w:rPr>
                <w:rFonts w:ascii="Arial" w:hAnsi="Arial" w:cs="Calibri"/>
                <w:color w:val="000000"/>
                <w:lang w:eastAsia="en-GB"/>
              </w:rPr>
              <w:t xml:space="preserve"> of estimates being updated and an update to the assumptions.</w:t>
            </w:r>
          </w:p>
        </w:tc>
      </w:tr>
      <w:tr w:rsidR="002555C4" w:rsidRPr="00312456" w:rsidTr="002555C4">
        <w:trPr>
          <w:trHeight w:val="2055"/>
        </w:trPr>
        <w:tc>
          <w:tcPr>
            <w:tcW w:w="1480" w:type="dxa"/>
            <w:tcBorders>
              <w:top w:val="nil"/>
              <w:left w:val="single" w:sz="8" w:space="0" w:color="auto"/>
              <w:bottom w:val="single" w:sz="8" w:space="0" w:color="auto"/>
              <w:right w:val="single" w:sz="8" w:space="0" w:color="auto"/>
            </w:tcBorders>
            <w:shd w:val="clear" w:color="auto" w:fill="auto"/>
            <w:hideMark/>
          </w:tcPr>
          <w:p w:rsidR="002555C4" w:rsidRPr="00312456" w:rsidRDefault="002555C4" w:rsidP="002555C4">
            <w:pPr>
              <w:spacing w:before="0" w:after="0"/>
              <w:rPr>
                <w:rFonts w:ascii="Arial" w:hAnsi="Arial" w:cs="Calibri"/>
                <w:color w:val="000000"/>
                <w:lang w:eastAsia="en-GB"/>
              </w:rPr>
            </w:pPr>
            <w:r w:rsidRPr="000239F7">
              <w:rPr>
                <w:rFonts w:ascii="Arial" w:hAnsi="Arial" w:cs="Calibri"/>
                <w:color w:val="000000"/>
                <w:lang w:eastAsia="en-GB"/>
              </w:rPr>
              <w:t>Arrears and bad debts</w:t>
            </w:r>
          </w:p>
        </w:tc>
        <w:tc>
          <w:tcPr>
            <w:tcW w:w="3780" w:type="dxa"/>
            <w:tcBorders>
              <w:top w:val="nil"/>
              <w:left w:val="nil"/>
              <w:bottom w:val="single" w:sz="8" w:space="0" w:color="auto"/>
              <w:right w:val="single" w:sz="8" w:space="0" w:color="auto"/>
            </w:tcBorders>
            <w:shd w:val="clear" w:color="auto" w:fill="auto"/>
            <w:hideMark/>
          </w:tcPr>
          <w:p w:rsidR="002555C4" w:rsidRPr="00312456" w:rsidRDefault="002555C4" w:rsidP="002555C4">
            <w:pPr>
              <w:spacing w:before="0" w:after="0"/>
              <w:rPr>
                <w:rFonts w:ascii="Arial" w:hAnsi="Arial" w:cs="Calibri"/>
                <w:color w:val="000000"/>
                <w:lang w:eastAsia="en-GB"/>
              </w:rPr>
            </w:pPr>
            <w:r>
              <w:rPr>
                <w:rFonts w:ascii="Arial" w:hAnsi="Arial" w:cs="Calibri"/>
                <w:color w:val="000000"/>
                <w:lang w:eastAsia="en-GB"/>
              </w:rPr>
              <w:t>As at 31 March 2020, the c</w:t>
            </w:r>
            <w:r w:rsidRPr="000239F7">
              <w:rPr>
                <w:rFonts w:ascii="Arial" w:hAnsi="Arial" w:cs="Calibri"/>
                <w:color w:val="000000"/>
                <w:lang w:eastAsia="en-GB"/>
              </w:rPr>
              <w:t xml:space="preserve">ouncil had a balance of various debtors (including </w:t>
            </w:r>
            <w:r w:rsidRPr="00C445F5">
              <w:rPr>
                <w:rFonts w:ascii="Arial" w:hAnsi="Arial" w:cs="Calibri"/>
                <w:color w:val="000000"/>
                <w:lang w:eastAsia="en-GB"/>
              </w:rPr>
              <w:t>council tax, sundry de</w:t>
            </w:r>
            <w:r w:rsidR="00A653CA">
              <w:rPr>
                <w:rFonts w:ascii="Arial" w:hAnsi="Arial" w:cs="Calibri"/>
                <w:color w:val="000000"/>
                <w:lang w:eastAsia="en-GB"/>
              </w:rPr>
              <w:t>btors, housing rents) of £43.051</w:t>
            </w:r>
            <w:r w:rsidRPr="00C445F5">
              <w:rPr>
                <w:rFonts w:ascii="Arial" w:hAnsi="Arial" w:cs="Calibri"/>
                <w:color w:val="000000"/>
                <w:lang w:eastAsia="en-GB"/>
              </w:rPr>
              <w:t>m with</w:t>
            </w:r>
            <w:r w:rsidRPr="000239F7">
              <w:rPr>
                <w:rFonts w:ascii="Arial" w:hAnsi="Arial" w:cs="Calibri"/>
                <w:color w:val="000000"/>
                <w:lang w:eastAsia="en-GB"/>
              </w:rPr>
              <w:t xml:space="preserve"> a sliding scale of bad debt provision written against this, depending on the age of the debt.</w:t>
            </w:r>
          </w:p>
        </w:tc>
        <w:tc>
          <w:tcPr>
            <w:tcW w:w="4111" w:type="dxa"/>
            <w:tcBorders>
              <w:top w:val="nil"/>
              <w:left w:val="nil"/>
              <w:bottom w:val="single" w:sz="8" w:space="0" w:color="auto"/>
              <w:right w:val="single" w:sz="8" w:space="0" w:color="auto"/>
            </w:tcBorders>
            <w:shd w:val="clear" w:color="auto" w:fill="auto"/>
            <w:hideMark/>
          </w:tcPr>
          <w:p w:rsidR="002555C4" w:rsidRPr="00312456" w:rsidRDefault="002555C4" w:rsidP="002555C4">
            <w:pPr>
              <w:spacing w:before="0" w:after="0"/>
              <w:rPr>
                <w:rFonts w:ascii="Arial" w:hAnsi="Arial" w:cs="Calibri"/>
                <w:color w:val="000000"/>
                <w:lang w:eastAsia="en-GB"/>
              </w:rPr>
            </w:pPr>
            <w:r w:rsidRPr="000239F7">
              <w:rPr>
                <w:rFonts w:ascii="Arial" w:hAnsi="Arial" w:cs="Calibri"/>
                <w:color w:val="000000"/>
                <w:lang w:eastAsia="en-GB"/>
              </w:rPr>
              <w:t>If collection rates were to deteriorate, the provision for bad debts would require to be reviewed to consider the appropriate level of provision. However, based upon prior experience, the bad debt provision is considered adequate.</w:t>
            </w:r>
          </w:p>
        </w:tc>
      </w:tr>
    </w:tbl>
    <w:p w:rsidR="00312456" w:rsidRDefault="00312456">
      <w:pPr>
        <w:spacing w:before="0" w:after="200" w:line="276" w:lineRule="auto"/>
        <w:rPr>
          <w:rFonts w:ascii="Arial" w:hAnsi="Arial" w:cs="Arial"/>
          <w:b/>
        </w:rPr>
      </w:pPr>
      <w:r>
        <w:rPr>
          <w:rFonts w:ascii="Arial" w:hAnsi="Arial" w:cs="Arial"/>
          <w:b/>
        </w:rPr>
        <w:br w:type="page"/>
      </w:r>
    </w:p>
    <w:p w:rsidR="00312456" w:rsidRPr="00375FD4" w:rsidRDefault="00312456" w:rsidP="00312456">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312456" w:rsidRPr="00375FD4" w:rsidRDefault="00312456" w:rsidP="00312456">
      <w:pPr>
        <w:spacing w:before="0" w:after="0"/>
        <w:ind w:left="900" w:hanging="900"/>
        <w:rPr>
          <w:rFonts w:ascii="Arial" w:hAnsi="Arial" w:cs="Arial"/>
          <w:b/>
        </w:rPr>
      </w:pPr>
    </w:p>
    <w:p w:rsidR="00312456" w:rsidRPr="000A3446" w:rsidRDefault="00E50759" w:rsidP="00312456">
      <w:pPr>
        <w:pStyle w:val="Heading1"/>
        <w:spacing w:before="0"/>
        <w:rPr>
          <w:rFonts w:ascii="Arial" w:hAnsi="Arial" w:cs="Arial"/>
          <w:color w:val="auto"/>
          <w:sz w:val="20"/>
          <w:szCs w:val="20"/>
        </w:rPr>
      </w:pPr>
      <w:r>
        <w:rPr>
          <w:rFonts w:ascii="Arial" w:hAnsi="Arial" w:cs="Arial"/>
          <w:color w:val="auto"/>
          <w:sz w:val="20"/>
          <w:szCs w:val="20"/>
        </w:rPr>
        <w:t>Note 1</w:t>
      </w:r>
      <w:r w:rsidR="00312456" w:rsidRPr="000A3446">
        <w:rPr>
          <w:rFonts w:ascii="Arial" w:hAnsi="Arial" w:cs="Arial"/>
          <w:color w:val="auto"/>
          <w:sz w:val="20"/>
          <w:szCs w:val="20"/>
        </w:rPr>
        <w:t xml:space="preserve"> – Assumptions Made About the Future and Other Major Sources of Estimation Uncertainty</w:t>
      </w:r>
      <w:r w:rsidR="00312456">
        <w:rPr>
          <w:rFonts w:ascii="Arial" w:hAnsi="Arial" w:cs="Arial"/>
          <w:color w:val="auto"/>
          <w:sz w:val="20"/>
          <w:szCs w:val="20"/>
        </w:rPr>
        <w:t xml:space="preserve"> (Cont’d)</w:t>
      </w:r>
    </w:p>
    <w:p w:rsidR="00312456" w:rsidRDefault="00312456" w:rsidP="001F1E67">
      <w:pPr>
        <w:spacing w:before="0" w:after="0"/>
        <w:ind w:left="900" w:hanging="900"/>
        <w:rPr>
          <w:rFonts w:ascii="Arial" w:hAnsi="Arial" w:cs="Arial"/>
          <w:b/>
        </w:rPr>
      </w:pPr>
    </w:p>
    <w:tbl>
      <w:tblPr>
        <w:tblW w:w="9371" w:type="dxa"/>
        <w:tblInd w:w="93" w:type="dxa"/>
        <w:tblLook w:val="04A0" w:firstRow="1" w:lastRow="0" w:firstColumn="1" w:lastColumn="0" w:noHBand="0" w:noVBand="1"/>
      </w:tblPr>
      <w:tblGrid>
        <w:gridCol w:w="1539"/>
        <w:gridCol w:w="3721"/>
        <w:gridCol w:w="4111"/>
      </w:tblGrid>
      <w:tr w:rsidR="00312456" w:rsidRPr="00312456" w:rsidTr="00953848">
        <w:trPr>
          <w:trHeight w:val="270"/>
        </w:trPr>
        <w:tc>
          <w:tcPr>
            <w:tcW w:w="1539" w:type="dxa"/>
            <w:tcBorders>
              <w:top w:val="single" w:sz="8" w:space="0" w:color="auto"/>
              <w:left w:val="single" w:sz="8" w:space="0" w:color="auto"/>
              <w:bottom w:val="single" w:sz="8" w:space="0" w:color="auto"/>
              <w:right w:val="single" w:sz="8" w:space="0" w:color="auto"/>
            </w:tcBorders>
            <w:shd w:val="clear" w:color="auto" w:fill="auto"/>
            <w:hideMark/>
          </w:tcPr>
          <w:p w:rsidR="00312456" w:rsidRPr="00312456" w:rsidRDefault="00312456" w:rsidP="00AA386A">
            <w:pPr>
              <w:spacing w:before="0" w:after="0"/>
              <w:rPr>
                <w:rFonts w:ascii="Arial" w:hAnsi="Arial" w:cs="Calibri"/>
                <w:b/>
                <w:bCs/>
                <w:color w:val="000000"/>
                <w:lang w:eastAsia="en-GB"/>
              </w:rPr>
            </w:pPr>
            <w:r w:rsidRPr="00312456">
              <w:rPr>
                <w:rFonts w:ascii="Arial" w:hAnsi="Arial" w:cs="Calibri"/>
                <w:b/>
                <w:bCs/>
                <w:color w:val="000000"/>
                <w:lang w:eastAsia="en-GB"/>
              </w:rPr>
              <w:t>Item</w:t>
            </w:r>
          </w:p>
        </w:tc>
        <w:tc>
          <w:tcPr>
            <w:tcW w:w="3721" w:type="dxa"/>
            <w:tcBorders>
              <w:top w:val="single" w:sz="8" w:space="0" w:color="auto"/>
              <w:left w:val="nil"/>
              <w:bottom w:val="single" w:sz="8" w:space="0" w:color="auto"/>
              <w:right w:val="single" w:sz="8" w:space="0" w:color="auto"/>
            </w:tcBorders>
            <w:shd w:val="clear" w:color="auto" w:fill="auto"/>
            <w:hideMark/>
          </w:tcPr>
          <w:p w:rsidR="00312456" w:rsidRPr="00312456" w:rsidRDefault="00312456" w:rsidP="00AA386A">
            <w:pPr>
              <w:spacing w:before="0" w:after="0"/>
              <w:rPr>
                <w:rFonts w:ascii="Arial" w:hAnsi="Arial" w:cs="Calibri"/>
                <w:b/>
                <w:bCs/>
                <w:color w:val="000000"/>
                <w:lang w:eastAsia="en-GB"/>
              </w:rPr>
            </w:pPr>
            <w:r w:rsidRPr="00312456">
              <w:rPr>
                <w:rFonts w:ascii="Arial" w:hAnsi="Arial" w:cs="Calibri"/>
                <w:b/>
                <w:bCs/>
                <w:color w:val="000000"/>
                <w:lang w:eastAsia="en-GB"/>
              </w:rPr>
              <w:t>Uncertainty</w:t>
            </w:r>
          </w:p>
        </w:tc>
        <w:tc>
          <w:tcPr>
            <w:tcW w:w="4111" w:type="dxa"/>
            <w:tcBorders>
              <w:top w:val="single" w:sz="8" w:space="0" w:color="auto"/>
              <w:left w:val="nil"/>
              <w:bottom w:val="single" w:sz="8" w:space="0" w:color="auto"/>
              <w:right w:val="single" w:sz="8" w:space="0" w:color="auto"/>
            </w:tcBorders>
            <w:shd w:val="clear" w:color="auto" w:fill="auto"/>
            <w:hideMark/>
          </w:tcPr>
          <w:p w:rsidR="00312456" w:rsidRPr="00312456" w:rsidRDefault="00312456" w:rsidP="00AA386A">
            <w:pPr>
              <w:spacing w:before="0" w:after="0"/>
              <w:rPr>
                <w:rFonts w:ascii="Arial" w:hAnsi="Arial" w:cs="Calibri"/>
                <w:b/>
                <w:bCs/>
                <w:color w:val="000000"/>
                <w:lang w:eastAsia="en-GB"/>
              </w:rPr>
            </w:pPr>
            <w:r w:rsidRPr="00312456">
              <w:rPr>
                <w:rFonts w:ascii="Arial" w:hAnsi="Arial" w:cs="Calibri"/>
                <w:b/>
                <w:bCs/>
                <w:color w:val="000000"/>
                <w:lang w:eastAsia="en-GB"/>
              </w:rPr>
              <w:t xml:space="preserve">Potential effect </w:t>
            </w:r>
          </w:p>
        </w:tc>
      </w:tr>
      <w:tr w:rsidR="00312456" w:rsidRPr="00312456" w:rsidTr="00953848">
        <w:trPr>
          <w:trHeight w:val="2055"/>
        </w:trPr>
        <w:tc>
          <w:tcPr>
            <w:tcW w:w="1539" w:type="dxa"/>
            <w:tcBorders>
              <w:top w:val="nil"/>
              <w:left w:val="single" w:sz="8" w:space="0" w:color="auto"/>
              <w:bottom w:val="single" w:sz="8" w:space="0" w:color="auto"/>
              <w:right w:val="single" w:sz="8" w:space="0" w:color="auto"/>
            </w:tcBorders>
            <w:shd w:val="clear" w:color="auto" w:fill="auto"/>
            <w:hideMark/>
          </w:tcPr>
          <w:p w:rsidR="00312456" w:rsidRDefault="00312456" w:rsidP="00312456">
            <w:pPr>
              <w:rPr>
                <w:rFonts w:ascii="Arial" w:hAnsi="Arial" w:cs="Arial"/>
                <w:color w:val="000000"/>
              </w:rPr>
            </w:pPr>
            <w:r>
              <w:rPr>
                <w:rFonts w:ascii="Arial" w:hAnsi="Arial" w:cs="Arial"/>
                <w:color w:val="000000"/>
              </w:rPr>
              <w:t>Fair Value Measurements</w:t>
            </w:r>
          </w:p>
          <w:p w:rsidR="00312456" w:rsidRPr="00312456" w:rsidRDefault="00312456" w:rsidP="00AA386A">
            <w:pPr>
              <w:spacing w:before="0" w:after="0"/>
              <w:rPr>
                <w:rFonts w:ascii="Arial" w:hAnsi="Arial" w:cs="Calibri"/>
                <w:color w:val="000000"/>
                <w:lang w:eastAsia="en-GB"/>
              </w:rPr>
            </w:pPr>
          </w:p>
        </w:tc>
        <w:tc>
          <w:tcPr>
            <w:tcW w:w="3721" w:type="dxa"/>
            <w:tcBorders>
              <w:top w:val="nil"/>
              <w:left w:val="nil"/>
              <w:bottom w:val="single" w:sz="8" w:space="0" w:color="auto"/>
              <w:right w:val="single" w:sz="8" w:space="0" w:color="auto"/>
            </w:tcBorders>
            <w:shd w:val="clear" w:color="auto" w:fill="auto"/>
            <w:hideMark/>
          </w:tcPr>
          <w:p w:rsidR="00312456" w:rsidRDefault="00312456" w:rsidP="00AA386A">
            <w:pPr>
              <w:spacing w:before="0" w:after="0"/>
              <w:rPr>
                <w:rFonts w:ascii="Arial" w:hAnsi="Arial" w:cs="Calibri"/>
                <w:color w:val="000000"/>
                <w:lang w:eastAsia="en-GB"/>
              </w:rPr>
            </w:pPr>
            <w:r w:rsidRPr="00312456">
              <w:rPr>
                <w:rFonts w:ascii="Arial" w:hAnsi="Arial" w:cs="Calibri"/>
                <w:color w:val="000000"/>
                <w:lang w:eastAsia="en-GB"/>
              </w:rPr>
              <w:t>When the fair value of financial assets and financial liabilities cannot be measured based on qu</w:t>
            </w:r>
            <w:r w:rsidR="001B464E">
              <w:rPr>
                <w:rFonts w:ascii="Arial" w:hAnsi="Arial" w:cs="Calibri"/>
                <w:color w:val="000000"/>
                <w:lang w:eastAsia="en-GB"/>
              </w:rPr>
              <w:t>oted prices in active markets (i</w:t>
            </w:r>
            <w:r w:rsidRPr="00312456">
              <w:rPr>
                <w:rFonts w:ascii="Arial" w:hAnsi="Arial" w:cs="Calibri"/>
                <w:color w:val="000000"/>
                <w:lang w:eastAsia="en-GB"/>
              </w:rPr>
              <w:t>.e. Level 1 inputs), their fair value is measured using valuation techniques (e.g. quoted prices for similar assets or liabilities in active markets or the d</w:t>
            </w:r>
            <w:r>
              <w:rPr>
                <w:rFonts w:ascii="Arial" w:hAnsi="Arial" w:cs="Calibri"/>
                <w:color w:val="000000"/>
                <w:lang w:eastAsia="en-GB"/>
              </w:rPr>
              <w:t>iscounted cash flow (DCF) model</w:t>
            </w:r>
            <w:r w:rsidR="001B464E">
              <w:rPr>
                <w:rFonts w:ascii="Arial" w:hAnsi="Arial" w:cs="Calibri"/>
                <w:color w:val="000000"/>
                <w:lang w:eastAsia="en-GB"/>
              </w:rPr>
              <w:t>)</w:t>
            </w:r>
            <w:r w:rsidRPr="00312456">
              <w:rPr>
                <w:rFonts w:ascii="Arial" w:hAnsi="Arial" w:cs="Calibri"/>
                <w:color w:val="000000"/>
                <w:lang w:eastAsia="en-GB"/>
              </w:rPr>
              <w:t>.</w:t>
            </w:r>
          </w:p>
          <w:p w:rsidR="00312456" w:rsidRDefault="00312456" w:rsidP="00AA386A">
            <w:pPr>
              <w:spacing w:before="0" w:after="0"/>
              <w:rPr>
                <w:rFonts w:ascii="Arial" w:hAnsi="Arial" w:cs="Calibri"/>
                <w:color w:val="000000"/>
                <w:lang w:eastAsia="en-GB"/>
              </w:rPr>
            </w:pPr>
            <w:r w:rsidRPr="00312456">
              <w:rPr>
                <w:rFonts w:ascii="Arial" w:hAnsi="Arial" w:cs="Calibri"/>
                <w:color w:val="000000"/>
                <w:lang w:eastAsia="en-GB"/>
              </w:rPr>
              <w:t xml:space="preserve">Where possible, the inputs to these valuation techniques are based on observable data, but where this is not possible judgement is required in establishing fair values.  These judgements typically include considerations such as uncertainty and risk.  However, changes in the assumptions used could affect the fair value of the </w:t>
            </w:r>
            <w:r w:rsidR="00B41878">
              <w:rPr>
                <w:rFonts w:ascii="Arial" w:hAnsi="Arial" w:cs="Calibri"/>
                <w:color w:val="000000"/>
                <w:lang w:eastAsia="en-GB"/>
              </w:rPr>
              <w:t>c</w:t>
            </w:r>
            <w:r>
              <w:rPr>
                <w:rFonts w:ascii="Arial" w:hAnsi="Arial" w:cs="Calibri"/>
                <w:color w:val="000000"/>
                <w:lang w:eastAsia="en-GB"/>
              </w:rPr>
              <w:t>ouncil</w:t>
            </w:r>
            <w:r w:rsidRPr="00312456">
              <w:rPr>
                <w:rFonts w:ascii="Arial" w:hAnsi="Arial" w:cs="Calibri"/>
                <w:color w:val="000000"/>
                <w:lang w:eastAsia="en-GB"/>
              </w:rPr>
              <w:t>’s assets and liabilities.</w:t>
            </w:r>
          </w:p>
          <w:p w:rsidR="00312456" w:rsidRDefault="00312456" w:rsidP="00AA386A">
            <w:pPr>
              <w:spacing w:before="0" w:after="0"/>
              <w:rPr>
                <w:rFonts w:ascii="Arial" w:hAnsi="Arial" w:cs="Calibri"/>
                <w:color w:val="000000"/>
                <w:lang w:eastAsia="en-GB"/>
              </w:rPr>
            </w:pPr>
            <w:r w:rsidRPr="00312456">
              <w:rPr>
                <w:rFonts w:ascii="Arial" w:hAnsi="Arial" w:cs="Calibri"/>
                <w:color w:val="000000"/>
                <w:lang w:eastAsia="en-GB"/>
              </w:rPr>
              <w:t xml:space="preserve">Where Level 1 inputs are not available, the </w:t>
            </w:r>
            <w:r w:rsidR="00B41878">
              <w:rPr>
                <w:rFonts w:ascii="Arial" w:hAnsi="Arial" w:cs="Calibri"/>
                <w:color w:val="000000"/>
                <w:lang w:eastAsia="en-GB"/>
              </w:rPr>
              <w:t>c</w:t>
            </w:r>
            <w:r>
              <w:rPr>
                <w:rFonts w:ascii="Arial" w:hAnsi="Arial" w:cs="Calibri"/>
                <w:color w:val="000000"/>
                <w:lang w:eastAsia="en-GB"/>
              </w:rPr>
              <w:t>ouncil</w:t>
            </w:r>
            <w:r w:rsidRPr="00312456">
              <w:rPr>
                <w:rFonts w:ascii="Arial" w:hAnsi="Arial" w:cs="Calibri"/>
                <w:color w:val="000000"/>
                <w:lang w:eastAsia="en-GB"/>
              </w:rPr>
              <w:t xml:space="preserve"> utilises relevant experts to identify the most appropriate valuation techniques (for example for surplus assets and non-current assets held for sale, the </w:t>
            </w:r>
            <w:r w:rsidR="00B41878">
              <w:rPr>
                <w:rFonts w:ascii="Arial" w:hAnsi="Arial" w:cs="Calibri"/>
                <w:color w:val="000000"/>
                <w:lang w:eastAsia="en-GB"/>
              </w:rPr>
              <w:t>c</w:t>
            </w:r>
            <w:r>
              <w:rPr>
                <w:rFonts w:ascii="Arial" w:hAnsi="Arial" w:cs="Calibri"/>
                <w:color w:val="000000"/>
                <w:lang w:eastAsia="en-GB"/>
              </w:rPr>
              <w:t>ouncil</w:t>
            </w:r>
            <w:r w:rsidRPr="00312456">
              <w:rPr>
                <w:rFonts w:ascii="Arial" w:hAnsi="Arial" w:cs="Calibri"/>
                <w:color w:val="000000"/>
                <w:lang w:eastAsia="en-GB"/>
              </w:rPr>
              <w:t xml:space="preserve">’s estates valuer and for financial instruments the </w:t>
            </w:r>
            <w:r w:rsidR="00B41878">
              <w:rPr>
                <w:rFonts w:ascii="Arial" w:hAnsi="Arial" w:cs="Calibri"/>
                <w:color w:val="000000"/>
                <w:lang w:eastAsia="en-GB"/>
              </w:rPr>
              <w:t>c</w:t>
            </w:r>
            <w:r>
              <w:rPr>
                <w:rFonts w:ascii="Arial" w:hAnsi="Arial" w:cs="Calibri"/>
                <w:color w:val="000000"/>
                <w:lang w:eastAsia="en-GB"/>
              </w:rPr>
              <w:t>ouncil</w:t>
            </w:r>
            <w:r w:rsidRPr="00312456">
              <w:rPr>
                <w:rFonts w:ascii="Arial" w:hAnsi="Arial" w:cs="Calibri"/>
                <w:color w:val="000000"/>
                <w:lang w:eastAsia="en-GB"/>
              </w:rPr>
              <w:t>’s treasury advisors)</w:t>
            </w:r>
            <w:r w:rsidR="001B464E">
              <w:rPr>
                <w:rFonts w:ascii="Arial" w:hAnsi="Arial" w:cs="Calibri"/>
                <w:color w:val="000000"/>
                <w:lang w:eastAsia="en-GB"/>
              </w:rPr>
              <w:t>.</w:t>
            </w:r>
          </w:p>
          <w:p w:rsidR="00312456" w:rsidRPr="00312456" w:rsidRDefault="00312456" w:rsidP="00AA386A">
            <w:pPr>
              <w:spacing w:before="0" w:after="0"/>
              <w:rPr>
                <w:rFonts w:ascii="Arial" w:hAnsi="Arial" w:cs="Calibri"/>
                <w:color w:val="000000"/>
                <w:lang w:eastAsia="en-GB"/>
              </w:rPr>
            </w:pPr>
            <w:r w:rsidRPr="00312456">
              <w:rPr>
                <w:rFonts w:ascii="Arial" w:hAnsi="Arial" w:cs="Calibri"/>
                <w:color w:val="000000"/>
                <w:lang w:eastAsia="en-GB"/>
              </w:rPr>
              <w:t xml:space="preserve">Information about the valuation techniques and inputs used in determining the fair value of the </w:t>
            </w:r>
            <w:r w:rsidR="00B41878">
              <w:rPr>
                <w:rFonts w:ascii="Arial" w:hAnsi="Arial" w:cs="Calibri"/>
                <w:color w:val="000000"/>
                <w:lang w:eastAsia="en-GB"/>
              </w:rPr>
              <w:t>c</w:t>
            </w:r>
            <w:r w:rsidRPr="00133058">
              <w:rPr>
                <w:rFonts w:ascii="Arial" w:hAnsi="Arial" w:cs="Calibri"/>
                <w:color w:val="000000"/>
                <w:lang w:eastAsia="en-GB"/>
              </w:rPr>
              <w:t>ouncil’s asse</w:t>
            </w:r>
            <w:r w:rsidRPr="00386EC7">
              <w:rPr>
                <w:rFonts w:ascii="Arial" w:hAnsi="Arial" w:cs="Calibri"/>
                <w:color w:val="000000"/>
                <w:lang w:eastAsia="en-GB"/>
              </w:rPr>
              <w:t xml:space="preserve">ts and liabilities is </w:t>
            </w:r>
            <w:r w:rsidR="00133058" w:rsidRPr="00386EC7">
              <w:rPr>
                <w:rFonts w:ascii="Arial" w:hAnsi="Arial" w:cs="Calibri"/>
                <w:color w:val="000000"/>
                <w:lang w:eastAsia="en-GB"/>
              </w:rPr>
              <w:t>disclosed in no</w:t>
            </w:r>
            <w:r w:rsidR="00386EC7" w:rsidRPr="00386EC7">
              <w:rPr>
                <w:rFonts w:ascii="Arial" w:hAnsi="Arial" w:cs="Calibri"/>
                <w:color w:val="000000"/>
                <w:lang w:eastAsia="en-GB"/>
              </w:rPr>
              <w:t xml:space="preserve">tes </w:t>
            </w:r>
            <w:r w:rsidR="00AB0511">
              <w:rPr>
                <w:rFonts w:ascii="Arial" w:hAnsi="Arial" w:cs="Calibri"/>
                <w:color w:val="000000"/>
                <w:lang w:eastAsia="en-GB"/>
              </w:rPr>
              <w:t>14, 16 and 25</w:t>
            </w:r>
            <w:r w:rsidRPr="00322A19">
              <w:rPr>
                <w:rFonts w:ascii="Arial" w:hAnsi="Arial" w:cs="Calibri"/>
                <w:color w:val="000000"/>
                <w:lang w:eastAsia="en-GB"/>
              </w:rPr>
              <w:t>.</w:t>
            </w:r>
          </w:p>
        </w:tc>
        <w:tc>
          <w:tcPr>
            <w:tcW w:w="4111" w:type="dxa"/>
            <w:tcBorders>
              <w:top w:val="nil"/>
              <w:left w:val="nil"/>
              <w:bottom w:val="single" w:sz="8" w:space="0" w:color="auto"/>
              <w:right w:val="single" w:sz="8" w:space="0" w:color="auto"/>
            </w:tcBorders>
            <w:shd w:val="clear" w:color="auto" w:fill="auto"/>
            <w:hideMark/>
          </w:tcPr>
          <w:p w:rsidR="00312456" w:rsidRPr="0050036A" w:rsidRDefault="00312456" w:rsidP="00AA386A">
            <w:pPr>
              <w:spacing w:before="0" w:after="0"/>
              <w:rPr>
                <w:rFonts w:ascii="Arial" w:hAnsi="Arial" w:cs="Calibri"/>
                <w:color w:val="000000"/>
                <w:lang w:eastAsia="en-GB"/>
              </w:rPr>
            </w:pPr>
            <w:r w:rsidRPr="0050036A">
              <w:rPr>
                <w:rFonts w:ascii="Arial" w:hAnsi="Arial" w:cs="Calibri"/>
                <w:color w:val="000000"/>
                <w:lang w:eastAsia="en-GB"/>
              </w:rPr>
              <w:t>The authority uses the discounted cash flow (DCF) model to measure the fair value of financial instruments.  Surplus assets and non-current assets held for sale have been based on the market value approach.  Market conditions are such that similar properties are marketed, purchased and sold actively.</w:t>
            </w:r>
          </w:p>
          <w:p w:rsidR="00312456" w:rsidRPr="0050036A" w:rsidRDefault="00312456" w:rsidP="00AA386A">
            <w:pPr>
              <w:spacing w:before="0" w:after="0"/>
              <w:rPr>
                <w:rFonts w:ascii="Arial" w:hAnsi="Arial" w:cs="Calibri"/>
                <w:color w:val="000000"/>
                <w:lang w:eastAsia="en-GB"/>
              </w:rPr>
            </w:pPr>
            <w:r w:rsidRPr="0050036A">
              <w:rPr>
                <w:rFonts w:ascii="Arial" w:hAnsi="Arial" w:cs="Calibri"/>
                <w:color w:val="000000"/>
                <w:lang w:eastAsia="en-GB"/>
              </w:rPr>
              <w:t>The significant observable inputs used include current market conditions and recent sales prices and other relevant information for similar assets in the West Dunbartonshire area together with evidence across the wider West of Scotland for surplus assets and non-current assets held for sale and discount rates for financial instruments.</w:t>
            </w:r>
          </w:p>
          <w:p w:rsidR="00312456" w:rsidRPr="00312456" w:rsidRDefault="0050036A" w:rsidP="00386EC7">
            <w:pPr>
              <w:spacing w:before="0" w:after="0"/>
              <w:rPr>
                <w:rFonts w:ascii="Arial" w:hAnsi="Arial" w:cs="Calibri"/>
                <w:color w:val="000000"/>
                <w:lang w:eastAsia="en-GB"/>
              </w:rPr>
            </w:pPr>
            <w:r w:rsidRPr="0050036A">
              <w:rPr>
                <w:rFonts w:ascii="Arial" w:hAnsi="Arial" w:cs="Calibri"/>
                <w:color w:val="000000"/>
                <w:lang w:eastAsia="en-GB"/>
              </w:rPr>
              <w:t>Significant changes in any of these would result in significantly lower or higher fair value measurement for financial instruments as de</w:t>
            </w:r>
            <w:r w:rsidR="0041418A">
              <w:rPr>
                <w:rFonts w:ascii="Arial" w:hAnsi="Arial" w:cs="Calibri"/>
                <w:color w:val="000000"/>
                <w:lang w:eastAsia="en-GB"/>
              </w:rPr>
              <w:t>tailed in no</w:t>
            </w:r>
            <w:r w:rsidR="00386EC7" w:rsidRPr="00386EC7">
              <w:rPr>
                <w:rFonts w:ascii="Arial" w:hAnsi="Arial" w:cs="Calibri"/>
                <w:color w:val="000000"/>
                <w:lang w:eastAsia="en-GB"/>
              </w:rPr>
              <w:t>t</w:t>
            </w:r>
            <w:r w:rsidR="00386EC7" w:rsidRPr="00322A19">
              <w:rPr>
                <w:rFonts w:ascii="Arial" w:hAnsi="Arial" w:cs="Calibri"/>
                <w:color w:val="000000"/>
                <w:lang w:eastAsia="en-GB"/>
              </w:rPr>
              <w:t xml:space="preserve">e </w:t>
            </w:r>
            <w:r w:rsidR="00EE32D7">
              <w:rPr>
                <w:rFonts w:ascii="Arial" w:hAnsi="Arial" w:cs="Calibri"/>
                <w:color w:val="000000"/>
                <w:lang w:eastAsia="en-GB"/>
              </w:rPr>
              <w:t>25</w:t>
            </w:r>
            <w:r w:rsidRPr="00322A19">
              <w:rPr>
                <w:rFonts w:ascii="Arial" w:hAnsi="Arial" w:cs="Calibri"/>
                <w:color w:val="000000"/>
                <w:lang w:eastAsia="en-GB"/>
              </w:rPr>
              <w:t>.</w:t>
            </w:r>
            <w:r w:rsidRPr="0050036A">
              <w:rPr>
                <w:rFonts w:ascii="Arial" w:hAnsi="Arial" w:cs="Calibri"/>
                <w:color w:val="000000"/>
                <w:lang w:eastAsia="en-GB"/>
              </w:rPr>
              <w:t xml:space="preserve">  Significant changes to the key inputs for non-financial assets would have a significant impact on the value of the properties. However as the properties are valued annually and form a small proportion i</w:t>
            </w:r>
            <w:r w:rsidR="00B41878">
              <w:rPr>
                <w:rFonts w:ascii="Arial" w:hAnsi="Arial" w:cs="Calibri"/>
                <w:color w:val="000000"/>
                <w:lang w:eastAsia="en-GB"/>
              </w:rPr>
              <w:t>n relation to the value of the c</w:t>
            </w:r>
            <w:r w:rsidRPr="0050036A">
              <w:rPr>
                <w:rFonts w:ascii="Arial" w:hAnsi="Arial" w:cs="Calibri"/>
                <w:color w:val="000000"/>
                <w:lang w:eastAsia="en-GB"/>
              </w:rPr>
              <w:t>ouncil’s overall portfolio the impact of any changes would be limited.</w:t>
            </w:r>
          </w:p>
        </w:tc>
      </w:tr>
    </w:tbl>
    <w:p w:rsidR="00312456" w:rsidRDefault="00312456">
      <w:pPr>
        <w:spacing w:before="0" w:after="200" w:line="276" w:lineRule="auto"/>
        <w:rPr>
          <w:rFonts w:ascii="Arial" w:hAnsi="Arial" w:cs="Arial"/>
          <w:b/>
        </w:rPr>
      </w:pPr>
    </w:p>
    <w:p w:rsidR="00312456" w:rsidRDefault="00312456">
      <w:pPr>
        <w:spacing w:before="0" w:after="200" w:line="276" w:lineRule="auto"/>
        <w:rPr>
          <w:rFonts w:ascii="Arial" w:hAnsi="Arial" w:cs="Arial"/>
          <w:b/>
        </w:rPr>
      </w:pPr>
    </w:p>
    <w:p w:rsidR="00DD23A7" w:rsidRPr="00375FD4" w:rsidRDefault="00DD23A7">
      <w:pPr>
        <w:spacing w:before="0" w:after="200" w:line="276" w:lineRule="auto"/>
        <w:rPr>
          <w:rFonts w:ascii="Arial" w:hAnsi="Arial" w:cs="Arial"/>
          <w:b/>
        </w:rPr>
      </w:pPr>
      <w:r w:rsidRPr="00375FD4">
        <w:rPr>
          <w:rFonts w:ascii="Arial" w:hAnsi="Arial" w:cs="Arial"/>
          <w:b/>
        </w:rPr>
        <w:br w:type="page"/>
      </w:r>
    </w:p>
    <w:p w:rsidR="00990216" w:rsidRPr="00375FD4" w:rsidRDefault="00990216" w:rsidP="00990216">
      <w:pPr>
        <w:spacing w:before="0" w:after="0"/>
        <w:rPr>
          <w:rFonts w:ascii="Arial" w:hAnsi="Arial" w:cs="Arial"/>
          <w:b/>
          <w:sz w:val="24"/>
          <w:szCs w:val="24"/>
          <w:u w:val="single"/>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u w:val="single"/>
        </w:rPr>
      </w:pPr>
    </w:p>
    <w:p w:rsidR="00990216" w:rsidRPr="000A3446" w:rsidRDefault="00E50759" w:rsidP="00DD23A7">
      <w:pPr>
        <w:pStyle w:val="Heading1"/>
        <w:spacing w:before="0"/>
        <w:rPr>
          <w:rFonts w:ascii="Arial" w:hAnsi="Arial" w:cs="Arial"/>
          <w:color w:val="auto"/>
          <w:sz w:val="20"/>
          <w:szCs w:val="20"/>
        </w:rPr>
      </w:pPr>
      <w:r>
        <w:rPr>
          <w:rFonts w:ascii="Arial" w:hAnsi="Arial" w:cs="Arial"/>
          <w:color w:val="auto"/>
          <w:sz w:val="20"/>
          <w:szCs w:val="20"/>
        </w:rPr>
        <w:t>Note 2</w:t>
      </w:r>
      <w:r w:rsidR="00990216" w:rsidRPr="000A3446">
        <w:rPr>
          <w:rFonts w:ascii="Arial" w:hAnsi="Arial" w:cs="Arial"/>
          <w:color w:val="auto"/>
          <w:sz w:val="20"/>
          <w:szCs w:val="20"/>
        </w:rPr>
        <w:t xml:space="preserve"> - Material Items of Income and Expense</w:t>
      </w:r>
    </w:p>
    <w:p w:rsidR="00990216" w:rsidRPr="00375FD4" w:rsidRDefault="00990216" w:rsidP="00990216">
      <w:pPr>
        <w:spacing w:before="0" w:after="0"/>
        <w:rPr>
          <w:rFonts w:ascii="Arial" w:hAnsi="Arial" w:cs="Arial"/>
          <w:b/>
          <w:u w:val="single"/>
        </w:rPr>
      </w:pPr>
    </w:p>
    <w:p w:rsidR="00990216" w:rsidRPr="00375FD4" w:rsidRDefault="00990216" w:rsidP="001F1E67">
      <w:pPr>
        <w:spacing w:before="0" w:after="0"/>
        <w:rPr>
          <w:rFonts w:ascii="Arial" w:hAnsi="Arial" w:cs="Arial"/>
        </w:rPr>
      </w:pPr>
      <w:r w:rsidRPr="00375FD4">
        <w:rPr>
          <w:rFonts w:ascii="Arial" w:hAnsi="Arial" w:cs="Arial"/>
        </w:rPr>
        <w:t>Where items are not disclosed on the face of the Comprehensive Income and Expenditure Statement, the Code requires a disclosure of the nature and amount of material items. Material items of expenditure charged to services in the year are shown in the table below:</w:t>
      </w:r>
    </w:p>
    <w:p w:rsidR="00990216" w:rsidRPr="00375FD4" w:rsidRDefault="00990216" w:rsidP="00990216">
      <w:pPr>
        <w:spacing w:before="0" w:after="0"/>
        <w:rPr>
          <w:rFonts w:ascii="Arial" w:hAnsi="Arial" w:cs="Arial"/>
          <w:b/>
          <w:u w:val="single"/>
        </w:rPr>
      </w:pPr>
    </w:p>
    <w:p w:rsidR="00990216" w:rsidRPr="00180966" w:rsidRDefault="002F4D8A" w:rsidP="00C519A3">
      <w:pPr>
        <w:tabs>
          <w:tab w:val="left" w:pos="426"/>
        </w:tabs>
        <w:spacing w:before="0" w:after="0"/>
        <w:rPr>
          <w:rFonts w:ascii="Arial" w:hAnsi="Arial" w:cs="Arial"/>
          <w:b/>
        </w:rPr>
      </w:pPr>
      <w:r w:rsidRPr="002F4D8A">
        <w:rPr>
          <w:noProof/>
          <w:lang w:eastAsia="en-GB"/>
        </w:rPr>
        <w:drawing>
          <wp:inline distT="0" distB="0" distL="0" distR="0" wp14:anchorId="2027E895" wp14:editId="36124CE9">
            <wp:extent cx="5731510" cy="4908761"/>
            <wp:effectExtent l="0" t="0" r="2540" b="6350"/>
            <wp:docPr id="13" name="Picture 13" descr="significant items of income and spend not identified separately within the income and expenditure statement" title="note 2 material items of income an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4908761"/>
                    </a:xfrm>
                    <a:prstGeom prst="rect">
                      <a:avLst/>
                    </a:prstGeom>
                    <a:noFill/>
                    <a:ln>
                      <a:noFill/>
                    </a:ln>
                  </pic:spPr>
                </pic:pic>
              </a:graphicData>
            </a:graphic>
          </wp:inline>
        </w:drawing>
      </w:r>
    </w:p>
    <w:p w:rsidR="00990216" w:rsidRPr="00180966" w:rsidRDefault="00990216" w:rsidP="00990216">
      <w:pPr>
        <w:spacing w:before="0" w:after="0"/>
        <w:rPr>
          <w:rFonts w:ascii="Arial" w:hAnsi="Arial" w:cs="Arial"/>
          <w:b/>
        </w:rPr>
      </w:pPr>
    </w:p>
    <w:p w:rsidR="00990216" w:rsidRPr="00180966" w:rsidRDefault="00990216" w:rsidP="00990216">
      <w:pPr>
        <w:spacing w:before="0" w:after="0"/>
        <w:rPr>
          <w:rFonts w:ascii="Arial" w:hAnsi="Arial" w:cs="Arial"/>
        </w:rPr>
        <w:sectPr w:rsidR="00990216" w:rsidRPr="00180966">
          <w:pgSz w:w="11906" w:h="16838"/>
          <w:pgMar w:top="1440" w:right="1440" w:bottom="1152" w:left="1440" w:header="720" w:footer="720" w:gutter="0"/>
          <w:cols w:space="720"/>
          <w:titlePg/>
          <w:docGrid w:linePitch="272"/>
        </w:sectPr>
      </w:pP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sz w:val="24"/>
          <w:szCs w:val="24"/>
        </w:rPr>
      </w:pPr>
    </w:p>
    <w:p w:rsidR="00990216" w:rsidRPr="000A3446" w:rsidRDefault="00E50759" w:rsidP="00DD23A7">
      <w:pPr>
        <w:pStyle w:val="Heading1"/>
        <w:spacing w:before="0"/>
        <w:rPr>
          <w:rFonts w:ascii="Arial" w:hAnsi="Arial" w:cs="Arial"/>
          <w:color w:val="auto"/>
          <w:sz w:val="20"/>
          <w:szCs w:val="20"/>
        </w:rPr>
      </w:pPr>
      <w:r>
        <w:rPr>
          <w:rFonts w:ascii="Arial" w:hAnsi="Arial" w:cs="Arial"/>
          <w:color w:val="auto"/>
          <w:sz w:val="20"/>
          <w:szCs w:val="20"/>
        </w:rPr>
        <w:t>Note 3</w:t>
      </w:r>
      <w:r w:rsidR="00990216" w:rsidRPr="000A3446">
        <w:rPr>
          <w:rFonts w:ascii="Arial" w:hAnsi="Arial" w:cs="Arial"/>
          <w:color w:val="auto"/>
          <w:sz w:val="20"/>
          <w:szCs w:val="20"/>
        </w:rPr>
        <w:t xml:space="preserve"> – Adjustments between funding accounting basis and funding basis under regulations</w:t>
      </w:r>
      <w:r w:rsidR="00033848">
        <w:rPr>
          <w:rFonts w:ascii="Arial" w:hAnsi="Arial" w:cs="Arial"/>
          <w:color w:val="auto"/>
          <w:sz w:val="20"/>
          <w:szCs w:val="20"/>
        </w:rPr>
        <w:tab/>
      </w:r>
    </w:p>
    <w:p w:rsidR="00990216" w:rsidRPr="00375FD4" w:rsidRDefault="00990216" w:rsidP="00990216">
      <w:pPr>
        <w:spacing w:before="0" w:after="0"/>
        <w:rPr>
          <w:rFonts w:ascii="Arial" w:hAnsi="Arial" w:cs="Arial"/>
          <w:b/>
        </w:rPr>
      </w:pPr>
    </w:p>
    <w:p w:rsidR="00990216" w:rsidRDefault="00990216" w:rsidP="00990216">
      <w:pPr>
        <w:spacing w:before="0" w:after="0"/>
        <w:rPr>
          <w:rFonts w:ascii="Arial" w:hAnsi="Arial" w:cs="Arial"/>
        </w:rPr>
      </w:pPr>
      <w:r w:rsidRPr="00375FD4">
        <w:rPr>
          <w:rFonts w:ascii="Arial" w:hAnsi="Arial" w:cs="Arial"/>
        </w:rPr>
        <w:t xml:space="preserve">This note provides further breakdown of the adjustments summarised in the Movement </w:t>
      </w:r>
      <w:r w:rsidR="006F106C">
        <w:rPr>
          <w:rFonts w:ascii="Arial" w:hAnsi="Arial" w:cs="Arial"/>
        </w:rPr>
        <w:t xml:space="preserve">in Reserves Statement on page </w:t>
      </w:r>
      <w:r w:rsidR="004538A5">
        <w:rPr>
          <w:rFonts w:ascii="Arial" w:hAnsi="Arial" w:cs="Arial"/>
        </w:rPr>
        <w:t>37</w:t>
      </w:r>
      <w:r w:rsidRPr="00375FD4">
        <w:rPr>
          <w:rFonts w:ascii="Arial" w:hAnsi="Arial" w:cs="Arial"/>
        </w:rPr>
        <w:t>.  It is identified under the headings Usable and Unusable Reserves.  Further detail of the reserves identified under the classificati</w:t>
      </w:r>
      <w:r w:rsidR="00180966">
        <w:rPr>
          <w:rFonts w:ascii="Arial" w:hAnsi="Arial" w:cs="Arial"/>
        </w:rPr>
        <w:t>on of usabl</w:t>
      </w:r>
      <w:r w:rsidR="006F622F">
        <w:rPr>
          <w:rFonts w:ascii="Arial" w:hAnsi="Arial" w:cs="Arial"/>
        </w:rPr>
        <w:t xml:space="preserve">e </w:t>
      </w:r>
      <w:r w:rsidR="00180966">
        <w:rPr>
          <w:rFonts w:ascii="Arial" w:hAnsi="Arial" w:cs="Arial"/>
        </w:rPr>
        <w:t>and unusabl</w:t>
      </w:r>
      <w:r w:rsidR="00386EC7">
        <w:rPr>
          <w:rFonts w:ascii="Arial" w:hAnsi="Arial" w:cs="Arial"/>
        </w:rPr>
        <w:t>e is given in note</w:t>
      </w:r>
      <w:r w:rsidR="00AB0511">
        <w:rPr>
          <w:rFonts w:ascii="Arial" w:hAnsi="Arial" w:cs="Arial"/>
        </w:rPr>
        <w:t>s 28 and 29</w:t>
      </w:r>
      <w:r w:rsidR="006F106C" w:rsidRPr="00322A19">
        <w:rPr>
          <w:rFonts w:ascii="Arial" w:hAnsi="Arial" w:cs="Arial"/>
        </w:rPr>
        <w:t xml:space="preserve"> on page</w:t>
      </w:r>
      <w:r w:rsidR="00322A19" w:rsidRPr="00322A19">
        <w:rPr>
          <w:rFonts w:ascii="Arial" w:hAnsi="Arial" w:cs="Arial"/>
        </w:rPr>
        <w:t xml:space="preserve">s </w:t>
      </w:r>
      <w:r w:rsidR="00EB691C">
        <w:rPr>
          <w:rFonts w:ascii="Arial" w:hAnsi="Arial" w:cs="Arial"/>
        </w:rPr>
        <w:t>81 to 85</w:t>
      </w:r>
      <w:r w:rsidR="00BB6D1E">
        <w:rPr>
          <w:rFonts w:ascii="Arial" w:hAnsi="Arial" w:cs="Arial"/>
        </w:rPr>
        <w:t>.</w:t>
      </w:r>
    </w:p>
    <w:p w:rsidR="006872E9" w:rsidRDefault="006872E9" w:rsidP="00990216">
      <w:pPr>
        <w:spacing w:before="0" w:after="0"/>
        <w:rPr>
          <w:rFonts w:ascii="Arial" w:hAnsi="Arial" w:cs="Arial"/>
        </w:rPr>
      </w:pPr>
    </w:p>
    <w:p w:rsidR="006872E9" w:rsidRDefault="007D07BD" w:rsidP="00990216">
      <w:pPr>
        <w:spacing w:before="0" w:after="0"/>
        <w:rPr>
          <w:rFonts w:ascii="Arial" w:hAnsi="Arial" w:cs="Arial"/>
          <w:b/>
        </w:rPr>
      </w:pPr>
      <w:r>
        <w:rPr>
          <w:rFonts w:ascii="Arial" w:hAnsi="Arial" w:cs="Arial"/>
          <w:b/>
        </w:rPr>
        <w:t>2019/20</w:t>
      </w:r>
    </w:p>
    <w:p w:rsidR="00447165" w:rsidRPr="006872E9" w:rsidRDefault="00447165" w:rsidP="00990216">
      <w:pPr>
        <w:spacing w:before="0" w:after="0"/>
        <w:rPr>
          <w:rFonts w:ascii="Arial" w:hAnsi="Arial" w:cs="Arial"/>
          <w:b/>
        </w:rPr>
      </w:pPr>
    </w:p>
    <w:p w:rsidR="006964AE" w:rsidRDefault="00181E31" w:rsidP="00990216">
      <w:pPr>
        <w:spacing w:before="0" w:after="0"/>
        <w:rPr>
          <w:rFonts w:ascii="Arial" w:hAnsi="Arial" w:cs="Arial"/>
        </w:rPr>
      </w:pPr>
      <w:r w:rsidRPr="00181E31">
        <w:rPr>
          <w:noProof/>
          <w:lang w:eastAsia="en-GB"/>
        </w:rPr>
        <w:drawing>
          <wp:inline distT="0" distB="0" distL="0" distR="0">
            <wp:extent cx="8863330" cy="3299076"/>
            <wp:effectExtent l="0" t="0" r="0" b="0"/>
            <wp:docPr id="247" name="Picture 247" descr="list of adjustments affecting usable reserves" title="2019/20 adjustments between accounting basis and regulatory b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63330" cy="3299076"/>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sz w:val="24"/>
          <w:szCs w:val="24"/>
        </w:rPr>
      </w:pPr>
      <w:r w:rsidRPr="00375FD4">
        <w:rPr>
          <w:rFonts w:ascii="Arial" w:hAnsi="Arial" w:cs="Arial"/>
        </w:rPr>
        <w:br w:type="page"/>
      </w: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rPr>
      </w:pPr>
    </w:p>
    <w:p w:rsidR="00990216" w:rsidRDefault="00E50759" w:rsidP="00990216">
      <w:pPr>
        <w:spacing w:before="0" w:after="0"/>
        <w:rPr>
          <w:rFonts w:ascii="Arial" w:hAnsi="Arial" w:cs="Arial"/>
          <w:b/>
        </w:rPr>
      </w:pPr>
      <w:r>
        <w:rPr>
          <w:rFonts w:ascii="Arial" w:hAnsi="Arial" w:cs="Arial"/>
          <w:b/>
        </w:rPr>
        <w:t>Note 3</w:t>
      </w:r>
      <w:r w:rsidR="00990216" w:rsidRPr="00375FD4">
        <w:rPr>
          <w:rFonts w:ascii="Arial" w:hAnsi="Arial" w:cs="Arial"/>
          <w:b/>
        </w:rPr>
        <w:t xml:space="preserve"> – Adjustments between funding accounting basis and funding basis under regulations (cont’d)</w:t>
      </w:r>
    </w:p>
    <w:p w:rsidR="006872E9" w:rsidRDefault="006872E9" w:rsidP="00990216">
      <w:pPr>
        <w:spacing w:before="0" w:after="0"/>
        <w:rPr>
          <w:rFonts w:ascii="Arial" w:hAnsi="Arial" w:cs="Arial"/>
          <w:b/>
        </w:rPr>
      </w:pPr>
    </w:p>
    <w:p w:rsidR="006872E9" w:rsidRPr="00375FD4" w:rsidRDefault="007D07BD" w:rsidP="00990216">
      <w:pPr>
        <w:spacing w:before="0" w:after="0"/>
        <w:rPr>
          <w:rFonts w:ascii="Arial" w:hAnsi="Arial" w:cs="Arial"/>
        </w:rPr>
      </w:pPr>
      <w:r>
        <w:rPr>
          <w:rFonts w:ascii="Arial" w:hAnsi="Arial" w:cs="Arial"/>
          <w:b/>
        </w:rPr>
        <w:t>2019/20</w:t>
      </w:r>
    </w:p>
    <w:p w:rsidR="00DD23A7" w:rsidRDefault="00DD23A7" w:rsidP="00973F41">
      <w:pPr>
        <w:spacing w:before="0" w:after="0"/>
        <w:ind w:left="-142"/>
        <w:rPr>
          <w:rFonts w:ascii="Arial" w:hAnsi="Arial" w:cs="Arial"/>
        </w:rPr>
      </w:pPr>
    </w:p>
    <w:p w:rsidR="007D07BD" w:rsidRPr="00375FD4" w:rsidRDefault="00847DC6" w:rsidP="00973F41">
      <w:pPr>
        <w:spacing w:before="0" w:after="0"/>
        <w:ind w:left="-142"/>
        <w:rPr>
          <w:rFonts w:ascii="Arial" w:hAnsi="Arial" w:cs="Arial"/>
        </w:rPr>
      </w:pPr>
      <w:r w:rsidRPr="00847DC6">
        <w:rPr>
          <w:noProof/>
          <w:lang w:eastAsia="en-GB"/>
        </w:rPr>
        <w:drawing>
          <wp:inline distT="0" distB="0" distL="0" distR="0">
            <wp:extent cx="9162537" cy="3559126"/>
            <wp:effectExtent l="0" t="0" r="635" b="3810"/>
            <wp:docPr id="25" name="Picture 25" descr="detail of the adjsutments between the income and expenditure statement and the final reserves position" title="note 3 - adjsutment between funding accounting basis and under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70653" cy="3562279"/>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sz w:val="24"/>
          <w:szCs w:val="24"/>
        </w:rPr>
      </w:pPr>
      <w:r w:rsidRPr="00375FD4">
        <w:rPr>
          <w:rFonts w:ascii="Arial" w:hAnsi="Arial" w:cs="Arial"/>
        </w:rPr>
        <w:br w:type="page"/>
      </w: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rPr>
      </w:pPr>
    </w:p>
    <w:p w:rsidR="00990216" w:rsidRDefault="00990216" w:rsidP="00990216">
      <w:pPr>
        <w:spacing w:before="0" w:after="0"/>
        <w:rPr>
          <w:rFonts w:ascii="Arial" w:hAnsi="Arial" w:cs="Arial"/>
          <w:b/>
        </w:rPr>
      </w:pPr>
      <w:r w:rsidRPr="00375FD4">
        <w:rPr>
          <w:rFonts w:ascii="Arial" w:hAnsi="Arial" w:cs="Arial"/>
          <w:b/>
        </w:rPr>
        <w:t xml:space="preserve">Note </w:t>
      </w:r>
      <w:r w:rsidR="00E50759">
        <w:rPr>
          <w:rFonts w:ascii="Arial" w:hAnsi="Arial" w:cs="Arial"/>
          <w:b/>
        </w:rPr>
        <w:t>3</w:t>
      </w:r>
      <w:r w:rsidRPr="00375FD4">
        <w:rPr>
          <w:rFonts w:ascii="Arial" w:hAnsi="Arial" w:cs="Arial"/>
          <w:b/>
        </w:rPr>
        <w:t xml:space="preserve"> – Adjustments between funding accounting basis and funding basis under regulations (cont’d)</w:t>
      </w:r>
    </w:p>
    <w:p w:rsidR="006872E9" w:rsidRDefault="006872E9" w:rsidP="00990216">
      <w:pPr>
        <w:spacing w:before="0" w:after="0"/>
        <w:rPr>
          <w:rFonts w:ascii="Arial" w:hAnsi="Arial" w:cs="Arial"/>
          <w:b/>
        </w:rPr>
      </w:pPr>
    </w:p>
    <w:p w:rsidR="006872E9" w:rsidRPr="00375FD4" w:rsidRDefault="007D07BD" w:rsidP="00990216">
      <w:pPr>
        <w:spacing w:before="0" w:after="0"/>
        <w:rPr>
          <w:rFonts w:ascii="Arial" w:hAnsi="Arial" w:cs="Arial"/>
        </w:rPr>
      </w:pPr>
      <w:r>
        <w:rPr>
          <w:rFonts w:ascii="Arial" w:hAnsi="Arial" w:cs="Arial"/>
          <w:b/>
        </w:rPr>
        <w:t>2018/19</w:t>
      </w:r>
      <w:r w:rsidR="00C715EB">
        <w:rPr>
          <w:rFonts w:ascii="Arial" w:hAnsi="Arial" w:cs="Arial"/>
          <w:b/>
        </w:rPr>
        <w:t xml:space="preserve"> </w:t>
      </w:r>
    </w:p>
    <w:p w:rsidR="00973F41" w:rsidRPr="00375FD4" w:rsidRDefault="007D07BD" w:rsidP="00973F41">
      <w:pPr>
        <w:spacing w:before="0" w:after="0"/>
        <w:ind w:left="-284"/>
        <w:rPr>
          <w:rFonts w:ascii="Arial" w:hAnsi="Arial" w:cs="Arial"/>
          <w:b/>
        </w:rPr>
      </w:pPr>
      <w:r w:rsidRPr="0005539D">
        <w:rPr>
          <w:noProof/>
          <w:lang w:eastAsia="en-GB"/>
        </w:rPr>
        <w:drawing>
          <wp:inline distT="0" distB="0" distL="0" distR="0" wp14:anchorId="7F664F89" wp14:editId="130636A1">
            <wp:extent cx="8863330" cy="3171190"/>
            <wp:effectExtent l="0" t="0" r="0" b="0"/>
            <wp:docPr id="145" name="Picture 145" descr="detail of the adjsutments between the income and expenditure statement and the final reserves position 2018/19 comparator" title="Adjustments between funding accounting basis and funding basis under reg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863330" cy="3171190"/>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sz w:val="24"/>
          <w:szCs w:val="24"/>
        </w:rPr>
      </w:pPr>
      <w:r w:rsidRPr="00375FD4">
        <w:rPr>
          <w:rFonts w:ascii="Arial" w:hAnsi="Arial" w:cs="Arial"/>
        </w:rPr>
        <w:br w:type="page"/>
      </w: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rPr>
      </w:pPr>
    </w:p>
    <w:p w:rsidR="00990216" w:rsidRDefault="00E50759" w:rsidP="00990216">
      <w:pPr>
        <w:spacing w:before="0" w:after="0"/>
        <w:rPr>
          <w:rFonts w:ascii="Arial" w:hAnsi="Arial" w:cs="Arial"/>
          <w:b/>
        </w:rPr>
      </w:pPr>
      <w:r>
        <w:rPr>
          <w:rFonts w:ascii="Arial" w:hAnsi="Arial" w:cs="Arial"/>
          <w:b/>
        </w:rPr>
        <w:t>Note 3</w:t>
      </w:r>
      <w:r w:rsidR="00990216" w:rsidRPr="00375FD4">
        <w:rPr>
          <w:rFonts w:ascii="Arial" w:hAnsi="Arial" w:cs="Arial"/>
          <w:b/>
        </w:rPr>
        <w:t xml:space="preserve"> – Adjustments between funding accounting basis and funding basis under regulations (cont’d)</w:t>
      </w:r>
    </w:p>
    <w:p w:rsidR="006872E9" w:rsidRDefault="006872E9" w:rsidP="00990216">
      <w:pPr>
        <w:spacing w:before="0" w:after="0"/>
        <w:rPr>
          <w:rFonts w:ascii="Arial" w:hAnsi="Arial" w:cs="Arial"/>
          <w:b/>
        </w:rPr>
      </w:pPr>
    </w:p>
    <w:p w:rsidR="002359C3" w:rsidRPr="00E247A8" w:rsidRDefault="007D07BD" w:rsidP="00990216">
      <w:pPr>
        <w:spacing w:before="0" w:after="0"/>
        <w:rPr>
          <w:rFonts w:ascii="Arial" w:hAnsi="Arial" w:cs="Arial"/>
          <w:b/>
        </w:rPr>
      </w:pPr>
      <w:r>
        <w:rPr>
          <w:rFonts w:ascii="Arial" w:hAnsi="Arial" w:cs="Arial"/>
          <w:b/>
        </w:rPr>
        <w:t>2018/19</w:t>
      </w:r>
      <w:r w:rsidR="00C715EB">
        <w:rPr>
          <w:rFonts w:ascii="Arial" w:hAnsi="Arial" w:cs="Arial"/>
          <w:b/>
        </w:rPr>
        <w:t xml:space="preserve"> </w:t>
      </w:r>
    </w:p>
    <w:p w:rsidR="00990216" w:rsidRDefault="00990216" w:rsidP="00990216">
      <w:pPr>
        <w:spacing w:before="0" w:after="0"/>
        <w:rPr>
          <w:noProof/>
          <w:lang w:eastAsia="en-GB"/>
        </w:rPr>
      </w:pPr>
    </w:p>
    <w:p w:rsidR="00447165" w:rsidRPr="00375FD4" w:rsidRDefault="007D07BD" w:rsidP="00990216">
      <w:pPr>
        <w:spacing w:before="0" w:after="0"/>
        <w:rPr>
          <w:rFonts w:ascii="Arial" w:hAnsi="Arial" w:cs="Arial"/>
          <w:b/>
        </w:rPr>
        <w:sectPr w:rsidR="00447165" w:rsidRPr="00375FD4">
          <w:pgSz w:w="16838" w:h="11906" w:orient="landscape"/>
          <w:pgMar w:top="1440" w:right="1440" w:bottom="1440" w:left="1440" w:header="720" w:footer="720" w:gutter="0"/>
          <w:cols w:space="720"/>
          <w:titlePg/>
          <w:docGrid w:linePitch="272"/>
        </w:sectPr>
      </w:pPr>
      <w:r w:rsidRPr="006365C4">
        <w:rPr>
          <w:noProof/>
          <w:lang w:eastAsia="en-GB"/>
        </w:rPr>
        <w:drawing>
          <wp:inline distT="0" distB="0" distL="0" distR="0" wp14:anchorId="4E74FC4B" wp14:editId="78FFB4EA">
            <wp:extent cx="8863330" cy="3615055"/>
            <wp:effectExtent l="0" t="0" r="0" b="4445"/>
            <wp:docPr id="146" name="Picture 146" descr="2018/19 comparator of detail of movements between the income and expenditure statement and the final reserves position" title="Adjustments between funding accounting basis and funding basis under regul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863330" cy="3615055"/>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sz w:val="24"/>
          <w:szCs w:val="24"/>
        </w:rPr>
      </w:pPr>
    </w:p>
    <w:p w:rsidR="00990216" w:rsidRPr="000A3446" w:rsidRDefault="00E50759" w:rsidP="00015834">
      <w:pPr>
        <w:pStyle w:val="Heading1"/>
        <w:spacing w:before="0"/>
        <w:rPr>
          <w:rFonts w:ascii="Arial" w:hAnsi="Arial" w:cs="Arial"/>
          <w:color w:val="auto"/>
          <w:sz w:val="20"/>
          <w:szCs w:val="20"/>
        </w:rPr>
      </w:pPr>
      <w:r>
        <w:rPr>
          <w:rFonts w:ascii="Arial" w:hAnsi="Arial" w:cs="Arial"/>
          <w:color w:val="auto"/>
          <w:sz w:val="20"/>
          <w:szCs w:val="20"/>
        </w:rPr>
        <w:t>Note 4</w:t>
      </w:r>
      <w:r w:rsidR="00990216" w:rsidRPr="000A3446">
        <w:rPr>
          <w:rFonts w:ascii="Arial" w:hAnsi="Arial" w:cs="Arial"/>
          <w:color w:val="auto"/>
          <w:sz w:val="20"/>
          <w:szCs w:val="20"/>
        </w:rPr>
        <w:t xml:space="preserve"> – Events After the Balance Sheet Date</w:t>
      </w:r>
    </w:p>
    <w:p w:rsidR="00990216" w:rsidRPr="00375FD4" w:rsidRDefault="00990216" w:rsidP="00990216">
      <w:pPr>
        <w:spacing w:before="0" w:after="0"/>
        <w:jc w:val="both"/>
        <w:rPr>
          <w:rFonts w:ascii="Arial" w:hAnsi="Arial" w:cs="Arial"/>
        </w:rPr>
      </w:pPr>
    </w:p>
    <w:p w:rsidR="00F8173A" w:rsidRDefault="00D50A13" w:rsidP="001F1E67">
      <w:pPr>
        <w:spacing w:before="0" w:after="0"/>
        <w:rPr>
          <w:rFonts w:ascii="Arial" w:hAnsi="Arial" w:cs="Arial"/>
          <w:lang w:val="en-US"/>
        </w:rPr>
      </w:pPr>
      <w:r w:rsidRPr="006C0C9A">
        <w:rPr>
          <w:rFonts w:ascii="Arial" w:hAnsi="Arial" w:cs="Arial"/>
        </w:rPr>
        <w:t>The</w:t>
      </w:r>
      <w:r w:rsidR="00A2284D">
        <w:rPr>
          <w:rFonts w:ascii="Arial" w:hAnsi="Arial" w:cs="Arial"/>
        </w:rPr>
        <w:t xml:space="preserve"> draft</w:t>
      </w:r>
      <w:r w:rsidRPr="006C0C9A">
        <w:rPr>
          <w:rFonts w:ascii="Arial" w:hAnsi="Arial" w:cs="Arial"/>
        </w:rPr>
        <w:t xml:space="preserve"> </w:t>
      </w:r>
      <w:r w:rsidR="00990216" w:rsidRPr="006C0C9A">
        <w:rPr>
          <w:rFonts w:ascii="Arial" w:hAnsi="Arial" w:cs="Arial"/>
        </w:rPr>
        <w:t xml:space="preserve">Financial Statements were authorised for issue by the </w:t>
      </w:r>
      <w:r w:rsidR="007E0365" w:rsidRPr="006C0C9A">
        <w:rPr>
          <w:rFonts w:ascii="Arial" w:hAnsi="Arial" w:cs="Arial"/>
        </w:rPr>
        <w:t xml:space="preserve">Strategic Lead - </w:t>
      </w:r>
      <w:r w:rsidR="00D73DDD" w:rsidRPr="006C0C9A">
        <w:rPr>
          <w:rFonts w:ascii="Arial" w:hAnsi="Arial" w:cs="Arial"/>
        </w:rPr>
        <w:t xml:space="preserve">Resources on </w:t>
      </w:r>
      <w:r w:rsidR="00A2284D">
        <w:rPr>
          <w:rFonts w:ascii="Arial" w:hAnsi="Arial" w:cs="Arial"/>
        </w:rPr>
        <w:t>30</w:t>
      </w:r>
      <w:r w:rsidR="009A309F" w:rsidRPr="006C0C9A">
        <w:rPr>
          <w:rFonts w:ascii="Arial" w:hAnsi="Arial" w:cs="Arial"/>
        </w:rPr>
        <w:t xml:space="preserve"> June</w:t>
      </w:r>
      <w:r w:rsidR="00164AD2">
        <w:rPr>
          <w:rFonts w:ascii="Arial" w:hAnsi="Arial" w:cs="Arial"/>
        </w:rPr>
        <w:t xml:space="preserve"> 2020</w:t>
      </w:r>
      <w:r w:rsidR="00990216" w:rsidRPr="006C0C9A">
        <w:rPr>
          <w:rFonts w:ascii="Arial" w:hAnsi="Arial" w:cs="Arial"/>
        </w:rPr>
        <w:t xml:space="preserve">. </w:t>
      </w:r>
      <w:r w:rsidR="00990216" w:rsidRPr="006C0C9A">
        <w:rPr>
          <w:rFonts w:ascii="Arial" w:hAnsi="Arial" w:cs="Arial"/>
          <w:lang w:val="en-US"/>
        </w:rPr>
        <w:t>Events taking place after this date are not reflected in the financial statements or notes. Where</w:t>
      </w:r>
      <w:r w:rsidR="00F8173A">
        <w:rPr>
          <w:rFonts w:ascii="Arial" w:hAnsi="Arial" w:cs="Arial"/>
          <w:lang w:val="en-US"/>
        </w:rPr>
        <w:t xml:space="preserve"> </w:t>
      </w:r>
      <w:r w:rsidR="00F8173A" w:rsidRPr="00657DC2">
        <w:rPr>
          <w:rFonts w:ascii="Arial" w:hAnsi="Arial" w:cs="Arial"/>
          <w:lang w:val="en-US"/>
        </w:rPr>
        <w:t>events taking place after</w:t>
      </w:r>
      <w:r w:rsidR="00990216" w:rsidRPr="00657DC2">
        <w:rPr>
          <w:rFonts w:ascii="Arial" w:hAnsi="Arial" w:cs="Arial"/>
          <w:lang w:val="en-US"/>
        </w:rPr>
        <w:t xml:space="preserve"> this date provide information about conditi</w:t>
      </w:r>
      <w:r w:rsidR="00164AD2">
        <w:rPr>
          <w:rFonts w:ascii="Arial" w:hAnsi="Arial" w:cs="Arial"/>
          <w:lang w:val="en-US"/>
        </w:rPr>
        <w:t>ons existing as at 31 March 2020</w:t>
      </w:r>
      <w:r w:rsidR="00F8173A" w:rsidRPr="00657DC2">
        <w:rPr>
          <w:rFonts w:ascii="Arial" w:hAnsi="Arial" w:cs="Arial"/>
          <w:lang w:val="en-US"/>
        </w:rPr>
        <w:t>,</w:t>
      </w:r>
      <w:r w:rsidR="00F8173A">
        <w:rPr>
          <w:rFonts w:ascii="Arial" w:hAnsi="Arial" w:cs="Arial"/>
          <w:lang w:val="en-US"/>
        </w:rPr>
        <w:t xml:space="preserve"> the figures in the Financial S</w:t>
      </w:r>
      <w:r w:rsidR="00990216" w:rsidRPr="00375FD4">
        <w:rPr>
          <w:rFonts w:ascii="Arial" w:hAnsi="Arial" w:cs="Arial"/>
          <w:lang w:val="en-US"/>
        </w:rPr>
        <w:t>tatements and notes have been adjusted in all material respects to reflect the impact of this information.</w:t>
      </w:r>
      <w:r w:rsidR="00F8173A">
        <w:rPr>
          <w:rFonts w:ascii="Arial" w:hAnsi="Arial" w:cs="Arial"/>
          <w:lang w:val="en-US"/>
        </w:rPr>
        <w:t xml:space="preserve"> </w:t>
      </w:r>
    </w:p>
    <w:p w:rsidR="00A2284D" w:rsidRDefault="00A2284D" w:rsidP="001F1E67">
      <w:pPr>
        <w:spacing w:before="0" w:after="0"/>
        <w:rPr>
          <w:rFonts w:ascii="Arial" w:hAnsi="Arial" w:cs="Arial"/>
          <w:lang w:val="en-US"/>
        </w:rPr>
      </w:pPr>
    </w:p>
    <w:p w:rsidR="00A2284D" w:rsidRDefault="00A2284D" w:rsidP="001F1E67">
      <w:pPr>
        <w:spacing w:before="0" w:after="0"/>
        <w:rPr>
          <w:rFonts w:ascii="Arial" w:hAnsi="Arial" w:cs="Arial"/>
          <w:lang w:val="en-US"/>
        </w:rPr>
      </w:pPr>
      <w:r>
        <w:rPr>
          <w:rFonts w:ascii="Arial" w:hAnsi="Arial" w:cs="Arial"/>
          <w:lang w:val="en-US"/>
        </w:rPr>
        <w:t>A revised pensions actuaries report was requested from the Pension Fund after the submission of the draft Financial Statements due to the material impact on the pensions valuation caused by some recent legal ruling within UK courts (McCloud). As a result of this, the Financial Statements were amended to reflect the new valuation.</w:t>
      </w:r>
    </w:p>
    <w:p w:rsidR="00F8173A" w:rsidRDefault="00F8173A" w:rsidP="001F1E67">
      <w:pPr>
        <w:spacing w:before="0" w:after="0"/>
        <w:rPr>
          <w:rFonts w:ascii="Arial" w:hAnsi="Arial" w:cs="Arial"/>
          <w:lang w:val="en-US"/>
        </w:rPr>
      </w:pPr>
    </w:p>
    <w:p w:rsidR="00990216" w:rsidRPr="000A3446" w:rsidRDefault="00E50759" w:rsidP="00015834">
      <w:pPr>
        <w:pStyle w:val="Heading1"/>
        <w:spacing w:before="0"/>
        <w:rPr>
          <w:rFonts w:ascii="Arial" w:hAnsi="Arial" w:cs="Arial"/>
          <w:color w:val="auto"/>
          <w:sz w:val="20"/>
          <w:szCs w:val="20"/>
        </w:rPr>
      </w:pPr>
      <w:r>
        <w:rPr>
          <w:rFonts w:ascii="Arial" w:hAnsi="Arial" w:cs="Arial"/>
          <w:color w:val="auto"/>
          <w:sz w:val="20"/>
          <w:szCs w:val="20"/>
        </w:rPr>
        <w:t>Note 5</w:t>
      </w:r>
      <w:r w:rsidR="00990216" w:rsidRPr="000A3446">
        <w:rPr>
          <w:rFonts w:ascii="Arial" w:hAnsi="Arial" w:cs="Arial"/>
          <w:color w:val="auto"/>
          <w:sz w:val="20"/>
          <w:szCs w:val="20"/>
        </w:rPr>
        <w:t xml:space="preserve"> – Trading Operations</w:t>
      </w:r>
    </w:p>
    <w:p w:rsidR="00015834" w:rsidRPr="00375FD4" w:rsidRDefault="00015834" w:rsidP="00015834">
      <w:pPr>
        <w:pStyle w:val="Heading1"/>
        <w:spacing w:before="0"/>
        <w:rPr>
          <w:rFonts w:ascii="Arial" w:hAnsi="Arial" w:cs="Arial"/>
          <w:color w:val="FF0000"/>
          <w:sz w:val="20"/>
          <w:szCs w:val="20"/>
        </w:rPr>
      </w:pPr>
    </w:p>
    <w:p w:rsidR="00990216" w:rsidRPr="00375FD4" w:rsidRDefault="00990216" w:rsidP="001F1E67">
      <w:pPr>
        <w:pStyle w:val="BodyTextIndent3"/>
        <w:spacing w:before="0" w:after="0"/>
        <w:ind w:left="0"/>
        <w:rPr>
          <w:rFonts w:ascii="Arial" w:hAnsi="Arial" w:cs="Arial"/>
          <w:sz w:val="20"/>
          <w:szCs w:val="20"/>
        </w:rPr>
      </w:pPr>
      <w:r w:rsidRPr="00375FD4">
        <w:rPr>
          <w:rFonts w:ascii="Arial" w:hAnsi="Arial" w:cs="Arial"/>
          <w:sz w:val="20"/>
          <w:szCs w:val="20"/>
        </w:rPr>
        <w:t xml:space="preserve">The Local Government Scotland Act 2003 repealed the legislation governing compulsory competitive tendering.  The Act introduced a requirement for statutory trading accounts to be maintained for “significant trading operations”.   A service is deemed to be a significant trading account where the service is provided in a competitive environment, it is charged on a basis other than straightforward recharge of cost and the service is deemed to be significant. </w:t>
      </w:r>
    </w:p>
    <w:p w:rsidR="00322A19" w:rsidRDefault="00322A19" w:rsidP="001F1E67">
      <w:pPr>
        <w:pStyle w:val="BodyTextIndent3"/>
        <w:spacing w:before="0" w:after="0"/>
        <w:ind w:left="0"/>
        <w:rPr>
          <w:rFonts w:ascii="Arial" w:hAnsi="Arial" w:cs="Arial"/>
          <w:sz w:val="20"/>
          <w:szCs w:val="20"/>
        </w:rPr>
      </w:pPr>
    </w:p>
    <w:p w:rsidR="00990216" w:rsidRPr="00375FD4" w:rsidRDefault="00B41878" w:rsidP="001F1E67">
      <w:pPr>
        <w:pStyle w:val="BodyTextIndent3"/>
        <w:spacing w:before="0" w:after="0"/>
        <w:ind w:left="0"/>
        <w:rPr>
          <w:rFonts w:ascii="Arial" w:hAnsi="Arial" w:cs="Arial"/>
          <w:sz w:val="20"/>
          <w:szCs w:val="20"/>
        </w:rPr>
      </w:pPr>
      <w:r>
        <w:rPr>
          <w:rFonts w:ascii="Arial" w:hAnsi="Arial" w:cs="Arial"/>
          <w:sz w:val="20"/>
          <w:szCs w:val="20"/>
        </w:rPr>
        <w:t>The c</w:t>
      </w:r>
      <w:r w:rsidR="00990216" w:rsidRPr="00375FD4">
        <w:rPr>
          <w:rFonts w:ascii="Arial" w:hAnsi="Arial" w:cs="Arial"/>
          <w:sz w:val="20"/>
          <w:szCs w:val="20"/>
        </w:rPr>
        <w:t xml:space="preserve">ouncil has established two trading units where the service manager is required to operate in a commercial environment and balance their budget by generating </w:t>
      </w:r>
      <w:r>
        <w:rPr>
          <w:rFonts w:ascii="Arial" w:hAnsi="Arial" w:cs="Arial"/>
          <w:sz w:val="20"/>
          <w:szCs w:val="20"/>
        </w:rPr>
        <w:t>income from other parts of the c</w:t>
      </w:r>
      <w:r w:rsidR="00990216" w:rsidRPr="00375FD4">
        <w:rPr>
          <w:rFonts w:ascii="Arial" w:hAnsi="Arial" w:cs="Arial"/>
          <w:sz w:val="20"/>
          <w:szCs w:val="20"/>
        </w:rPr>
        <w:t xml:space="preserve">ouncil or other organisations.  Details of those units are detailed below and these figures include an interest charge for the assets as noted within the accounting policies. It is the duty of a local </w:t>
      </w:r>
      <w:r w:rsidR="0060502C">
        <w:rPr>
          <w:rFonts w:ascii="Arial" w:hAnsi="Arial" w:cs="Arial"/>
          <w:sz w:val="20"/>
          <w:szCs w:val="20"/>
        </w:rPr>
        <w:t>c</w:t>
      </w:r>
      <w:r w:rsidR="00312456">
        <w:rPr>
          <w:rFonts w:ascii="Arial" w:hAnsi="Arial" w:cs="Arial"/>
          <w:sz w:val="20"/>
          <w:szCs w:val="20"/>
        </w:rPr>
        <w:t>ouncil</w:t>
      </w:r>
      <w:r w:rsidR="00990216" w:rsidRPr="00375FD4">
        <w:rPr>
          <w:rFonts w:ascii="Arial" w:hAnsi="Arial" w:cs="Arial"/>
          <w:sz w:val="20"/>
          <w:szCs w:val="20"/>
        </w:rPr>
        <w:t xml:space="preserve"> to conduct each of its significant trading operations so that, taking every year with the two previous years, total revenue is not less than expe</w:t>
      </w:r>
      <w:r w:rsidR="00164AD2">
        <w:rPr>
          <w:rFonts w:ascii="Arial" w:hAnsi="Arial" w:cs="Arial"/>
          <w:sz w:val="20"/>
          <w:szCs w:val="20"/>
        </w:rPr>
        <w:t>nditure.   The analysis for 2017/18</w:t>
      </w:r>
      <w:r w:rsidR="00990216" w:rsidRPr="00375FD4">
        <w:rPr>
          <w:rFonts w:ascii="Arial" w:hAnsi="Arial" w:cs="Arial"/>
          <w:sz w:val="20"/>
          <w:szCs w:val="20"/>
        </w:rPr>
        <w:t xml:space="preserve"> to 201</w:t>
      </w:r>
      <w:r w:rsidR="00164AD2">
        <w:rPr>
          <w:rFonts w:ascii="Arial" w:hAnsi="Arial" w:cs="Arial"/>
          <w:sz w:val="20"/>
          <w:szCs w:val="20"/>
        </w:rPr>
        <w:t>9/20</w:t>
      </w:r>
      <w:r w:rsidR="00990216" w:rsidRPr="00375FD4">
        <w:rPr>
          <w:rFonts w:ascii="Arial" w:hAnsi="Arial" w:cs="Arial"/>
          <w:sz w:val="20"/>
          <w:szCs w:val="20"/>
        </w:rPr>
        <w:t xml:space="preserve"> is as follows:</w:t>
      </w:r>
    </w:p>
    <w:p w:rsidR="00990216" w:rsidRPr="00375FD4" w:rsidRDefault="00990216" w:rsidP="001F1E67">
      <w:pPr>
        <w:pStyle w:val="BodyTextIndent3"/>
        <w:spacing w:before="0" w:after="0"/>
        <w:ind w:left="0"/>
        <w:rPr>
          <w:rFonts w:ascii="Arial" w:hAnsi="Arial" w:cs="Arial"/>
          <w:sz w:val="20"/>
          <w:szCs w:val="20"/>
        </w:rPr>
      </w:pPr>
    </w:p>
    <w:p w:rsidR="00990216" w:rsidRPr="00375FD4" w:rsidRDefault="00B41878" w:rsidP="001F1E67">
      <w:pPr>
        <w:pStyle w:val="BodyTextIndent3"/>
        <w:spacing w:before="0" w:after="0"/>
        <w:ind w:left="0"/>
        <w:rPr>
          <w:rFonts w:ascii="Arial" w:hAnsi="Arial" w:cs="Arial"/>
          <w:sz w:val="20"/>
          <w:szCs w:val="20"/>
        </w:rPr>
      </w:pPr>
      <w:r>
        <w:rPr>
          <w:rFonts w:ascii="Arial" w:hAnsi="Arial" w:cs="Arial"/>
          <w:sz w:val="20"/>
          <w:szCs w:val="20"/>
        </w:rPr>
        <w:t>The c</w:t>
      </w:r>
      <w:r w:rsidR="00990216" w:rsidRPr="00375FD4">
        <w:rPr>
          <w:rFonts w:ascii="Arial" w:hAnsi="Arial" w:cs="Arial"/>
          <w:sz w:val="20"/>
          <w:szCs w:val="20"/>
        </w:rPr>
        <w:t>ouncil operates a</w:t>
      </w:r>
      <w:r w:rsidR="00990216" w:rsidRPr="00375FD4">
        <w:rPr>
          <w:rFonts w:ascii="Arial" w:hAnsi="Arial" w:cs="Arial"/>
          <w:b/>
          <w:sz w:val="20"/>
          <w:szCs w:val="20"/>
        </w:rPr>
        <w:t xml:space="preserve"> Housing Property Maintenance Trading Service </w:t>
      </w:r>
      <w:r w:rsidR="00990216" w:rsidRPr="00375FD4">
        <w:rPr>
          <w:rFonts w:ascii="Arial" w:hAnsi="Arial" w:cs="Arial"/>
          <w:sz w:val="20"/>
          <w:szCs w:val="20"/>
        </w:rPr>
        <w:t xml:space="preserve">which delivers an economic, efficient and effective housing repairs service to its customers.  </w:t>
      </w:r>
    </w:p>
    <w:p w:rsidR="00990216" w:rsidRPr="00375FD4" w:rsidRDefault="00990216" w:rsidP="00990216">
      <w:pPr>
        <w:pStyle w:val="BodyTextIndent3"/>
        <w:spacing w:before="0" w:after="0"/>
        <w:ind w:left="718"/>
        <w:jc w:val="both"/>
        <w:rPr>
          <w:rFonts w:ascii="Arial" w:hAnsi="Arial" w:cs="Arial"/>
          <w:sz w:val="20"/>
          <w:szCs w:val="20"/>
        </w:rPr>
      </w:pPr>
    </w:p>
    <w:p w:rsidR="00015834" w:rsidRPr="00375FD4" w:rsidRDefault="00EB691C" w:rsidP="00F664F6">
      <w:pPr>
        <w:tabs>
          <w:tab w:val="left" w:pos="720"/>
        </w:tabs>
        <w:spacing w:before="0" w:after="0"/>
        <w:ind w:left="709" w:hanging="709"/>
        <w:jc w:val="both"/>
        <w:rPr>
          <w:rFonts w:ascii="Arial" w:hAnsi="Arial" w:cs="Arial"/>
        </w:rPr>
      </w:pPr>
      <w:r w:rsidRPr="00EB691C">
        <w:rPr>
          <w:noProof/>
          <w:lang w:eastAsia="en-GB"/>
        </w:rPr>
        <w:drawing>
          <wp:inline distT="0" distB="0" distL="0" distR="0">
            <wp:extent cx="4785995" cy="819150"/>
            <wp:effectExtent l="0" t="0" r="0" b="0"/>
            <wp:docPr id="248" name="Picture 248" descr="detail of surplus/ deficit of the HMTA trading operation" title="note 5 trading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85995" cy="819150"/>
                    </a:xfrm>
                    <a:prstGeom prst="rect">
                      <a:avLst/>
                    </a:prstGeom>
                    <a:noFill/>
                    <a:ln>
                      <a:noFill/>
                    </a:ln>
                  </pic:spPr>
                </pic:pic>
              </a:graphicData>
            </a:graphic>
          </wp:inline>
        </w:drawing>
      </w:r>
    </w:p>
    <w:p w:rsidR="00015834" w:rsidRPr="00375FD4" w:rsidRDefault="00015834" w:rsidP="00990216">
      <w:pPr>
        <w:tabs>
          <w:tab w:val="left" w:pos="720"/>
        </w:tabs>
        <w:spacing w:before="0" w:after="0"/>
        <w:ind w:left="709"/>
        <w:jc w:val="both"/>
        <w:rPr>
          <w:rFonts w:ascii="Arial" w:hAnsi="Arial" w:cs="Arial"/>
        </w:rPr>
      </w:pPr>
    </w:p>
    <w:p w:rsidR="00990216" w:rsidRPr="00375FD4" w:rsidRDefault="00B41878" w:rsidP="001F1E67">
      <w:pPr>
        <w:spacing w:before="0" w:after="0"/>
        <w:rPr>
          <w:rFonts w:ascii="Arial" w:hAnsi="Arial" w:cs="Arial"/>
        </w:rPr>
      </w:pPr>
      <w:r>
        <w:rPr>
          <w:rFonts w:ascii="Arial" w:hAnsi="Arial" w:cs="Arial"/>
        </w:rPr>
        <w:t>The c</w:t>
      </w:r>
      <w:r w:rsidR="00990216" w:rsidRPr="00375FD4">
        <w:rPr>
          <w:rFonts w:ascii="Arial" w:hAnsi="Arial" w:cs="Arial"/>
        </w:rPr>
        <w:t xml:space="preserve">ouncil operates a </w:t>
      </w:r>
      <w:r w:rsidR="00990216" w:rsidRPr="00375FD4">
        <w:rPr>
          <w:rFonts w:ascii="Arial" w:hAnsi="Arial" w:cs="Arial"/>
          <w:b/>
        </w:rPr>
        <w:t>Grounds Maintenance/Street Cleaning Trading Service</w:t>
      </w:r>
      <w:r w:rsidR="00990216" w:rsidRPr="00375FD4">
        <w:rPr>
          <w:rFonts w:ascii="Arial" w:hAnsi="Arial" w:cs="Arial"/>
        </w:rPr>
        <w:t xml:space="preserve"> which aims to make a positive impact on the health and wellbeing of residents and visitors to the area throu</w:t>
      </w:r>
      <w:r w:rsidR="0060502C">
        <w:rPr>
          <w:rFonts w:ascii="Arial" w:hAnsi="Arial" w:cs="Arial"/>
        </w:rPr>
        <w:t>gh cleaner and well maintained c</w:t>
      </w:r>
      <w:r w:rsidR="00990216" w:rsidRPr="00375FD4">
        <w:rPr>
          <w:rFonts w:ascii="Arial" w:hAnsi="Arial" w:cs="Arial"/>
        </w:rPr>
        <w:t>ouncil areas.</w:t>
      </w:r>
    </w:p>
    <w:p w:rsidR="00990216" w:rsidRPr="00375FD4" w:rsidRDefault="00990216" w:rsidP="001F1E67">
      <w:pPr>
        <w:spacing w:before="0" w:after="0"/>
        <w:rPr>
          <w:rFonts w:ascii="Arial" w:hAnsi="Arial" w:cs="Arial"/>
        </w:rPr>
      </w:pPr>
    </w:p>
    <w:p w:rsidR="00015834" w:rsidRPr="00375FD4" w:rsidRDefault="001E6D08" w:rsidP="001F1E67">
      <w:pPr>
        <w:spacing w:before="0" w:after="0"/>
        <w:rPr>
          <w:rFonts w:ascii="Arial" w:hAnsi="Arial" w:cs="Arial"/>
        </w:rPr>
      </w:pPr>
      <w:r w:rsidRPr="001E6D08">
        <w:rPr>
          <w:noProof/>
          <w:lang w:eastAsia="en-GB"/>
        </w:rPr>
        <w:drawing>
          <wp:inline distT="0" distB="0" distL="0" distR="0">
            <wp:extent cx="4657725" cy="1228725"/>
            <wp:effectExtent l="0" t="0" r="9525" b="9525"/>
            <wp:docPr id="251" name="Picture 251" descr="detail of surplus for the grounds maintenance trading account" title="note 5 trading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657725" cy="1228725"/>
                    </a:xfrm>
                    <a:prstGeom prst="rect">
                      <a:avLst/>
                    </a:prstGeom>
                    <a:noFill/>
                    <a:ln>
                      <a:noFill/>
                    </a:ln>
                  </pic:spPr>
                </pic:pic>
              </a:graphicData>
            </a:graphic>
          </wp:inline>
        </w:drawing>
      </w:r>
    </w:p>
    <w:p w:rsidR="00786CBB" w:rsidRDefault="00786CBB" w:rsidP="00786CBB">
      <w:pPr>
        <w:spacing w:before="0" w:after="0"/>
        <w:rPr>
          <w:rFonts w:ascii="Arial" w:hAnsi="Arial" w:cs="Arial"/>
        </w:rPr>
      </w:pPr>
    </w:p>
    <w:p w:rsidR="00786CBB" w:rsidRDefault="00B37F14" w:rsidP="00786CBB">
      <w:pPr>
        <w:spacing w:before="0" w:after="0"/>
        <w:rPr>
          <w:rFonts w:ascii="Arial" w:hAnsi="Arial" w:cs="Arial"/>
        </w:rPr>
      </w:pPr>
      <w:r w:rsidRPr="00375FD4">
        <w:rPr>
          <w:rFonts w:ascii="Arial" w:hAnsi="Arial" w:cs="Arial"/>
        </w:rPr>
        <w:t>The above table confirms that both trading accounts which have been statutory for more than three years, ha</w:t>
      </w:r>
      <w:r w:rsidR="00003B5F">
        <w:rPr>
          <w:rFonts w:ascii="Arial" w:hAnsi="Arial" w:cs="Arial"/>
        </w:rPr>
        <w:t xml:space="preserve">ve met the break even target. </w:t>
      </w:r>
      <w:r w:rsidR="00786CBB" w:rsidRPr="00375FD4">
        <w:rPr>
          <w:rFonts w:ascii="Arial" w:hAnsi="Arial" w:cs="Arial"/>
        </w:rPr>
        <w:t>The Trading Operations req</w:t>
      </w:r>
      <w:r w:rsidR="00786CBB">
        <w:rPr>
          <w:rFonts w:ascii="Arial" w:hAnsi="Arial" w:cs="Arial"/>
        </w:rPr>
        <w:t>uire to budget for estimated IAS</w:t>
      </w:r>
      <w:r w:rsidR="00786CBB" w:rsidRPr="00375FD4">
        <w:rPr>
          <w:rFonts w:ascii="Arial" w:hAnsi="Arial" w:cs="Arial"/>
        </w:rPr>
        <w:t>19 pe</w:t>
      </w:r>
      <w:r w:rsidR="00164AD2">
        <w:rPr>
          <w:rFonts w:ascii="Arial" w:hAnsi="Arial" w:cs="Arial"/>
        </w:rPr>
        <w:t>nsion expenditure. In 2019/20</w:t>
      </w:r>
      <w:r w:rsidR="00786CBB" w:rsidRPr="00375FD4">
        <w:rPr>
          <w:rFonts w:ascii="Arial" w:hAnsi="Arial" w:cs="Arial"/>
        </w:rPr>
        <w:t xml:space="preserve"> </w:t>
      </w:r>
      <w:r w:rsidR="00786CBB">
        <w:rPr>
          <w:rFonts w:ascii="Arial" w:hAnsi="Arial" w:cs="Arial"/>
        </w:rPr>
        <w:t>the actual I</w:t>
      </w:r>
      <w:r w:rsidR="00786CBB" w:rsidRPr="007566B6">
        <w:rPr>
          <w:rFonts w:ascii="Arial" w:hAnsi="Arial" w:cs="Arial"/>
        </w:rPr>
        <w:t>A</w:t>
      </w:r>
      <w:r w:rsidR="00786CBB">
        <w:rPr>
          <w:rFonts w:ascii="Arial" w:hAnsi="Arial" w:cs="Arial"/>
        </w:rPr>
        <w:t>S</w:t>
      </w:r>
      <w:r w:rsidR="00786CBB" w:rsidRPr="007566B6">
        <w:rPr>
          <w:rFonts w:ascii="Arial" w:hAnsi="Arial" w:cs="Arial"/>
        </w:rPr>
        <w:t>19 pension charge resulted in an increase to expenditure within the services,</w:t>
      </w:r>
      <w:r w:rsidR="00786CBB" w:rsidRPr="00375FD4">
        <w:rPr>
          <w:rFonts w:ascii="Arial" w:hAnsi="Arial" w:cs="Arial"/>
        </w:rPr>
        <w:t xml:space="preserve"> creating a reduced surplus</w:t>
      </w:r>
      <w:r w:rsidR="00565CD8">
        <w:rPr>
          <w:rFonts w:ascii="Arial" w:hAnsi="Arial" w:cs="Arial"/>
        </w:rPr>
        <w:t xml:space="preserve"> (or, for the H</w:t>
      </w:r>
      <w:r w:rsidR="002A7177">
        <w:rPr>
          <w:rFonts w:ascii="Arial" w:hAnsi="Arial" w:cs="Arial"/>
        </w:rPr>
        <w:t>ousing Property T</w:t>
      </w:r>
      <w:r w:rsidR="00565CD8">
        <w:rPr>
          <w:rFonts w:ascii="Arial" w:hAnsi="Arial" w:cs="Arial"/>
        </w:rPr>
        <w:t>rading Service,</w:t>
      </w:r>
      <w:r w:rsidR="00E50759">
        <w:rPr>
          <w:rFonts w:ascii="Arial" w:hAnsi="Arial" w:cs="Arial"/>
        </w:rPr>
        <w:t xml:space="preserve"> a loss)</w:t>
      </w:r>
      <w:r w:rsidR="00786CBB" w:rsidRPr="00375FD4">
        <w:rPr>
          <w:rFonts w:ascii="Arial" w:hAnsi="Arial" w:cs="Arial"/>
        </w:rPr>
        <w:t xml:space="preserve">. This adjustment does not bring cash into or take cash from the trading operation, but is a technical adjustment required for accounting regulations. Trading operations are incorporated into the Comprehensive Income and Expenditure Statement.  </w:t>
      </w:r>
    </w:p>
    <w:p w:rsidR="00164AD2" w:rsidRPr="00375FD4" w:rsidRDefault="00164AD2" w:rsidP="00164AD2">
      <w:pPr>
        <w:tabs>
          <w:tab w:val="left" w:pos="720"/>
        </w:tabs>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164AD2" w:rsidRDefault="00164AD2" w:rsidP="00015834">
      <w:pPr>
        <w:pStyle w:val="Heading1"/>
        <w:spacing w:before="0"/>
        <w:rPr>
          <w:rFonts w:ascii="Arial" w:hAnsi="Arial" w:cs="Arial"/>
          <w:color w:val="auto"/>
          <w:sz w:val="20"/>
          <w:szCs w:val="20"/>
        </w:rPr>
      </w:pPr>
    </w:p>
    <w:p w:rsidR="00990216" w:rsidRPr="000A3446" w:rsidRDefault="00E50759" w:rsidP="00015834">
      <w:pPr>
        <w:pStyle w:val="Heading1"/>
        <w:spacing w:before="0"/>
        <w:rPr>
          <w:rFonts w:ascii="Arial" w:hAnsi="Arial" w:cs="Arial"/>
          <w:color w:val="auto"/>
          <w:sz w:val="20"/>
          <w:szCs w:val="20"/>
        </w:rPr>
      </w:pPr>
      <w:r>
        <w:rPr>
          <w:rFonts w:ascii="Arial" w:hAnsi="Arial" w:cs="Arial"/>
          <w:color w:val="auto"/>
          <w:sz w:val="20"/>
          <w:szCs w:val="20"/>
        </w:rPr>
        <w:t>Note 6</w:t>
      </w:r>
      <w:r w:rsidR="00990216" w:rsidRPr="000A3446">
        <w:rPr>
          <w:rFonts w:ascii="Arial" w:hAnsi="Arial" w:cs="Arial"/>
          <w:color w:val="auto"/>
          <w:sz w:val="20"/>
          <w:szCs w:val="20"/>
        </w:rPr>
        <w:t xml:space="preserve"> – Related Parties</w:t>
      </w:r>
    </w:p>
    <w:p w:rsidR="00990216" w:rsidRPr="00375FD4" w:rsidRDefault="00990216" w:rsidP="00990216">
      <w:pPr>
        <w:pStyle w:val="Default"/>
        <w:spacing w:before="0" w:after="0"/>
        <w:rPr>
          <w:rFonts w:ascii="Arial" w:hAnsi="Arial" w:cs="Arial"/>
          <w:color w:val="auto"/>
          <w:sz w:val="20"/>
          <w:szCs w:val="20"/>
        </w:rPr>
      </w:pPr>
    </w:p>
    <w:p w:rsidR="00990216" w:rsidRPr="00375FD4" w:rsidRDefault="00F0035F" w:rsidP="001F1E67">
      <w:pPr>
        <w:pStyle w:val="Default"/>
        <w:spacing w:before="0" w:after="0"/>
        <w:rPr>
          <w:rFonts w:ascii="Arial" w:hAnsi="Arial" w:cs="Arial"/>
          <w:color w:val="auto"/>
          <w:sz w:val="20"/>
          <w:szCs w:val="20"/>
        </w:rPr>
      </w:pPr>
      <w:r>
        <w:rPr>
          <w:rFonts w:ascii="Arial" w:hAnsi="Arial" w:cs="Arial"/>
          <w:color w:val="auto"/>
          <w:sz w:val="20"/>
          <w:szCs w:val="20"/>
        </w:rPr>
        <w:t>The c</w:t>
      </w:r>
      <w:r w:rsidR="00990216" w:rsidRPr="00375FD4">
        <w:rPr>
          <w:rFonts w:ascii="Arial" w:hAnsi="Arial" w:cs="Arial"/>
          <w:color w:val="auto"/>
          <w:sz w:val="20"/>
          <w:szCs w:val="20"/>
        </w:rPr>
        <w:t>ouncil is required to disclose material transactions with related parties – bodies or individuals that have the potenti</w:t>
      </w:r>
      <w:r>
        <w:rPr>
          <w:rFonts w:ascii="Arial" w:hAnsi="Arial" w:cs="Arial"/>
          <w:color w:val="auto"/>
          <w:sz w:val="20"/>
          <w:szCs w:val="20"/>
        </w:rPr>
        <w:t>al to control or influence the c</w:t>
      </w:r>
      <w:r w:rsidR="00990216" w:rsidRPr="00375FD4">
        <w:rPr>
          <w:rFonts w:ascii="Arial" w:hAnsi="Arial" w:cs="Arial"/>
          <w:color w:val="auto"/>
          <w:sz w:val="20"/>
          <w:szCs w:val="20"/>
        </w:rPr>
        <w:t>ouncil or to be c</w:t>
      </w:r>
      <w:r w:rsidR="0060502C">
        <w:rPr>
          <w:rFonts w:ascii="Arial" w:hAnsi="Arial" w:cs="Arial"/>
          <w:color w:val="auto"/>
          <w:sz w:val="20"/>
          <w:szCs w:val="20"/>
        </w:rPr>
        <w:t>ontrolled or influenced by the</w:t>
      </w:r>
      <w:r>
        <w:rPr>
          <w:rFonts w:ascii="Arial" w:hAnsi="Arial" w:cs="Arial"/>
          <w:color w:val="auto"/>
          <w:sz w:val="20"/>
          <w:szCs w:val="20"/>
        </w:rPr>
        <w:t xml:space="preserve"> c</w:t>
      </w:r>
      <w:r w:rsidR="00990216" w:rsidRPr="00375FD4">
        <w:rPr>
          <w:rFonts w:ascii="Arial" w:hAnsi="Arial" w:cs="Arial"/>
          <w:color w:val="auto"/>
          <w:sz w:val="20"/>
          <w:szCs w:val="20"/>
        </w:rPr>
        <w:t xml:space="preserve">ouncil.  Disclosure of these transactions allows readers to </w:t>
      </w:r>
      <w:r w:rsidR="00BB69A3">
        <w:rPr>
          <w:rFonts w:ascii="Arial" w:hAnsi="Arial" w:cs="Arial"/>
          <w:color w:val="auto"/>
          <w:sz w:val="20"/>
          <w:szCs w:val="20"/>
        </w:rPr>
        <w:t xml:space="preserve">assess the extent to which the </w:t>
      </w:r>
      <w:r>
        <w:rPr>
          <w:rFonts w:ascii="Arial" w:hAnsi="Arial" w:cs="Arial"/>
          <w:color w:val="auto"/>
          <w:sz w:val="20"/>
          <w:szCs w:val="20"/>
        </w:rPr>
        <w:t>c</w:t>
      </w:r>
      <w:r w:rsidR="00990216" w:rsidRPr="00375FD4">
        <w:rPr>
          <w:rFonts w:ascii="Arial" w:hAnsi="Arial" w:cs="Arial"/>
          <w:color w:val="auto"/>
          <w:sz w:val="20"/>
          <w:szCs w:val="20"/>
        </w:rPr>
        <w:t>ouncil might have been constrained in its ability to operate independently or might have secured the ability to limit another party’s abil</w:t>
      </w:r>
      <w:r>
        <w:rPr>
          <w:rFonts w:ascii="Arial" w:hAnsi="Arial" w:cs="Arial"/>
          <w:color w:val="auto"/>
          <w:sz w:val="20"/>
          <w:szCs w:val="20"/>
        </w:rPr>
        <w:t>ity to bargain freely with the c</w:t>
      </w:r>
      <w:r w:rsidR="00990216" w:rsidRPr="00375FD4">
        <w:rPr>
          <w:rFonts w:ascii="Arial" w:hAnsi="Arial" w:cs="Arial"/>
          <w:color w:val="auto"/>
          <w:sz w:val="20"/>
          <w:szCs w:val="20"/>
        </w:rPr>
        <w:t xml:space="preserve">ouncil. </w:t>
      </w:r>
    </w:p>
    <w:p w:rsidR="00990216" w:rsidRPr="00375FD4" w:rsidRDefault="00990216" w:rsidP="001F1E67">
      <w:pPr>
        <w:pStyle w:val="Default"/>
        <w:spacing w:before="0" w:after="0"/>
        <w:rPr>
          <w:rFonts w:ascii="Arial" w:hAnsi="Arial" w:cs="Arial"/>
          <w:color w:val="auto"/>
          <w:sz w:val="20"/>
          <w:szCs w:val="20"/>
        </w:rPr>
      </w:pPr>
    </w:p>
    <w:p w:rsidR="00990216" w:rsidRPr="00375FD4" w:rsidRDefault="00990216" w:rsidP="001F1E67">
      <w:pPr>
        <w:pStyle w:val="Default"/>
        <w:spacing w:before="0" w:after="0"/>
        <w:rPr>
          <w:rFonts w:ascii="Arial" w:hAnsi="Arial" w:cs="Arial"/>
          <w:sz w:val="20"/>
          <w:szCs w:val="20"/>
        </w:rPr>
      </w:pPr>
      <w:r w:rsidRPr="00375FD4">
        <w:rPr>
          <w:rFonts w:ascii="Arial" w:hAnsi="Arial" w:cs="Arial"/>
          <w:b/>
          <w:bCs/>
          <w:sz w:val="20"/>
          <w:szCs w:val="20"/>
        </w:rPr>
        <w:t xml:space="preserve">Central and Scottish Government </w:t>
      </w:r>
    </w:p>
    <w:p w:rsidR="00990216" w:rsidRPr="00375FD4" w:rsidRDefault="00F0035F" w:rsidP="005D047B">
      <w:pPr>
        <w:pStyle w:val="Default"/>
        <w:spacing w:before="0" w:after="0"/>
        <w:rPr>
          <w:rFonts w:ascii="Arial" w:hAnsi="Arial" w:cs="Arial"/>
          <w:color w:val="auto"/>
          <w:sz w:val="20"/>
          <w:szCs w:val="20"/>
        </w:rPr>
      </w:pPr>
      <w:r w:rsidRPr="005F1F10">
        <w:rPr>
          <w:rFonts w:ascii="Arial" w:hAnsi="Arial" w:cs="Arial"/>
          <w:color w:val="auto"/>
          <w:sz w:val="20"/>
          <w:szCs w:val="20"/>
        </w:rPr>
        <w:t>The c</w:t>
      </w:r>
      <w:r w:rsidR="00891FF5" w:rsidRPr="005F1F10">
        <w:rPr>
          <w:rFonts w:ascii="Arial" w:hAnsi="Arial" w:cs="Arial"/>
          <w:color w:val="auto"/>
          <w:sz w:val="20"/>
          <w:szCs w:val="20"/>
        </w:rPr>
        <w:t>ouncil received £</w:t>
      </w:r>
      <w:r w:rsidR="00C445F5" w:rsidRPr="00C445F5">
        <w:rPr>
          <w:rFonts w:ascii="Arial" w:hAnsi="Arial" w:cs="Arial"/>
          <w:color w:val="auto"/>
          <w:sz w:val="20"/>
          <w:szCs w:val="20"/>
        </w:rPr>
        <w:t>188.418</w:t>
      </w:r>
      <w:r w:rsidR="00187C41" w:rsidRPr="00C445F5">
        <w:rPr>
          <w:rFonts w:ascii="Arial" w:hAnsi="Arial" w:cs="Arial"/>
          <w:color w:val="auto"/>
          <w:sz w:val="20"/>
          <w:szCs w:val="20"/>
        </w:rPr>
        <w:t>m</w:t>
      </w:r>
      <w:r w:rsidR="00164AD2" w:rsidRPr="00C445F5">
        <w:rPr>
          <w:rFonts w:ascii="Arial" w:hAnsi="Arial" w:cs="Arial"/>
          <w:color w:val="auto"/>
          <w:sz w:val="20"/>
          <w:szCs w:val="20"/>
        </w:rPr>
        <w:t xml:space="preserve"> (2018/19</w:t>
      </w:r>
      <w:r w:rsidR="00187C41" w:rsidRPr="005F1F10">
        <w:rPr>
          <w:rFonts w:ascii="Arial" w:hAnsi="Arial" w:cs="Arial"/>
          <w:color w:val="auto"/>
          <w:sz w:val="20"/>
          <w:szCs w:val="20"/>
        </w:rPr>
        <w:t xml:space="preserve"> £18</w:t>
      </w:r>
      <w:r w:rsidR="00164AD2">
        <w:rPr>
          <w:rFonts w:ascii="Arial" w:hAnsi="Arial" w:cs="Arial"/>
          <w:color w:val="auto"/>
          <w:sz w:val="20"/>
          <w:szCs w:val="20"/>
        </w:rPr>
        <w:t>3.571</w:t>
      </w:r>
      <w:r w:rsidR="00187C41" w:rsidRPr="005F1F10">
        <w:rPr>
          <w:rFonts w:ascii="Arial" w:hAnsi="Arial" w:cs="Arial"/>
          <w:color w:val="auto"/>
          <w:sz w:val="20"/>
          <w:szCs w:val="20"/>
        </w:rPr>
        <w:t>m) of reven</w:t>
      </w:r>
      <w:r w:rsidR="00E13A25" w:rsidRPr="005F1F10">
        <w:rPr>
          <w:rFonts w:ascii="Arial" w:hAnsi="Arial" w:cs="Arial"/>
          <w:color w:val="auto"/>
          <w:sz w:val="20"/>
          <w:szCs w:val="20"/>
        </w:rPr>
        <w:t xml:space="preserve">ue government grants </w:t>
      </w:r>
      <w:r w:rsidR="00E13A25" w:rsidRPr="00C33287">
        <w:rPr>
          <w:rFonts w:ascii="Arial" w:hAnsi="Arial" w:cs="Arial"/>
          <w:color w:val="auto"/>
          <w:sz w:val="20"/>
          <w:szCs w:val="20"/>
        </w:rPr>
        <w:t>and £</w:t>
      </w:r>
      <w:r w:rsidR="00C33287" w:rsidRPr="00C33287">
        <w:rPr>
          <w:rFonts w:ascii="Arial" w:hAnsi="Arial" w:cs="Arial"/>
          <w:color w:val="auto"/>
          <w:sz w:val="20"/>
          <w:szCs w:val="20"/>
        </w:rPr>
        <w:t>27.338</w:t>
      </w:r>
      <w:r w:rsidR="00B3002B" w:rsidRPr="00C33287">
        <w:rPr>
          <w:rFonts w:ascii="Arial" w:hAnsi="Arial" w:cs="Arial"/>
          <w:color w:val="auto"/>
          <w:sz w:val="20"/>
          <w:szCs w:val="20"/>
        </w:rPr>
        <w:t>m</w:t>
      </w:r>
      <w:r w:rsidR="00164AD2">
        <w:rPr>
          <w:rFonts w:ascii="Arial" w:hAnsi="Arial" w:cs="Arial"/>
          <w:color w:val="auto"/>
          <w:sz w:val="20"/>
          <w:szCs w:val="20"/>
        </w:rPr>
        <w:t xml:space="preserve"> (2018/19</w:t>
      </w:r>
      <w:r w:rsidR="00187C41" w:rsidRPr="00187C41">
        <w:rPr>
          <w:rFonts w:ascii="Arial" w:hAnsi="Arial" w:cs="Arial"/>
          <w:color w:val="auto"/>
          <w:sz w:val="20"/>
          <w:szCs w:val="20"/>
        </w:rPr>
        <w:t xml:space="preserve"> £</w:t>
      </w:r>
      <w:r w:rsidR="00164AD2">
        <w:rPr>
          <w:rFonts w:ascii="Arial" w:hAnsi="Arial" w:cs="Arial"/>
          <w:color w:val="auto"/>
          <w:sz w:val="20"/>
          <w:szCs w:val="20"/>
        </w:rPr>
        <w:t>16.743</w:t>
      </w:r>
      <w:r w:rsidR="00187C41" w:rsidRPr="00187C41">
        <w:rPr>
          <w:rFonts w:ascii="Arial" w:hAnsi="Arial" w:cs="Arial"/>
          <w:color w:val="auto"/>
          <w:sz w:val="20"/>
          <w:szCs w:val="20"/>
        </w:rPr>
        <w:t xml:space="preserve">m) of capital grants from the Scottish </w:t>
      </w:r>
      <w:r w:rsidR="00187C41" w:rsidRPr="006D0626">
        <w:rPr>
          <w:rFonts w:ascii="Arial" w:hAnsi="Arial" w:cs="Arial"/>
          <w:color w:val="auto"/>
          <w:sz w:val="20"/>
          <w:szCs w:val="20"/>
        </w:rPr>
        <w:t>Gover</w:t>
      </w:r>
      <w:r w:rsidR="006D0626" w:rsidRPr="006D0626">
        <w:rPr>
          <w:rFonts w:ascii="Arial" w:hAnsi="Arial" w:cs="Arial"/>
          <w:color w:val="auto"/>
          <w:sz w:val="20"/>
          <w:szCs w:val="20"/>
        </w:rPr>
        <w:t>nment (with</w:t>
      </w:r>
      <w:r w:rsidR="005D047B">
        <w:rPr>
          <w:rFonts w:ascii="Arial" w:hAnsi="Arial" w:cs="Arial"/>
          <w:color w:val="auto"/>
          <w:sz w:val="20"/>
          <w:szCs w:val="20"/>
        </w:rPr>
        <w:t xml:space="preserve"> </w:t>
      </w:r>
      <w:r w:rsidR="00C33287">
        <w:rPr>
          <w:rFonts w:ascii="Arial" w:hAnsi="Arial" w:cs="Arial"/>
          <w:color w:val="auto"/>
          <w:sz w:val="20"/>
          <w:szCs w:val="20"/>
        </w:rPr>
        <w:t>£1.124m</w:t>
      </w:r>
      <w:r w:rsidRPr="006D0626">
        <w:rPr>
          <w:rFonts w:ascii="Arial" w:hAnsi="Arial" w:cs="Arial"/>
          <w:color w:val="auto"/>
          <w:sz w:val="20"/>
          <w:szCs w:val="20"/>
        </w:rPr>
        <w:t xml:space="preserve"> due to the c</w:t>
      </w:r>
      <w:r w:rsidR="00187C41" w:rsidRPr="006D0626">
        <w:rPr>
          <w:rFonts w:ascii="Arial" w:hAnsi="Arial" w:cs="Arial"/>
          <w:color w:val="auto"/>
          <w:sz w:val="20"/>
          <w:szCs w:val="20"/>
        </w:rPr>
        <w:t xml:space="preserve">ouncil at </w:t>
      </w:r>
      <w:r w:rsidR="00187C41" w:rsidRPr="002F71F3">
        <w:rPr>
          <w:rFonts w:ascii="Arial" w:hAnsi="Arial" w:cs="Arial"/>
          <w:color w:val="auto"/>
          <w:sz w:val="20"/>
          <w:szCs w:val="20"/>
        </w:rPr>
        <w:t>the year end); and other grants</w:t>
      </w:r>
      <w:r w:rsidR="00891FF5" w:rsidRPr="002F71F3">
        <w:rPr>
          <w:rFonts w:ascii="Arial" w:hAnsi="Arial" w:cs="Arial"/>
          <w:color w:val="auto"/>
          <w:sz w:val="20"/>
          <w:szCs w:val="20"/>
        </w:rPr>
        <w:t xml:space="preserve"> </w:t>
      </w:r>
      <w:r w:rsidR="00891FF5" w:rsidRPr="00C33287">
        <w:rPr>
          <w:rFonts w:ascii="Arial" w:hAnsi="Arial" w:cs="Arial"/>
          <w:color w:val="auto"/>
          <w:sz w:val="20"/>
          <w:szCs w:val="20"/>
        </w:rPr>
        <w:t>of £</w:t>
      </w:r>
      <w:r w:rsidR="00C33287" w:rsidRPr="00C33287">
        <w:rPr>
          <w:rFonts w:ascii="Arial" w:hAnsi="Arial" w:cs="Arial"/>
          <w:color w:val="auto"/>
          <w:sz w:val="20"/>
          <w:szCs w:val="20"/>
        </w:rPr>
        <w:t>53.675</w:t>
      </w:r>
      <w:r w:rsidR="005D047B" w:rsidRPr="00C33287">
        <w:rPr>
          <w:rFonts w:ascii="Arial" w:hAnsi="Arial" w:cs="Arial"/>
          <w:color w:val="auto"/>
          <w:sz w:val="20"/>
          <w:szCs w:val="20"/>
        </w:rPr>
        <w:t>m (2018</w:t>
      </w:r>
      <w:r w:rsidR="005D047B">
        <w:rPr>
          <w:rFonts w:ascii="Arial" w:hAnsi="Arial" w:cs="Arial"/>
          <w:color w:val="auto"/>
          <w:sz w:val="20"/>
          <w:szCs w:val="20"/>
        </w:rPr>
        <w:t>/19</w:t>
      </w:r>
      <w:r w:rsidR="00187C41" w:rsidRPr="002F71F3">
        <w:rPr>
          <w:rFonts w:ascii="Arial" w:hAnsi="Arial" w:cs="Arial"/>
          <w:color w:val="auto"/>
          <w:sz w:val="20"/>
          <w:szCs w:val="20"/>
        </w:rPr>
        <w:t xml:space="preserve"> £</w:t>
      </w:r>
      <w:r w:rsidR="005D047B">
        <w:rPr>
          <w:rFonts w:ascii="Arial" w:hAnsi="Arial" w:cs="Arial"/>
          <w:color w:val="auto"/>
          <w:sz w:val="20"/>
          <w:szCs w:val="20"/>
        </w:rPr>
        <w:t>53.147</w:t>
      </w:r>
      <w:r w:rsidR="00187C41" w:rsidRPr="002F71F3">
        <w:rPr>
          <w:rFonts w:ascii="Arial" w:hAnsi="Arial" w:cs="Arial"/>
          <w:color w:val="auto"/>
          <w:sz w:val="20"/>
          <w:szCs w:val="20"/>
        </w:rPr>
        <w:t>m) as</w:t>
      </w:r>
      <w:r w:rsidR="00187C41" w:rsidRPr="00187C41">
        <w:rPr>
          <w:rFonts w:ascii="Arial" w:hAnsi="Arial" w:cs="Arial"/>
          <w:color w:val="auto"/>
          <w:sz w:val="20"/>
          <w:szCs w:val="20"/>
        </w:rPr>
        <w:t xml:space="preserve"> shown in Note </w:t>
      </w:r>
      <w:r w:rsidR="002A7177">
        <w:rPr>
          <w:rFonts w:ascii="Arial" w:hAnsi="Arial" w:cs="Arial"/>
          <w:color w:val="auto"/>
          <w:sz w:val="20"/>
          <w:szCs w:val="20"/>
        </w:rPr>
        <w:t>8</w:t>
      </w:r>
      <w:r w:rsidR="00187C41" w:rsidRPr="00187C41">
        <w:rPr>
          <w:rFonts w:ascii="Arial" w:hAnsi="Arial" w:cs="Arial"/>
          <w:color w:val="auto"/>
          <w:sz w:val="20"/>
          <w:szCs w:val="20"/>
        </w:rPr>
        <w:t xml:space="preserve"> Grant I</w:t>
      </w:r>
      <w:r>
        <w:rPr>
          <w:rFonts w:ascii="Arial" w:hAnsi="Arial" w:cs="Arial"/>
          <w:color w:val="auto"/>
          <w:sz w:val="20"/>
          <w:szCs w:val="20"/>
        </w:rPr>
        <w:t xml:space="preserve">ncome </w:t>
      </w:r>
      <w:r w:rsidR="005441C2">
        <w:rPr>
          <w:rFonts w:ascii="Arial" w:hAnsi="Arial" w:cs="Arial"/>
          <w:color w:val="auto"/>
          <w:sz w:val="20"/>
          <w:szCs w:val="20"/>
        </w:rPr>
        <w:t>(</w:t>
      </w:r>
      <w:r w:rsidR="005441C2" w:rsidRPr="00C33287">
        <w:rPr>
          <w:rFonts w:ascii="Arial" w:hAnsi="Arial" w:cs="Arial"/>
          <w:color w:val="auto"/>
          <w:sz w:val="20"/>
          <w:szCs w:val="20"/>
        </w:rPr>
        <w:t>with £</w:t>
      </w:r>
      <w:r w:rsidR="00C33287" w:rsidRPr="00C33287">
        <w:rPr>
          <w:rFonts w:ascii="Arial" w:hAnsi="Arial" w:cs="Arial"/>
          <w:color w:val="auto"/>
          <w:sz w:val="20"/>
          <w:szCs w:val="20"/>
        </w:rPr>
        <w:t>0.262</w:t>
      </w:r>
      <w:r w:rsidRPr="00C33287">
        <w:rPr>
          <w:rFonts w:ascii="Arial" w:hAnsi="Arial" w:cs="Arial"/>
          <w:color w:val="auto"/>
          <w:sz w:val="20"/>
          <w:szCs w:val="20"/>
        </w:rPr>
        <w:t>m due</w:t>
      </w:r>
      <w:r w:rsidRPr="00AA5531">
        <w:rPr>
          <w:rFonts w:ascii="Arial" w:hAnsi="Arial" w:cs="Arial"/>
          <w:color w:val="auto"/>
          <w:sz w:val="20"/>
          <w:szCs w:val="20"/>
        </w:rPr>
        <w:t xml:space="preserve"> to the c</w:t>
      </w:r>
      <w:r w:rsidR="00187C41" w:rsidRPr="00AA5531">
        <w:rPr>
          <w:rFonts w:ascii="Arial" w:hAnsi="Arial" w:cs="Arial"/>
          <w:color w:val="auto"/>
          <w:sz w:val="20"/>
          <w:szCs w:val="20"/>
        </w:rPr>
        <w:t>ouncil</w:t>
      </w:r>
      <w:r w:rsidR="00187C41" w:rsidRPr="00187C41">
        <w:rPr>
          <w:rFonts w:ascii="Arial" w:hAnsi="Arial" w:cs="Arial"/>
          <w:color w:val="auto"/>
          <w:sz w:val="20"/>
          <w:szCs w:val="20"/>
        </w:rPr>
        <w:t xml:space="preserve"> at the year end)</w:t>
      </w:r>
      <w:r w:rsidR="00990216" w:rsidRPr="00375FD4">
        <w:rPr>
          <w:rFonts w:ascii="Arial" w:hAnsi="Arial" w:cs="Arial"/>
          <w:color w:val="auto"/>
          <w:sz w:val="20"/>
          <w:szCs w:val="20"/>
        </w:rPr>
        <w:t xml:space="preserve">. </w:t>
      </w:r>
    </w:p>
    <w:p w:rsidR="00990216" w:rsidRPr="00375FD4" w:rsidRDefault="00990216" w:rsidP="001F1E67">
      <w:pPr>
        <w:pStyle w:val="Default"/>
        <w:spacing w:before="0" w:after="0"/>
        <w:rPr>
          <w:rFonts w:ascii="Arial" w:hAnsi="Arial" w:cs="Arial"/>
          <w:color w:val="auto"/>
          <w:sz w:val="20"/>
          <w:szCs w:val="20"/>
        </w:rPr>
      </w:pPr>
    </w:p>
    <w:p w:rsidR="00990216" w:rsidRPr="00375FD4" w:rsidRDefault="00990216" w:rsidP="001F1E67">
      <w:pPr>
        <w:pStyle w:val="Default"/>
        <w:spacing w:before="0" w:after="0"/>
        <w:rPr>
          <w:rFonts w:ascii="Arial" w:hAnsi="Arial" w:cs="Arial"/>
          <w:sz w:val="20"/>
          <w:szCs w:val="20"/>
        </w:rPr>
      </w:pPr>
      <w:r w:rsidRPr="00375FD4">
        <w:rPr>
          <w:rFonts w:ascii="Arial" w:hAnsi="Arial" w:cs="Arial"/>
          <w:b/>
          <w:bCs/>
          <w:sz w:val="20"/>
          <w:szCs w:val="20"/>
        </w:rPr>
        <w:t xml:space="preserve">Strathclyde Pension Fund </w:t>
      </w:r>
    </w:p>
    <w:p w:rsidR="00990216" w:rsidRPr="00375FD4" w:rsidRDefault="00F0035F" w:rsidP="001F1E67">
      <w:pPr>
        <w:pStyle w:val="Default"/>
        <w:spacing w:before="0" w:after="0"/>
        <w:rPr>
          <w:rFonts w:ascii="Arial" w:hAnsi="Arial" w:cs="Arial"/>
          <w:color w:val="auto"/>
          <w:sz w:val="20"/>
          <w:szCs w:val="20"/>
        </w:rPr>
      </w:pPr>
      <w:r>
        <w:rPr>
          <w:rFonts w:ascii="Arial" w:hAnsi="Arial" w:cs="Arial"/>
          <w:color w:val="auto"/>
          <w:sz w:val="20"/>
          <w:szCs w:val="20"/>
        </w:rPr>
        <w:t>The c</w:t>
      </w:r>
      <w:r w:rsidR="00990216" w:rsidRPr="00375FD4">
        <w:rPr>
          <w:rFonts w:ascii="Arial" w:hAnsi="Arial" w:cs="Arial"/>
          <w:color w:val="auto"/>
          <w:sz w:val="20"/>
          <w:szCs w:val="20"/>
        </w:rPr>
        <w:t>ouncil is an admitted body to the local government pension scheme and has m</w:t>
      </w:r>
      <w:r w:rsidR="00386EC7">
        <w:rPr>
          <w:rFonts w:ascii="Arial" w:hAnsi="Arial" w:cs="Arial"/>
          <w:color w:val="auto"/>
          <w:sz w:val="20"/>
          <w:szCs w:val="20"/>
        </w:rPr>
        <w:t xml:space="preserve">ade payments as shown in Note </w:t>
      </w:r>
      <w:r w:rsidR="002A7177">
        <w:rPr>
          <w:rFonts w:ascii="Arial" w:hAnsi="Arial" w:cs="Arial"/>
          <w:color w:val="auto"/>
          <w:sz w:val="20"/>
          <w:szCs w:val="20"/>
        </w:rPr>
        <w:t>11</w:t>
      </w:r>
      <w:r w:rsidR="00990216" w:rsidRPr="00375FD4">
        <w:rPr>
          <w:rFonts w:ascii="Arial" w:hAnsi="Arial" w:cs="Arial"/>
          <w:color w:val="auto"/>
          <w:sz w:val="20"/>
          <w:szCs w:val="20"/>
        </w:rPr>
        <w:t xml:space="preserve"> Defined Benefit Pension Schemes.  The balance owed to the </w:t>
      </w:r>
      <w:r w:rsidR="00990216" w:rsidRPr="00187C41">
        <w:rPr>
          <w:rFonts w:ascii="Arial" w:hAnsi="Arial" w:cs="Arial"/>
          <w:color w:val="auto"/>
          <w:sz w:val="20"/>
          <w:szCs w:val="20"/>
        </w:rPr>
        <w:t xml:space="preserve">pension fund at the </w:t>
      </w:r>
      <w:r w:rsidR="00990216" w:rsidRPr="005F1F10">
        <w:rPr>
          <w:rFonts w:ascii="Arial" w:hAnsi="Arial" w:cs="Arial"/>
          <w:color w:val="auto"/>
          <w:sz w:val="20"/>
          <w:szCs w:val="20"/>
        </w:rPr>
        <w:t xml:space="preserve">year end </w:t>
      </w:r>
      <w:r w:rsidR="00990216" w:rsidRPr="00C33287">
        <w:rPr>
          <w:rFonts w:ascii="Arial" w:hAnsi="Arial" w:cs="Arial"/>
          <w:color w:val="auto"/>
          <w:sz w:val="20"/>
          <w:szCs w:val="20"/>
        </w:rPr>
        <w:t>was £</w:t>
      </w:r>
      <w:r w:rsidR="00C33287" w:rsidRPr="00C33287">
        <w:rPr>
          <w:rFonts w:ascii="Arial" w:hAnsi="Arial" w:cs="Arial"/>
          <w:color w:val="auto"/>
          <w:sz w:val="20"/>
          <w:szCs w:val="20"/>
        </w:rPr>
        <w:t>1.879</w:t>
      </w:r>
      <w:r w:rsidR="00990216" w:rsidRPr="00C33287">
        <w:rPr>
          <w:rFonts w:ascii="Arial" w:hAnsi="Arial" w:cs="Arial"/>
          <w:color w:val="auto"/>
          <w:sz w:val="20"/>
          <w:szCs w:val="20"/>
        </w:rPr>
        <w:t>m.</w:t>
      </w:r>
      <w:r w:rsidR="00990216" w:rsidRPr="00375FD4">
        <w:rPr>
          <w:rFonts w:ascii="Arial" w:hAnsi="Arial" w:cs="Arial"/>
          <w:color w:val="auto"/>
          <w:sz w:val="20"/>
          <w:szCs w:val="20"/>
        </w:rPr>
        <w:t xml:space="preserve"> </w:t>
      </w:r>
    </w:p>
    <w:p w:rsidR="00990216" w:rsidRPr="00375FD4" w:rsidRDefault="00990216" w:rsidP="001F1E67">
      <w:pPr>
        <w:pStyle w:val="Default"/>
        <w:spacing w:before="0" w:after="0"/>
        <w:rPr>
          <w:rFonts w:ascii="Arial" w:hAnsi="Arial" w:cs="Arial"/>
          <w:color w:val="auto"/>
          <w:sz w:val="20"/>
          <w:szCs w:val="20"/>
        </w:rPr>
      </w:pPr>
    </w:p>
    <w:p w:rsidR="00990216" w:rsidRPr="00375FD4" w:rsidRDefault="00990216" w:rsidP="001F1E67">
      <w:pPr>
        <w:pStyle w:val="Default"/>
        <w:spacing w:before="0" w:after="0"/>
        <w:rPr>
          <w:rFonts w:ascii="Arial" w:hAnsi="Arial" w:cs="Arial"/>
          <w:sz w:val="20"/>
          <w:szCs w:val="20"/>
        </w:rPr>
      </w:pPr>
      <w:r w:rsidRPr="00375FD4">
        <w:rPr>
          <w:rFonts w:ascii="Arial" w:hAnsi="Arial" w:cs="Arial"/>
          <w:b/>
          <w:bCs/>
          <w:sz w:val="20"/>
          <w:szCs w:val="20"/>
        </w:rPr>
        <w:t xml:space="preserve">Joint Boards </w:t>
      </w:r>
    </w:p>
    <w:p w:rsidR="00990216" w:rsidRDefault="00F0035F" w:rsidP="001F1E67">
      <w:pPr>
        <w:pStyle w:val="Default"/>
        <w:spacing w:before="0" w:after="0"/>
        <w:rPr>
          <w:rFonts w:ascii="Arial" w:hAnsi="Arial" w:cs="Arial"/>
          <w:color w:val="auto"/>
          <w:sz w:val="20"/>
          <w:szCs w:val="20"/>
        </w:rPr>
      </w:pPr>
      <w:r>
        <w:rPr>
          <w:rFonts w:ascii="Arial" w:hAnsi="Arial" w:cs="Arial"/>
          <w:color w:val="auto"/>
          <w:sz w:val="20"/>
          <w:szCs w:val="20"/>
        </w:rPr>
        <w:t>The c</w:t>
      </w:r>
      <w:r w:rsidR="00990216" w:rsidRPr="00375FD4">
        <w:rPr>
          <w:rFonts w:ascii="Arial" w:hAnsi="Arial" w:cs="Arial"/>
          <w:color w:val="auto"/>
          <w:sz w:val="20"/>
          <w:szCs w:val="20"/>
        </w:rPr>
        <w:t>ouncil is a member of th</w:t>
      </w:r>
      <w:r w:rsidR="00E247A8">
        <w:rPr>
          <w:rFonts w:ascii="Arial" w:hAnsi="Arial" w:cs="Arial"/>
          <w:color w:val="auto"/>
          <w:sz w:val="20"/>
          <w:szCs w:val="20"/>
        </w:rPr>
        <w:t>e Joint Boards for Valuation and</w:t>
      </w:r>
      <w:r w:rsidR="00990216" w:rsidRPr="00375FD4">
        <w:rPr>
          <w:rFonts w:ascii="Arial" w:hAnsi="Arial" w:cs="Arial"/>
          <w:color w:val="auto"/>
          <w:sz w:val="20"/>
          <w:szCs w:val="20"/>
        </w:rPr>
        <w:t xml:space="preserve"> Strathclyde Partnership for Transport</w:t>
      </w:r>
      <w:r w:rsidR="00E247A8">
        <w:rPr>
          <w:rFonts w:ascii="Arial" w:hAnsi="Arial" w:cs="Arial"/>
          <w:color w:val="auto"/>
          <w:sz w:val="20"/>
          <w:szCs w:val="20"/>
        </w:rPr>
        <w:t xml:space="preserve"> and t</w:t>
      </w:r>
      <w:r>
        <w:rPr>
          <w:rFonts w:ascii="Arial" w:hAnsi="Arial" w:cs="Arial"/>
          <w:color w:val="auto"/>
          <w:sz w:val="20"/>
          <w:szCs w:val="20"/>
        </w:rPr>
        <w:t>he c</w:t>
      </w:r>
      <w:r w:rsidR="00990216" w:rsidRPr="00375FD4">
        <w:rPr>
          <w:rFonts w:ascii="Arial" w:hAnsi="Arial" w:cs="Arial"/>
          <w:color w:val="auto"/>
          <w:sz w:val="20"/>
          <w:szCs w:val="20"/>
        </w:rPr>
        <w:t xml:space="preserve">ouncil’s contributions are disclosed </w:t>
      </w:r>
      <w:r w:rsidR="00E247A8">
        <w:rPr>
          <w:rFonts w:ascii="Arial" w:hAnsi="Arial" w:cs="Arial"/>
          <w:color w:val="auto"/>
          <w:sz w:val="20"/>
          <w:szCs w:val="20"/>
        </w:rPr>
        <w:t>with</w:t>
      </w:r>
      <w:r w:rsidR="00990216" w:rsidRPr="00375FD4">
        <w:rPr>
          <w:rFonts w:ascii="Arial" w:hAnsi="Arial" w:cs="Arial"/>
          <w:color w:val="auto"/>
          <w:sz w:val="20"/>
          <w:szCs w:val="20"/>
        </w:rPr>
        <w:t>in the Group Accounts</w:t>
      </w:r>
      <w:r w:rsidR="00990216" w:rsidRPr="00375FD4">
        <w:rPr>
          <w:rFonts w:ascii="Arial" w:hAnsi="Arial" w:cs="Arial"/>
          <w:sz w:val="20"/>
          <w:szCs w:val="20"/>
        </w:rPr>
        <w:t>.</w:t>
      </w:r>
      <w:r>
        <w:rPr>
          <w:rFonts w:ascii="Arial" w:hAnsi="Arial" w:cs="Arial"/>
          <w:sz w:val="20"/>
          <w:szCs w:val="20"/>
        </w:rPr>
        <w:t xml:space="preserve"> The </w:t>
      </w:r>
      <w:r w:rsidRPr="00C33287">
        <w:rPr>
          <w:rFonts w:ascii="Arial" w:hAnsi="Arial" w:cs="Arial"/>
          <w:sz w:val="20"/>
          <w:szCs w:val="20"/>
        </w:rPr>
        <w:t>c</w:t>
      </w:r>
      <w:r w:rsidR="00657DC2" w:rsidRPr="00C33287">
        <w:rPr>
          <w:rFonts w:ascii="Arial" w:hAnsi="Arial" w:cs="Arial"/>
          <w:sz w:val="20"/>
          <w:szCs w:val="20"/>
        </w:rPr>
        <w:t>ouncil is also a partner in</w:t>
      </w:r>
      <w:r w:rsidR="00E247A8" w:rsidRPr="00C33287">
        <w:rPr>
          <w:rFonts w:ascii="Arial" w:hAnsi="Arial" w:cs="Arial"/>
          <w:sz w:val="20"/>
          <w:szCs w:val="20"/>
        </w:rPr>
        <w:t xml:space="preserve"> the </w:t>
      </w:r>
      <w:r w:rsidR="00E247A8" w:rsidRPr="00C33287">
        <w:rPr>
          <w:rFonts w:ascii="Arial" w:hAnsi="Arial" w:cs="Arial"/>
          <w:color w:val="auto"/>
          <w:sz w:val="20"/>
          <w:szCs w:val="20"/>
        </w:rPr>
        <w:t>West Dunbartonshire Health and Social Care Partnership and provided funding i</w:t>
      </w:r>
      <w:r w:rsidR="0030399D" w:rsidRPr="00C33287">
        <w:rPr>
          <w:rFonts w:ascii="Arial" w:hAnsi="Arial" w:cs="Arial"/>
          <w:color w:val="auto"/>
          <w:sz w:val="20"/>
          <w:szCs w:val="20"/>
        </w:rPr>
        <w:t xml:space="preserve">n year of </w:t>
      </w:r>
      <w:r w:rsidR="00C56C19" w:rsidRPr="00C33287">
        <w:rPr>
          <w:rFonts w:ascii="Arial" w:hAnsi="Arial" w:cs="Arial"/>
          <w:color w:val="auto"/>
          <w:sz w:val="20"/>
          <w:szCs w:val="20"/>
        </w:rPr>
        <w:t>£</w:t>
      </w:r>
      <w:r w:rsidR="00C33287" w:rsidRPr="00C33287">
        <w:rPr>
          <w:rFonts w:ascii="Arial" w:hAnsi="Arial" w:cs="Arial"/>
          <w:color w:val="auto"/>
          <w:sz w:val="20"/>
          <w:szCs w:val="20"/>
        </w:rPr>
        <w:t>67.584</w:t>
      </w:r>
      <w:r w:rsidR="0030399D" w:rsidRPr="00C33287">
        <w:rPr>
          <w:rFonts w:ascii="Arial" w:hAnsi="Arial" w:cs="Arial"/>
          <w:color w:val="auto"/>
          <w:sz w:val="20"/>
          <w:szCs w:val="20"/>
        </w:rPr>
        <w:t>m</w:t>
      </w:r>
      <w:r w:rsidR="005D047B">
        <w:rPr>
          <w:rFonts w:ascii="Arial" w:hAnsi="Arial" w:cs="Arial"/>
          <w:color w:val="auto"/>
          <w:sz w:val="20"/>
          <w:szCs w:val="20"/>
        </w:rPr>
        <w:t xml:space="preserve"> (£64.318</w:t>
      </w:r>
      <w:r w:rsidR="0030399D" w:rsidRPr="004F2F43">
        <w:rPr>
          <w:rFonts w:ascii="Arial" w:hAnsi="Arial" w:cs="Arial"/>
          <w:color w:val="auto"/>
          <w:sz w:val="20"/>
          <w:szCs w:val="20"/>
        </w:rPr>
        <w:t>m</w:t>
      </w:r>
      <w:r w:rsidR="00D73DDD" w:rsidRPr="004F2F43">
        <w:rPr>
          <w:rFonts w:ascii="Arial" w:hAnsi="Arial" w:cs="Arial"/>
          <w:color w:val="auto"/>
          <w:sz w:val="20"/>
          <w:szCs w:val="20"/>
        </w:rPr>
        <w:t xml:space="preserve"> 201</w:t>
      </w:r>
      <w:r w:rsidR="005D047B">
        <w:rPr>
          <w:rFonts w:ascii="Arial" w:hAnsi="Arial" w:cs="Arial"/>
          <w:color w:val="auto"/>
          <w:sz w:val="20"/>
          <w:szCs w:val="20"/>
        </w:rPr>
        <w:t>8/19</w:t>
      </w:r>
      <w:r w:rsidR="00E247A8" w:rsidRPr="004F2F43">
        <w:rPr>
          <w:rFonts w:ascii="Arial" w:hAnsi="Arial" w:cs="Arial"/>
          <w:color w:val="auto"/>
          <w:sz w:val="20"/>
          <w:szCs w:val="20"/>
        </w:rPr>
        <w:t>)</w:t>
      </w:r>
      <w:r w:rsidR="0030399D" w:rsidRPr="004F2F43">
        <w:rPr>
          <w:rFonts w:ascii="Arial" w:hAnsi="Arial" w:cs="Arial"/>
          <w:color w:val="auto"/>
          <w:sz w:val="20"/>
          <w:szCs w:val="20"/>
        </w:rPr>
        <w:t>.</w:t>
      </w:r>
    </w:p>
    <w:p w:rsidR="00003B5F" w:rsidRDefault="00003B5F" w:rsidP="001F1E67">
      <w:pPr>
        <w:pStyle w:val="Default"/>
        <w:spacing w:before="0" w:after="0"/>
        <w:rPr>
          <w:rFonts w:ascii="Arial" w:hAnsi="Arial" w:cs="Arial"/>
          <w:color w:val="auto"/>
          <w:sz w:val="20"/>
          <w:szCs w:val="20"/>
        </w:rPr>
      </w:pPr>
    </w:p>
    <w:p w:rsidR="00003B5F" w:rsidRPr="00C62637" w:rsidRDefault="00003B5F" w:rsidP="001F1E67">
      <w:pPr>
        <w:pStyle w:val="Default"/>
        <w:spacing w:before="0" w:after="0"/>
        <w:rPr>
          <w:rFonts w:ascii="Arial" w:hAnsi="Arial" w:cs="Arial"/>
          <w:b/>
          <w:color w:val="auto"/>
          <w:sz w:val="20"/>
          <w:szCs w:val="20"/>
        </w:rPr>
      </w:pPr>
      <w:r w:rsidRPr="00C62637">
        <w:rPr>
          <w:rFonts w:ascii="Arial" w:hAnsi="Arial" w:cs="Arial"/>
          <w:b/>
          <w:color w:val="auto"/>
          <w:sz w:val="20"/>
          <w:szCs w:val="20"/>
        </w:rPr>
        <w:t>West Dunbartonshire Leisure Trust</w:t>
      </w:r>
    </w:p>
    <w:p w:rsidR="00003B5F" w:rsidRPr="00C62637" w:rsidRDefault="005547ED" w:rsidP="001F1E67">
      <w:pPr>
        <w:pStyle w:val="Default"/>
        <w:spacing w:before="0" w:after="0"/>
        <w:rPr>
          <w:rFonts w:ascii="Arial" w:hAnsi="Arial" w:cs="Arial"/>
          <w:color w:val="auto"/>
          <w:sz w:val="20"/>
          <w:szCs w:val="20"/>
        </w:rPr>
      </w:pPr>
      <w:r w:rsidRPr="00C62637">
        <w:rPr>
          <w:rFonts w:ascii="Arial" w:hAnsi="Arial" w:cs="Arial"/>
          <w:color w:val="auto"/>
          <w:sz w:val="20"/>
          <w:szCs w:val="20"/>
        </w:rPr>
        <w:t xml:space="preserve">The council has representation on the Board of Trustees, with three of the nine Trustees being Council </w:t>
      </w:r>
      <w:r w:rsidR="00A577B8" w:rsidRPr="00C62637">
        <w:rPr>
          <w:rFonts w:ascii="Arial" w:hAnsi="Arial" w:cs="Arial"/>
          <w:color w:val="auto"/>
          <w:sz w:val="20"/>
          <w:szCs w:val="20"/>
        </w:rPr>
        <w:t xml:space="preserve">elected </w:t>
      </w:r>
      <w:r w:rsidRPr="00C62637">
        <w:rPr>
          <w:rFonts w:ascii="Arial" w:hAnsi="Arial" w:cs="Arial"/>
          <w:color w:val="auto"/>
          <w:sz w:val="20"/>
          <w:szCs w:val="20"/>
        </w:rPr>
        <w:t>m</w:t>
      </w:r>
      <w:r w:rsidR="00325B09" w:rsidRPr="00C62637">
        <w:rPr>
          <w:rFonts w:ascii="Arial" w:hAnsi="Arial" w:cs="Arial"/>
          <w:color w:val="auto"/>
          <w:sz w:val="20"/>
          <w:szCs w:val="20"/>
        </w:rPr>
        <w:t>embers, with the council contributing £5.500m to the Trust in 2019/20 (and recei</w:t>
      </w:r>
      <w:r w:rsidR="00C62637" w:rsidRPr="00C62637">
        <w:rPr>
          <w:rFonts w:ascii="Arial" w:hAnsi="Arial" w:cs="Arial"/>
          <w:color w:val="auto"/>
          <w:sz w:val="20"/>
          <w:szCs w:val="20"/>
        </w:rPr>
        <w:t>ved from the Trust</w:t>
      </w:r>
      <w:r w:rsidR="00325B09" w:rsidRPr="00C62637">
        <w:rPr>
          <w:rFonts w:ascii="Arial" w:hAnsi="Arial" w:cs="Arial"/>
          <w:color w:val="auto"/>
          <w:sz w:val="20"/>
          <w:szCs w:val="20"/>
        </w:rPr>
        <w:t xml:space="preserve"> £0.127m)</w:t>
      </w:r>
      <w:r w:rsidRPr="00C62637">
        <w:rPr>
          <w:rFonts w:ascii="Arial" w:hAnsi="Arial" w:cs="Arial"/>
          <w:color w:val="auto"/>
          <w:sz w:val="20"/>
          <w:szCs w:val="20"/>
        </w:rPr>
        <w:t>.</w:t>
      </w:r>
    </w:p>
    <w:p w:rsidR="00325B09" w:rsidRPr="00C62637" w:rsidRDefault="00325B09" w:rsidP="001F1E67">
      <w:pPr>
        <w:pStyle w:val="Default"/>
        <w:spacing w:before="0" w:after="0"/>
        <w:rPr>
          <w:rFonts w:ascii="Arial" w:hAnsi="Arial" w:cs="Arial"/>
          <w:color w:val="auto"/>
          <w:sz w:val="20"/>
          <w:szCs w:val="20"/>
        </w:rPr>
      </w:pPr>
    </w:p>
    <w:p w:rsidR="00325B09" w:rsidRPr="00C62637" w:rsidRDefault="00325B09" w:rsidP="001F1E67">
      <w:pPr>
        <w:pStyle w:val="Default"/>
        <w:spacing w:before="0" w:after="0"/>
        <w:rPr>
          <w:rFonts w:ascii="Arial" w:hAnsi="Arial" w:cs="Arial"/>
          <w:b/>
          <w:color w:val="auto"/>
          <w:sz w:val="20"/>
          <w:szCs w:val="20"/>
        </w:rPr>
      </w:pPr>
      <w:r w:rsidRPr="00C62637">
        <w:rPr>
          <w:rFonts w:ascii="Arial" w:hAnsi="Arial" w:cs="Arial"/>
          <w:b/>
          <w:color w:val="auto"/>
          <w:sz w:val="20"/>
          <w:szCs w:val="20"/>
        </w:rPr>
        <w:t>Clydebank Property Company</w:t>
      </w:r>
    </w:p>
    <w:p w:rsidR="00325B09" w:rsidRDefault="00325B09" w:rsidP="00325B09">
      <w:pPr>
        <w:pStyle w:val="Default"/>
        <w:spacing w:before="0" w:after="0"/>
        <w:rPr>
          <w:rFonts w:ascii="Arial" w:hAnsi="Arial" w:cs="Arial"/>
          <w:color w:val="auto"/>
          <w:sz w:val="20"/>
          <w:szCs w:val="20"/>
        </w:rPr>
      </w:pPr>
      <w:r w:rsidRPr="00C62637">
        <w:rPr>
          <w:rFonts w:ascii="Arial" w:hAnsi="Arial" w:cs="Arial"/>
          <w:color w:val="auto"/>
          <w:sz w:val="20"/>
          <w:szCs w:val="20"/>
        </w:rPr>
        <w:t xml:space="preserve">The company is owned by the council which holds 100% of the issued share capital. The council holds an investment of £0.273m within its Balance Sheet and has full representation on the Board of Directors, with each of the three Directors of the company being senior </w:t>
      </w:r>
      <w:r w:rsidR="00935867" w:rsidRPr="00C62637">
        <w:rPr>
          <w:rFonts w:ascii="Arial" w:hAnsi="Arial" w:cs="Arial"/>
          <w:color w:val="auto"/>
          <w:sz w:val="20"/>
          <w:szCs w:val="20"/>
        </w:rPr>
        <w:t>officers</w:t>
      </w:r>
      <w:r w:rsidRPr="00C62637">
        <w:rPr>
          <w:rFonts w:ascii="Arial" w:hAnsi="Arial" w:cs="Arial"/>
          <w:color w:val="auto"/>
          <w:sz w:val="20"/>
          <w:szCs w:val="20"/>
        </w:rPr>
        <w:t xml:space="preserve"> within the council. The company paid a dividend to the council in 2019/20 of £0.050m.</w:t>
      </w:r>
    </w:p>
    <w:p w:rsidR="00990216" w:rsidRPr="00375FD4" w:rsidRDefault="00990216" w:rsidP="001F1E67">
      <w:pPr>
        <w:pStyle w:val="Default"/>
        <w:spacing w:before="0" w:after="0"/>
        <w:rPr>
          <w:rFonts w:ascii="Arial" w:hAnsi="Arial" w:cs="Arial"/>
          <w:color w:val="auto"/>
          <w:sz w:val="20"/>
          <w:szCs w:val="20"/>
        </w:rPr>
      </w:pPr>
    </w:p>
    <w:p w:rsidR="00990216" w:rsidRPr="00375FD4" w:rsidRDefault="00990216" w:rsidP="001F1E67">
      <w:pPr>
        <w:pStyle w:val="Default"/>
        <w:spacing w:before="0" w:after="0"/>
        <w:rPr>
          <w:rFonts w:ascii="Arial" w:hAnsi="Arial" w:cs="Arial"/>
          <w:sz w:val="20"/>
          <w:szCs w:val="20"/>
        </w:rPr>
      </w:pPr>
      <w:r w:rsidRPr="00375FD4">
        <w:rPr>
          <w:rFonts w:ascii="Arial" w:hAnsi="Arial" w:cs="Arial"/>
          <w:b/>
          <w:bCs/>
          <w:sz w:val="20"/>
          <w:szCs w:val="20"/>
        </w:rPr>
        <w:t xml:space="preserve">Voluntary Sector </w:t>
      </w:r>
    </w:p>
    <w:p w:rsidR="00990216" w:rsidRPr="00375FD4" w:rsidRDefault="00990216" w:rsidP="001F1E67">
      <w:pPr>
        <w:spacing w:before="0" w:after="0"/>
        <w:rPr>
          <w:rFonts w:ascii="Arial" w:hAnsi="Arial" w:cs="Arial"/>
        </w:rPr>
      </w:pPr>
      <w:r w:rsidRPr="00375FD4">
        <w:rPr>
          <w:rFonts w:ascii="Arial" w:hAnsi="Arial" w:cs="Arial"/>
        </w:rPr>
        <w:t>The following voluntary organisations received over £0.050m in grant funding from West Du</w:t>
      </w:r>
      <w:r w:rsidR="00391A23">
        <w:rPr>
          <w:rFonts w:ascii="Arial" w:hAnsi="Arial" w:cs="Arial"/>
        </w:rPr>
        <w:t>nbartonshire C</w:t>
      </w:r>
      <w:r w:rsidR="005D047B">
        <w:rPr>
          <w:rFonts w:ascii="Arial" w:hAnsi="Arial" w:cs="Arial"/>
        </w:rPr>
        <w:t>ouncil during 2019/20</w:t>
      </w:r>
      <w:r w:rsidRPr="00375FD4">
        <w:rPr>
          <w:rFonts w:ascii="Arial" w:hAnsi="Arial" w:cs="Arial"/>
        </w:rPr>
        <w:t>:</w:t>
      </w:r>
      <w:r w:rsidRPr="00375FD4">
        <w:rPr>
          <w:rFonts w:ascii="Arial" w:hAnsi="Arial" w:cs="Arial"/>
        </w:rPr>
        <w:tab/>
      </w:r>
    </w:p>
    <w:p w:rsidR="00015834" w:rsidRDefault="00015834" w:rsidP="00F664F6">
      <w:pPr>
        <w:spacing w:before="0" w:after="0"/>
        <w:jc w:val="both"/>
        <w:rPr>
          <w:rFonts w:ascii="Arial" w:hAnsi="Arial" w:cs="Arial"/>
        </w:rPr>
      </w:pPr>
      <w:r w:rsidRPr="00375FD4">
        <w:rPr>
          <w:rFonts w:ascii="Arial" w:hAnsi="Arial" w:cs="Arial"/>
        </w:rPr>
        <w:tab/>
      </w:r>
    </w:p>
    <w:p w:rsidR="00E13BE3" w:rsidRPr="00375FD4" w:rsidRDefault="00E13BE3" w:rsidP="00F664F6">
      <w:pPr>
        <w:spacing w:before="0" w:after="0"/>
        <w:jc w:val="both"/>
        <w:rPr>
          <w:rFonts w:ascii="Arial" w:hAnsi="Arial" w:cs="Arial"/>
        </w:rPr>
      </w:pPr>
      <w:r>
        <w:rPr>
          <w:rFonts w:ascii="Arial" w:hAnsi="Arial" w:cs="Arial"/>
        </w:rPr>
        <w:tab/>
      </w:r>
      <w:r w:rsidR="00DB69C3" w:rsidRPr="00DB69C3">
        <w:rPr>
          <w:noProof/>
          <w:lang w:eastAsia="en-GB"/>
        </w:rPr>
        <w:drawing>
          <wp:inline distT="0" distB="0" distL="0" distR="0">
            <wp:extent cx="3348990" cy="1139825"/>
            <wp:effectExtent l="0" t="0" r="0" b="3175"/>
            <wp:docPr id="147" name="Picture 147" descr="detail of funds paid to voluntary groups over £50k" title="note 6 related pa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48990" cy="1139825"/>
                    </a:xfrm>
                    <a:prstGeom prst="rect">
                      <a:avLst/>
                    </a:prstGeom>
                    <a:noFill/>
                    <a:ln>
                      <a:noFill/>
                    </a:ln>
                  </pic:spPr>
                </pic:pic>
              </a:graphicData>
            </a:graphic>
          </wp:inline>
        </w:drawing>
      </w:r>
    </w:p>
    <w:p w:rsidR="00751932" w:rsidRPr="00375FD4" w:rsidRDefault="00990216" w:rsidP="00F664F6">
      <w:pPr>
        <w:spacing w:before="0" w:after="0"/>
        <w:jc w:val="both"/>
        <w:rPr>
          <w:rFonts w:ascii="Arial" w:hAnsi="Arial" w:cs="Arial"/>
        </w:rPr>
      </w:pPr>
      <w:r w:rsidRPr="00375FD4">
        <w:rPr>
          <w:rFonts w:ascii="Arial" w:hAnsi="Arial" w:cs="Arial"/>
        </w:rPr>
        <w:tab/>
      </w:r>
    </w:p>
    <w:p w:rsidR="00990216" w:rsidRPr="00375FD4" w:rsidRDefault="00F0035F" w:rsidP="001F1E67">
      <w:pPr>
        <w:spacing w:before="0" w:after="0"/>
        <w:rPr>
          <w:rFonts w:ascii="Arial" w:hAnsi="Arial" w:cs="Arial"/>
        </w:rPr>
      </w:pPr>
      <w:r>
        <w:rPr>
          <w:rFonts w:ascii="Arial" w:hAnsi="Arial" w:cs="Arial"/>
        </w:rPr>
        <w:t>The c</w:t>
      </w:r>
      <w:r w:rsidR="00990216" w:rsidRPr="00375FD4">
        <w:rPr>
          <w:rFonts w:ascii="Arial" w:hAnsi="Arial" w:cs="Arial"/>
        </w:rPr>
        <w:t>ouncil has no shareholdings or investments in any of these organisations.  There were no outstanding balances at the year end.</w:t>
      </w:r>
    </w:p>
    <w:p w:rsidR="00990216" w:rsidRDefault="00990216" w:rsidP="001F1E67">
      <w:pPr>
        <w:spacing w:before="0" w:after="0"/>
        <w:rPr>
          <w:rFonts w:ascii="Arial" w:hAnsi="Arial" w:cs="Arial"/>
        </w:rPr>
      </w:pPr>
    </w:p>
    <w:p w:rsidR="003E4985" w:rsidRDefault="003E4985" w:rsidP="001F1E67">
      <w:pPr>
        <w:spacing w:before="0" w:after="0"/>
        <w:rPr>
          <w:rFonts w:ascii="Arial" w:hAnsi="Arial" w:cs="Arial"/>
          <w:b/>
        </w:rPr>
      </w:pPr>
      <w:r>
        <w:rPr>
          <w:rFonts w:ascii="Arial" w:hAnsi="Arial" w:cs="Arial"/>
          <w:b/>
        </w:rPr>
        <w:t>Key Management Personnel</w:t>
      </w:r>
    </w:p>
    <w:p w:rsidR="00D809FD" w:rsidRDefault="00F0035F" w:rsidP="00786CBB">
      <w:pPr>
        <w:spacing w:before="0" w:after="0"/>
        <w:rPr>
          <w:rFonts w:ascii="Arial" w:hAnsi="Arial" w:cs="Arial"/>
          <w:b/>
          <w:bCs/>
          <w:color w:val="000000"/>
        </w:rPr>
      </w:pPr>
      <w:r>
        <w:rPr>
          <w:rFonts w:ascii="Arial" w:hAnsi="Arial" w:cs="Arial"/>
        </w:rPr>
        <w:t>Within the c</w:t>
      </w:r>
      <w:r w:rsidR="003E4985">
        <w:rPr>
          <w:rFonts w:ascii="Arial" w:hAnsi="Arial" w:cs="Arial"/>
        </w:rPr>
        <w:t xml:space="preserve">ouncil’s Management Team, the Chief Officer of the HSCP is employed by </w:t>
      </w:r>
      <w:r w:rsidR="00333DF9">
        <w:rPr>
          <w:rFonts w:ascii="Arial" w:hAnsi="Arial" w:cs="Arial"/>
        </w:rPr>
        <w:t>West Dunbartonshire Council</w:t>
      </w:r>
      <w:r w:rsidR="003E4985">
        <w:rPr>
          <w:rFonts w:ascii="Arial" w:hAnsi="Arial" w:cs="Arial"/>
        </w:rPr>
        <w:t>. Details of remune</w:t>
      </w:r>
      <w:r w:rsidR="00391A23">
        <w:rPr>
          <w:rFonts w:ascii="Arial" w:hAnsi="Arial" w:cs="Arial"/>
        </w:rPr>
        <w:t>ration are included within the C</w:t>
      </w:r>
      <w:r w:rsidR="003E4985">
        <w:rPr>
          <w:rFonts w:ascii="Arial" w:hAnsi="Arial" w:cs="Arial"/>
        </w:rPr>
        <w:t>ouncil’s Remuneration Statement.</w:t>
      </w:r>
      <w:r w:rsidR="00D809FD" w:rsidRPr="00375FD4">
        <w:rPr>
          <w:rFonts w:ascii="Arial" w:hAnsi="Arial" w:cs="Arial"/>
          <w:b/>
          <w:bCs/>
          <w:color w:val="000000"/>
        </w:rPr>
        <w:tab/>
      </w:r>
    </w:p>
    <w:p w:rsidR="00990216" w:rsidRPr="00375FD4" w:rsidRDefault="00990216" w:rsidP="00990216">
      <w:pPr>
        <w:autoSpaceDE w:val="0"/>
        <w:autoSpaceDN w:val="0"/>
        <w:adjustRightInd w:val="0"/>
        <w:spacing w:before="0" w:after="0"/>
        <w:jc w:val="both"/>
        <w:rPr>
          <w:rFonts w:ascii="Arial" w:hAnsi="Arial" w:cs="Arial"/>
        </w:rPr>
      </w:pPr>
    </w:p>
    <w:p w:rsidR="00735C3E" w:rsidRDefault="00735C3E" w:rsidP="00786CBB">
      <w:pPr>
        <w:autoSpaceDE w:val="0"/>
        <w:autoSpaceDN w:val="0"/>
        <w:adjustRightInd w:val="0"/>
        <w:spacing w:before="0" w:after="0"/>
        <w:rPr>
          <w:rFonts w:ascii="Arial" w:hAnsi="Arial" w:cs="Arial"/>
          <w:b/>
          <w:bCs/>
          <w:color w:val="000000"/>
        </w:rPr>
      </w:pPr>
    </w:p>
    <w:p w:rsidR="00735C3E" w:rsidRPr="00375FD4" w:rsidRDefault="00735C3E" w:rsidP="00735C3E">
      <w:pPr>
        <w:autoSpaceDE w:val="0"/>
        <w:autoSpaceDN w:val="0"/>
        <w:adjustRightInd w:val="0"/>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735C3E" w:rsidRDefault="00735C3E" w:rsidP="00735C3E">
      <w:pPr>
        <w:autoSpaceDE w:val="0"/>
        <w:autoSpaceDN w:val="0"/>
        <w:adjustRightInd w:val="0"/>
        <w:spacing w:before="0" w:after="0"/>
        <w:jc w:val="both"/>
        <w:rPr>
          <w:rFonts w:ascii="Arial" w:hAnsi="Arial" w:cs="Arial"/>
          <w:b/>
          <w:bCs/>
          <w:color w:val="000000"/>
        </w:rPr>
      </w:pPr>
    </w:p>
    <w:p w:rsidR="00735C3E" w:rsidRPr="000A3446" w:rsidRDefault="00735C3E" w:rsidP="00735C3E">
      <w:pPr>
        <w:pStyle w:val="Heading1"/>
        <w:spacing w:before="0"/>
        <w:rPr>
          <w:rFonts w:ascii="Arial" w:hAnsi="Arial" w:cs="Arial"/>
          <w:color w:val="auto"/>
          <w:sz w:val="20"/>
          <w:szCs w:val="20"/>
        </w:rPr>
      </w:pPr>
      <w:r>
        <w:rPr>
          <w:rFonts w:ascii="Arial" w:hAnsi="Arial" w:cs="Arial"/>
          <w:color w:val="auto"/>
          <w:sz w:val="20"/>
          <w:szCs w:val="20"/>
        </w:rPr>
        <w:t>Note 6</w:t>
      </w:r>
      <w:r w:rsidRPr="000A3446">
        <w:rPr>
          <w:rFonts w:ascii="Arial" w:hAnsi="Arial" w:cs="Arial"/>
          <w:color w:val="auto"/>
          <w:sz w:val="20"/>
          <w:szCs w:val="20"/>
        </w:rPr>
        <w:t xml:space="preserve"> – Related Parties</w:t>
      </w:r>
      <w:r>
        <w:rPr>
          <w:rFonts w:ascii="Arial" w:hAnsi="Arial" w:cs="Arial"/>
          <w:color w:val="auto"/>
          <w:sz w:val="20"/>
          <w:szCs w:val="20"/>
        </w:rPr>
        <w:t xml:space="preserve"> (Cont’d)</w:t>
      </w:r>
    </w:p>
    <w:p w:rsidR="00735C3E" w:rsidRDefault="00735C3E" w:rsidP="00786CBB">
      <w:pPr>
        <w:autoSpaceDE w:val="0"/>
        <w:autoSpaceDN w:val="0"/>
        <w:adjustRightInd w:val="0"/>
        <w:spacing w:before="0" w:after="0"/>
        <w:rPr>
          <w:rFonts w:ascii="Arial" w:hAnsi="Arial" w:cs="Arial"/>
          <w:b/>
          <w:bCs/>
          <w:color w:val="000000"/>
        </w:rPr>
      </w:pPr>
    </w:p>
    <w:p w:rsidR="00786CBB" w:rsidRPr="00375FD4" w:rsidRDefault="00786CBB" w:rsidP="00786CBB">
      <w:pPr>
        <w:autoSpaceDE w:val="0"/>
        <w:autoSpaceDN w:val="0"/>
        <w:adjustRightInd w:val="0"/>
        <w:spacing w:before="0" w:after="0"/>
        <w:rPr>
          <w:rFonts w:ascii="Arial" w:hAnsi="Arial" w:cs="Arial"/>
          <w:color w:val="000000"/>
        </w:rPr>
      </w:pPr>
      <w:r w:rsidRPr="00375FD4">
        <w:rPr>
          <w:rFonts w:ascii="Arial" w:hAnsi="Arial" w:cs="Arial"/>
          <w:b/>
          <w:bCs/>
          <w:color w:val="000000"/>
        </w:rPr>
        <w:t xml:space="preserve">Elected Members </w:t>
      </w:r>
    </w:p>
    <w:p w:rsidR="00786CBB" w:rsidRDefault="00786CBB" w:rsidP="00786CBB">
      <w:pPr>
        <w:tabs>
          <w:tab w:val="left" w:pos="720"/>
        </w:tabs>
        <w:spacing w:before="0" w:after="0"/>
        <w:rPr>
          <w:rFonts w:ascii="Arial" w:hAnsi="Arial" w:cs="Arial"/>
        </w:rPr>
      </w:pPr>
      <w:r w:rsidRPr="00375FD4">
        <w:rPr>
          <w:rFonts w:ascii="Arial" w:hAnsi="Arial" w:cs="Arial"/>
        </w:rPr>
        <w:t>Members of the Counci</w:t>
      </w:r>
      <w:r>
        <w:rPr>
          <w:rFonts w:ascii="Arial" w:hAnsi="Arial" w:cs="Arial"/>
        </w:rPr>
        <w:t>l have direct control over the c</w:t>
      </w:r>
      <w:r w:rsidRPr="00375FD4">
        <w:rPr>
          <w:rFonts w:ascii="Arial" w:hAnsi="Arial" w:cs="Arial"/>
        </w:rPr>
        <w:t xml:space="preserve">ouncil’s financial and operating policies.  The total </w:t>
      </w:r>
      <w:r w:rsidRPr="004B13A5">
        <w:rPr>
          <w:rFonts w:ascii="Arial" w:hAnsi="Arial" w:cs="Arial"/>
        </w:rPr>
        <w:t xml:space="preserve">of </w:t>
      </w:r>
      <w:r w:rsidR="005D047B">
        <w:rPr>
          <w:rFonts w:ascii="Arial" w:hAnsi="Arial" w:cs="Arial"/>
        </w:rPr>
        <w:t>members’ allowances paid in 2019/20</w:t>
      </w:r>
      <w:r w:rsidRPr="004B13A5">
        <w:rPr>
          <w:rFonts w:ascii="Arial" w:hAnsi="Arial" w:cs="Arial"/>
        </w:rPr>
        <w:t xml:space="preserve"> is shown in the remuneration statement on page</w:t>
      </w:r>
      <w:r w:rsidR="00565CD8">
        <w:rPr>
          <w:rFonts w:ascii="Arial" w:hAnsi="Arial" w:cs="Arial"/>
        </w:rPr>
        <w:t>s 28</w:t>
      </w:r>
      <w:r w:rsidRPr="004B13A5">
        <w:rPr>
          <w:rFonts w:ascii="Arial" w:hAnsi="Arial" w:cs="Arial"/>
        </w:rPr>
        <w:t xml:space="preserve"> </w:t>
      </w:r>
      <w:r w:rsidRPr="004B13A5">
        <w:rPr>
          <w:rFonts w:ascii="Arial" w:hAnsi="Arial" w:cs="Arial"/>
          <w:lang w:val="en-US"/>
        </w:rPr>
        <w:t>to</w:t>
      </w:r>
      <w:r w:rsidR="004538A5">
        <w:rPr>
          <w:rFonts w:ascii="Arial" w:hAnsi="Arial" w:cs="Arial"/>
        </w:rPr>
        <w:t xml:space="preserve"> 35</w:t>
      </w:r>
      <w:r w:rsidRPr="004B13A5">
        <w:rPr>
          <w:rFonts w:ascii="Arial" w:hAnsi="Arial" w:cs="Arial"/>
        </w:rPr>
        <w:t>.</w:t>
      </w:r>
      <w:r w:rsidRPr="00375FD4">
        <w:rPr>
          <w:rFonts w:ascii="Arial" w:hAnsi="Arial" w:cs="Arial"/>
          <w:color w:val="FF0000"/>
        </w:rPr>
        <w:t xml:space="preserve"> </w:t>
      </w:r>
      <w:r>
        <w:rPr>
          <w:rFonts w:ascii="Arial" w:hAnsi="Arial" w:cs="Arial"/>
        </w:rPr>
        <w:t xml:space="preserve"> The c</w:t>
      </w:r>
      <w:r w:rsidRPr="00375FD4">
        <w:rPr>
          <w:rFonts w:ascii="Arial" w:hAnsi="Arial" w:cs="Arial"/>
        </w:rPr>
        <w:t xml:space="preserve">ouncil maintains a register of interests for Members and reviews this for transactions carried out in the year with entities which Members have an interest. </w:t>
      </w:r>
      <w:r w:rsidR="005D047B">
        <w:rPr>
          <w:rFonts w:ascii="Arial" w:hAnsi="Arial" w:cs="Arial"/>
        </w:rPr>
        <w:t xml:space="preserve"> In the year ended 31 March 2020</w:t>
      </w:r>
      <w:r>
        <w:rPr>
          <w:rFonts w:ascii="Arial" w:hAnsi="Arial" w:cs="Arial"/>
        </w:rPr>
        <w:t>, the c</w:t>
      </w:r>
      <w:r w:rsidRPr="00375FD4">
        <w:rPr>
          <w:rFonts w:ascii="Arial" w:hAnsi="Arial" w:cs="Arial"/>
        </w:rPr>
        <w:t>ouncil has not had an</w:t>
      </w:r>
      <w:r>
        <w:rPr>
          <w:rFonts w:ascii="Arial" w:hAnsi="Arial" w:cs="Arial"/>
        </w:rPr>
        <w:t>y material transactions for any</w:t>
      </w:r>
      <w:r w:rsidR="00BF6C76">
        <w:rPr>
          <w:rFonts w:ascii="Arial" w:hAnsi="Arial" w:cs="Arial"/>
        </w:rPr>
        <w:t xml:space="preserve"> </w:t>
      </w:r>
      <w:r w:rsidRPr="00375FD4">
        <w:rPr>
          <w:rFonts w:ascii="Arial" w:hAnsi="Arial" w:cs="Arial"/>
        </w:rPr>
        <w:t>body in which Members have an interest.</w:t>
      </w:r>
      <w:r w:rsidR="00052C9B">
        <w:rPr>
          <w:rFonts w:ascii="Arial" w:hAnsi="Arial" w:cs="Arial"/>
        </w:rPr>
        <w:t xml:space="preserve"> The elected members register of interest can be found on the council website</w:t>
      </w:r>
      <w:r w:rsidR="00C012CE">
        <w:rPr>
          <w:rFonts w:ascii="Arial" w:hAnsi="Arial" w:cs="Arial"/>
        </w:rPr>
        <w:t xml:space="preserve"> page</w:t>
      </w:r>
      <w:r w:rsidR="00052C9B">
        <w:rPr>
          <w:rFonts w:ascii="Arial" w:hAnsi="Arial" w:cs="Arial"/>
        </w:rPr>
        <w:t>:</w:t>
      </w:r>
    </w:p>
    <w:p w:rsidR="00052C9B" w:rsidRDefault="00052C9B" w:rsidP="00786CBB">
      <w:pPr>
        <w:tabs>
          <w:tab w:val="left" w:pos="720"/>
        </w:tabs>
        <w:spacing w:before="0" w:after="0"/>
        <w:rPr>
          <w:rFonts w:ascii="Arial" w:hAnsi="Arial" w:cs="Arial"/>
        </w:rPr>
      </w:pPr>
    </w:p>
    <w:p w:rsidR="00003B5F" w:rsidRPr="00C012CE" w:rsidRDefault="00F227F2" w:rsidP="00F664F6">
      <w:pPr>
        <w:autoSpaceDE w:val="0"/>
        <w:autoSpaceDN w:val="0"/>
        <w:adjustRightInd w:val="0"/>
        <w:spacing w:before="0" w:after="0"/>
        <w:jc w:val="both"/>
        <w:rPr>
          <w:rFonts w:ascii="Arial" w:hAnsi="Arial" w:cs="Arial"/>
          <w:bCs/>
        </w:rPr>
      </w:pPr>
      <w:hyperlink r:id="rId64" w:history="1">
        <w:r w:rsidR="00C012CE" w:rsidRPr="00C012CE">
          <w:rPr>
            <w:rStyle w:val="Hyperlink"/>
            <w:rFonts w:ascii="Arial" w:hAnsi="Arial" w:cs="Arial"/>
            <w:bCs/>
            <w:color w:val="auto"/>
          </w:rPr>
          <w:t>https://www.west-dunbarton.gov.uk/council/councillors-and-committees/councillors-allowances/</w:t>
        </w:r>
      </w:hyperlink>
    </w:p>
    <w:p w:rsidR="00C012CE" w:rsidRDefault="00C012CE" w:rsidP="00F664F6">
      <w:pPr>
        <w:autoSpaceDE w:val="0"/>
        <w:autoSpaceDN w:val="0"/>
        <w:adjustRightInd w:val="0"/>
        <w:spacing w:before="0" w:after="0"/>
        <w:jc w:val="both"/>
        <w:rPr>
          <w:rFonts w:ascii="Arial" w:hAnsi="Arial" w:cs="Arial"/>
          <w:b/>
          <w:bCs/>
          <w:color w:val="000000"/>
        </w:rPr>
      </w:pPr>
    </w:p>
    <w:p w:rsidR="00990216" w:rsidRPr="00375FD4" w:rsidRDefault="00735C3E" w:rsidP="00F664F6">
      <w:pPr>
        <w:autoSpaceDE w:val="0"/>
        <w:autoSpaceDN w:val="0"/>
        <w:adjustRightInd w:val="0"/>
        <w:spacing w:before="0" w:after="0"/>
        <w:jc w:val="both"/>
        <w:rPr>
          <w:rFonts w:ascii="Arial" w:hAnsi="Arial" w:cs="Arial"/>
          <w:color w:val="000000"/>
        </w:rPr>
      </w:pPr>
      <w:r>
        <w:rPr>
          <w:rFonts w:ascii="Arial" w:hAnsi="Arial" w:cs="Arial"/>
          <w:b/>
          <w:bCs/>
          <w:color w:val="000000"/>
        </w:rPr>
        <w:t>S</w:t>
      </w:r>
      <w:r w:rsidR="00990216" w:rsidRPr="00375FD4">
        <w:rPr>
          <w:rFonts w:ascii="Arial" w:hAnsi="Arial" w:cs="Arial"/>
          <w:b/>
          <w:bCs/>
          <w:color w:val="000000"/>
        </w:rPr>
        <w:t xml:space="preserve">enior Officers </w:t>
      </w:r>
    </w:p>
    <w:p w:rsidR="006F106C" w:rsidRPr="00EF4A2A" w:rsidRDefault="008B1ABC" w:rsidP="001F1E67">
      <w:pPr>
        <w:pStyle w:val="Default"/>
        <w:spacing w:before="0" w:after="0"/>
        <w:rPr>
          <w:rFonts w:ascii="Arial" w:hAnsi="Arial" w:cs="Arial"/>
        </w:rPr>
      </w:pPr>
      <w:r w:rsidRPr="006F106C">
        <w:rPr>
          <w:rFonts w:ascii="Arial" w:hAnsi="Arial" w:cs="Arial"/>
          <w:color w:val="auto"/>
          <w:sz w:val="20"/>
          <w:szCs w:val="20"/>
          <w:lang w:val="en-GB"/>
        </w:rPr>
        <w:t xml:space="preserve">Senior Officers require to </w:t>
      </w:r>
      <w:r w:rsidR="00990216" w:rsidRPr="006F106C">
        <w:rPr>
          <w:rFonts w:ascii="Arial" w:hAnsi="Arial" w:cs="Arial"/>
          <w:color w:val="auto"/>
          <w:sz w:val="20"/>
          <w:szCs w:val="20"/>
          <w:lang w:val="en-GB"/>
        </w:rPr>
        <w:t>declare an interest if he or she believes that there may be a perception that their decision making may be influenced in any way by a personal interest. Should this situation arise, the senior officer does not take part in any discussion or decision in relation to that interest.</w:t>
      </w:r>
      <w:r w:rsidR="006F106C" w:rsidRPr="006F106C">
        <w:rPr>
          <w:rFonts w:ascii="Arial" w:hAnsi="Arial" w:cs="Arial"/>
          <w:color w:val="auto"/>
          <w:sz w:val="20"/>
          <w:szCs w:val="20"/>
          <w:lang w:val="en-GB"/>
        </w:rPr>
        <w:t xml:space="preserve"> There are no</w:t>
      </w:r>
      <w:r w:rsidR="006F106C">
        <w:rPr>
          <w:rFonts w:ascii="Arial" w:hAnsi="Arial" w:cs="Arial"/>
          <w:bCs/>
          <w:sz w:val="20"/>
          <w:szCs w:val="20"/>
        </w:rPr>
        <w:t xml:space="preserve"> significant related party transactio</w:t>
      </w:r>
      <w:r w:rsidR="00F0035F">
        <w:rPr>
          <w:rFonts w:ascii="Arial" w:hAnsi="Arial" w:cs="Arial"/>
          <w:bCs/>
          <w:sz w:val="20"/>
          <w:szCs w:val="20"/>
        </w:rPr>
        <w:t>ns with senior officers of the c</w:t>
      </w:r>
      <w:r w:rsidR="006F106C">
        <w:rPr>
          <w:rFonts w:ascii="Arial" w:hAnsi="Arial" w:cs="Arial"/>
          <w:bCs/>
          <w:sz w:val="20"/>
          <w:szCs w:val="20"/>
        </w:rPr>
        <w:t>ouncil.</w:t>
      </w:r>
    </w:p>
    <w:p w:rsidR="00990216" w:rsidRPr="00375FD4" w:rsidRDefault="00990216" w:rsidP="001F1E67">
      <w:pPr>
        <w:spacing w:before="0" w:after="0"/>
        <w:ind w:left="720" w:hanging="720"/>
        <w:rPr>
          <w:rFonts w:ascii="Arial" w:hAnsi="Arial" w:cs="Arial"/>
        </w:rPr>
      </w:pPr>
    </w:p>
    <w:p w:rsidR="00990216" w:rsidRPr="000A3446" w:rsidRDefault="00E50759" w:rsidP="00F664F6">
      <w:pPr>
        <w:pStyle w:val="Heading1"/>
        <w:spacing w:before="0"/>
        <w:rPr>
          <w:rFonts w:ascii="Arial" w:hAnsi="Arial" w:cs="Arial"/>
          <w:color w:val="auto"/>
          <w:sz w:val="20"/>
          <w:szCs w:val="20"/>
        </w:rPr>
      </w:pPr>
      <w:r>
        <w:rPr>
          <w:rFonts w:ascii="Arial" w:hAnsi="Arial" w:cs="Arial"/>
          <w:color w:val="auto"/>
          <w:sz w:val="20"/>
          <w:szCs w:val="20"/>
        </w:rPr>
        <w:t>Note 7</w:t>
      </w:r>
      <w:r w:rsidR="00990216" w:rsidRPr="000A3446">
        <w:rPr>
          <w:rFonts w:ascii="Arial" w:hAnsi="Arial" w:cs="Arial"/>
          <w:color w:val="auto"/>
          <w:sz w:val="20"/>
          <w:szCs w:val="20"/>
        </w:rPr>
        <w:t xml:space="preserve"> – Agency Services</w:t>
      </w:r>
    </w:p>
    <w:p w:rsidR="00015834" w:rsidRPr="00375FD4" w:rsidRDefault="00015834" w:rsidP="00F664F6">
      <w:pPr>
        <w:rPr>
          <w:rFonts w:ascii="Arial" w:hAnsi="Arial" w:cs="Arial"/>
        </w:rPr>
      </w:pPr>
    </w:p>
    <w:p w:rsidR="00990216" w:rsidRPr="00375FD4" w:rsidRDefault="00391A23" w:rsidP="00391A23">
      <w:pPr>
        <w:tabs>
          <w:tab w:val="left" w:pos="0"/>
        </w:tabs>
        <w:spacing w:before="0" w:after="0"/>
        <w:rPr>
          <w:rFonts w:ascii="Arial" w:hAnsi="Arial" w:cs="Arial"/>
        </w:rPr>
      </w:pPr>
      <w:r>
        <w:rPr>
          <w:rFonts w:ascii="Arial" w:hAnsi="Arial" w:cs="Arial"/>
        </w:rPr>
        <w:t>Transactions wher</w:t>
      </w:r>
      <w:r w:rsidR="00F0035F">
        <w:rPr>
          <w:rFonts w:ascii="Arial" w:hAnsi="Arial" w:cs="Arial"/>
        </w:rPr>
        <w:t>eby the c</w:t>
      </w:r>
      <w:r w:rsidR="00990216" w:rsidRPr="00375FD4">
        <w:rPr>
          <w:rFonts w:ascii="Arial" w:hAnsi="Arial" w:cs="Arial"/>
        </w:rPr>
        <w:t>ouncil provides a service on behalf of external organisations are noted</w:t>
      </w:r>
      <w:r>
        <w:rPr>
          <w:rFonts w:ascii="Arial" w:hAnsi="Arial" w:cs="Arial"/>
        </w:rPr>
        <w:t xml:space="preserve"> </w:t>
      </w:r>
      <w:r w:rsidR="00990216" w:rsidRPr="00375FD4">
        <w:rPr>
          <w:rFonts w:ascii="Arial" w:hAnsi="Arial" w:cs="Arial"/>
        </w:rPr>
        <w:t>below:</w:t>
      </w:r>
    </w:p>
    <w:p w:rsidR="00990216" w:rsidRPr="00375FD4" w:rsidRDefault="00990216" w:rsidP="00990216">
      <w:pPr>
        <w:tabs>
          <w:tab w:val="left" w:pos="720"/>
        </w:tabs>
        <w:spacing w:before="0" w:after="0"/>
        <w:ind w:left="709" w:hanging="709"/>
        <w:jc w:val="both"/>
        <w:rPr>
          <w:rFonts w:ascii="Arial" w:hAnsi="Arial" w:cs="Arial"/>
        </w:rPr>
      </w:pPr>
    </w:p>
    <w:p w:rsidR="00990216" w:rsidRPr="00375FD4" w:rsidRDefault="00FA167B" w:rsidP="00990216">
      <w:pPr>
        <w:spacing w:before="0" w:after="0" w:line="360" w:lineRule="auto"/>
        <w:rPr>
          <w:rFonts w:ascii="Arial" w:hAnsi="Arial" w:cs="Arial"/>
          <w:b/>
        </w:rPr>
      </w:pPr>
      <w:r w:rsidRPr="00FA167B">
        <w:rPr>
          <w:noProof/>
          <w:lang w:eastAsia="en-GB"/>
        </w:rPr>
        <w:drawing>
          <wp:inline distT="0" distB="0" distL="0" distR="0">
            <wp:extent cx="5572125" cy="1466850"/>
            <wp:effectExtent l="0" t="0" r="9525" b="0"/>
            <wp:docPr id="241" name="Picture 241" descr="note of transactions the council has undertaken on behalf of other organisations" title="note 7 a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572125" cy="1466850"/>
                    </a:xfrm>
                    <a:prstGeom prst="rect">
                      <a:avLst/>
                    </a:prstGeom>
                    <a:noFill/>
                    <a:ln>
                      <a:noFill/>
                    </a:ln>
                  </pic:spPr>
                </pic:pic>
              </a:graphicData>
            </a:graphic>
          </wp:inline>
        </w:drawing>
      </w:r>
    </w:p>
    <w:p w:rsidR="005D047B" w:rsidRPr="000A3446" w:rsidRDefault="00E50759" w:rsidP="005D047B">
      <w:pPr>
        <w:pStyle w:val="Heading1"/>
        <w:spacing w:before="0"/>
        <w:rPr>
          <w:rFonts w:ascii="Arial" w:hAnsi="Arial" w:cs="Arial"/>
          <w:color w:val="auto"/>
          <w:sz w:val="20"/>
          <w:szCs w:val="20"/>
        </w:rPr>
      </w:pPr>
      <w:r>
        <w:rPr>
          <w:rFonts w:ascii="Arial" w:hAnsi="Arial" w:cs="Arial"/>
          <w:color w:val="auto"/>
          <w:sz w:val="20"/>
          <w:szCs w:val="20"/>
        </w:rPr>
        <w:t>Note 8</w:t>
      </w:r>
      <w:r w:rsidR="005D047B" w:rsidRPr="000A3446">
        <w:rPr>
          <w:rFonts w:ascii="Arial" w:hAnsi="Arial" w:cs="Arial"/>
          <w:color w:val="auto"/>
          <w:sz w:val="20"/>
          <w:szCs w:val="20"/>
        </w:rPr>
        <w:t xml:space="preserve"> – Grant Income </w:t>
      </w:r>
    </w:p>
    <w:p w:rsidR="005D047B" w:rsidRPr="00375FD4" w:rsidRDefault="005D047B" w:rsidP="005D047B">
      <w:pPr>
        <w:rPr>
          <w:rFonts w:ascii="Arial" w:hAnsi="Arial" w:cs="Arial"/>
        </w:rPr>
      </w:pPr>
    </w:p>
    <w:p w:rsidR="005D047B" w:rsidRPr="00375FD4" w:rsidRDefault="005D047B" w:rsidP="005D047B">
      <w:pPr>
        <w:spacing w:before="0" w:after="0"/>
        <w:rPr>
          <w:rFonts w:ascii="Arial" w:hAnsi="Arial" w:cs="Arial"/>
        </w:rPr>
      </w:pPr>
      <w:r>
        <w:rPr>
          <w:rFonts w:ascii="Arial" w:hAnsi="Arial" w:cs="Arial"/>
        </w:rPr>
        <w:t>The c</w:t>
      </w:r>
      <w:r w:rsidRPr="00375FD4">
        <w:rPr>
          <w:rFonts w:ascii="Arial" w:hAnsi="Arial" w:cs="Arial"/>
        </w:rPr>
        <w:t>ouncil credited the following grants and other contributions to Taxation and Non-specific Grant Income within the Comprehensive Income a</w:t>
      </w:r>
      <w:r>
        <w:rPr>
          <w:rFonts w:ascii="Arial" w:hAnsi="Arial" w:cs="Arial"/>
        </w:rPr>
        <w:t>nd Expenditure Statement in 2019/20:</w:t>
      </w:r>
    </w:p>
    <w:p w:rsidR="005D047B" w:rsidRPr="00375FD4" w:rsidRDefault="005D047B" w:rsidP="005D047B">
      <w:pPr>
        <w:spacing w:before="0" w:after="0"/>
        <w:ind w:left="720"/>
        <w:jc w:val="both"/>
        <w:rPr>
          <w:rFonts w:ascii="Arial" w:hAnsi="Arial" w:cs="Arial"/>
        </w:rPr>
      </w:pPr>
    </w:p>
    <w:p w:rsidR="005D047B" w:rsidRDefault="009D2EF3" w:rsidP="005D047B">
      <w:pPr>
        <w:spacing w:before="0" w:after="200" w:line="276" w:lineRule="auto"/>
        <w:rPr>
          <w:rFonts w:ascii="Arial" w:hAnsi="Arial" w:cs="Arial"/>
          <w:b/>
        </w:rPr>
      </w:pPr>
      <w:r w:rsidRPr="009D2EF3">
        <w:rPr>
          <w:noProof/>
          <w:lang w:eastAsia="en-GB"/>
        </w:rPr>
        <w:drawing>
          <wp:inline distT="0" distB="0" distL="0" distR="0">
            <wp:extent cx="5486400" cy="2447925"/>
            <wp:effectExtent l="0" t="0" r="0" b="9525"/>
            <wp:docPr id="47" name="Picture 47" descr="detail of the grants credited to the income and expenditure account" title="note 8 grant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86400" cy="2447925"/>
                    </a:xfrm>
                    <a:prstGeom prst="rect">
                      <a:avLst/>
                    </a:prstGeom>
                    <a:noFill/>
                    <a:ln>
                      <a:noFill/>
                    </a:ln>
                  </pic:spPr>
                </pic:pic>
              </a:graphicData>
            </a:graphic>
          </wp:inline>
        </w:drawing>
      </w:r>
    </w:p>
    <w:p w:rsidR="00990216" w:rsidRPr="00375FD4" w:rsidRDefault="00990216" w:rsidP="00990216">
      <w:pPr>
        <w:spacing w:before="0" w:after="0" w:line="360" w:lineRule="auto"/>
        <w:rPr>
          <w:rFonts w:ascii="Arial" w:hAnsi="Arial" w:cs="Arial"/>
          <w:b/>
          <w:sz w:val="24"/>
          <w:szCs w:val="24"/>
        </w:rPr>
      </w:pPr>
      <w:r w:rsidRPr="00375FD4">
        <w:rPr>
          <w:rFonts w:ascii="Arial" w:hAnsi="Arial" w:cs="Arial"/>
          <w:b/>
        </w:rPr>
        <w:br w:type="page"/>
      </w:r>
      <w:r w:rsidRPr="00375FD4">
        <w:rPr>
          <w:rFonts w:ascii="Arial" w:hAnsi="Arial" w:cs="Arial"/>
          <w:b/>
          <w:sz w:val="24"/>
          <w:szCs w:val="24"/>
        </w:rPr>
        <w:lastRenderedPageBreak/>
        <w:t>Notes to the Financial Statements (Cont’d)</w:t>
      </w:r>
    </w:p>
    <w:p w:rsidR="005D047B" w:rsidRDefault="005D047B" w:rsidP="00AD3F6D">
      <w:pPr>
        <w:spacing w:before="0" w:after="0"/>
        <w:rPr>
          <w:rFonts w:ascii="Arial" w:hAnsi="Arial" w:cs="Arial"/>
        </w:rPr>
      </w:pPr>
    </w:p>
    <w:p w:rsidR="005D047B" w:rsidRPr="000A3446" w:rsidRDefault="00E50759" w:rsidP="005D047B">
      <w:pPr>
        <w:pStyle w:val="Heading1"/>
        <w:spacing w:before="0"/>
        <w:rPr>
          <w:rFonts w:ascii="Arial" w:hAnsi="Arial" w:cs="Arial"/>
          <w:color w:val="auto"/>
          <w:sz w:val="20"/>
          <w:szCs w:val="20"/>
        </w:rPr>
      </w:pPr>
      <w:r>
        <w:rPr>
          <w:rFonts w:ascii="Arial" w:hAnsi="Arial" w:cs="Arial"/>
          <w:color w:val="auto"/>
          <w:sz w:val="20"/>
          <w:szCs w:val="20"/>
        </w:rPr>
        <w:t>Note 8</w:t>
      </w:r>
      <w:r w:rsidR="005D047B" w:rsidRPr="000A3446">
        <w:rPr>
          <w:rFonts w:ascii="Arial" w:hAnsi="Arial" w:cs="Arial"/>
          <w:color w:val="auto"/>
          <w:sz w:val="20"/>
          <w:szCs w:val="20"/>
        </w:rPr>
        <w:t xml:space="preserve"> – Grant Income </w:t>
      </w:r>
      <w:r w:rsidR="005D047B">
        <w:rPr>
          <w:rFonts w:ascii="Arial" w:hAnsi="Arial" w:cs="Arial"/>
          <w:color w:val="auto"/>
          <w:sz w:val="20"/>
          <w:szCs w:val="20"/>
        </w:rPr>
        <w:t xml:space="preserve"> (Cont’d)</w:t>
      </w:r>
    </w:p>
    <w:p w:rsidR="005D047B" w:rsidRDefault="005D047B" w:rsidP="00AD3F6D">
      <w:pPr>
        <w:spacing w:before="0" w:after="0"/>
        <w:rPr>
          <w:rFonts w:ascii="Arial" w:hAnsi="Arial" w:cs="Arial"/>
        </w:rPr>
      </w:pPr>
    </w:p>
    <w:p w:rsidR="00AD3F6D" w:rsidRPr="00375FD4" w:rsidRDefault="00AD3F6D" w:rsidP="00AD3F6D">
      <w:pPr>
        <w:spacing w:before="0" w:after="0"/>
        <w:rPr>
          <w:rFonts w:ascii="Arial" w:hAnsi="Arial" w:cs="Arial"/>
        </w:rPr>
      </w:pPr>
      <w:r>
        <w:rPr>
          <w:rFonts w:ascii="Arial" w:hAnsi="Arial" w:cs="Arial"/>
        </w:rPr>
        <w:t>The c</w:t>
      </w:r>
      <w:r w:rsidRPr="00375FD4">
        <w:rPr>
          <w:rFonts w:ascii="Arial" w:hAnsi="Arial" w:cs="Arial"/>
        </w:rPr>
        <w:t>ouncil credited the following grants to Services within the Comprehensive Income a</w:t>
      </w:r>
      <w:r w:rsidR="005D047B">
        <w:rPr>
          <w:rFonts w:ascii="Arial" w:hAnsi="Arial" w:cs="Arial"/>
        </w:rPr>
        <w:t>nd Expenditure Statement in 2019/20</w:t>
      </w:r>
      <w:r w:rsidRPr="00375FD4">
        <w:rPr>
          <w:rFonts w:ascii="Arial" w:hAnsi="Arial" w:cs="Arial"/>
        </w:rPr>
        <w:t>.</w:t>
      </w:r>
    </w:p>
    <w:p w:rsidR="00AD3F6D" w:rsidRPr="00375FD4" w:rsidRDefault="00AD3F6D" w:rsidP="00AD3F6D">
      <w:pPr>
        <w:spacing w:before="0" w:after="0"/>
        <w:ind w:left="720"/>
        <w:jc w:val="both"/>
        <w:rPr>
          <w:rFonts w:ascii="Arial" w:hAnsi="Arial" w:cs="Arial"/>
        </w:rPr>
      </w:pPr>
    </w:p>
    <w:p w:rsidR="00AD3F6D" w:rsidRDefault="003117AF" w:rsidP="00AD3F6D">
      <w:pPr>
        <w:spacing w:before="0" w:after="0"/>
        <w:rPr>
          <w:rFonts w:asciiTheme="minorHAnsi" w:eastAsiaTheme="minorHAnsi" w:hAnsiTheme="minorHAnsi" w:cstheme="minorBidi"/>
          <w:sz w:val="22"/>
          <w:szCs w:val="22"/>
        </w:rPr>
      </w:pPr>
      <w:r w:rsidRPr="003117AF">
        <w:rPr>
          <w:rFonts w:eastAsiaTheme="minorHAnsi"/>
          <w:noProof/>
          <w:lang w:eastAsia="en-GB"/>
        </w:rPr>
        <w:drawing>
          <wp:inline distT="0" distB="0" distL="0" distR="0">
            <wp:extent cx="5486400" cy="2286000"/>
            <wp:effectExtent l="0" t="0" r="0" b="0"/>
            <wp:docPr id="58" name="Picture 58" descr="detail of the grant income credited to the income and expenditure account" title="note 8 grant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rsidR="00AD3F6D" w:rsidRDefault="00AD3F6D" w:rsidP="00AD3F6D">
      <w:pPr>
        <w:spacing w:before="0" w:after="0"/>
        <w:rPr>
          <w:rFonts w:asciiTheme="minorHAnsi" w:eastAsiaTheme="minorHAnsi" w:hAnsiTheme="minorHAnsi" w:cstheme="minorBidi"/>
          <w:sz w:val="22"/>
          <w:szCs w:val="22"/>
        </w:rPr>
      </w:pPr>
    </w:p>
    <w:p w:rsidR="00AD3F6D" w:rsidRDefault="00AD3F6D" w:rsidP="00AD3F6D">
      <w:pPr>
        <w:spacing w:before="0" w:after="0"/>
        <w:rPr>
          <w:rFonts w:ascii="Arial" w:hAnsi="Arial" w:cs="Arial"/>
        </w:rPr>
      </w:pPr>
      <w:r>
        <w:rPr>
          <w:rFonts w:ascii="Arial" w:hAnsi="Arial" w:cs="Arial"/>
        </w:rPr>
        <w:t>The c</w:t>
      </w:r>
      <w:r w:rsidRPr="00375FD4">
        <w:rPr>
          <w:rFonts w:ascii="Arial" w:hAnsi="Arial" w:cs="Arial"/>
        </w:rPr>
        <w:t>ouncil has received a number of grants that have yet to be recognised as income as they have conditions attached to them that will require the monies or property to be returned to the giver.  The balances at the year end are as follows:</w:t>
      </w:r>
    </w:p>
    <w:p w:rsidR="00AD3F6D" w:rsidRPr="00375FD4" w:rsidRDefault="00AD3F6D" w:rsidP="00AD3F6D">
      <w:pPr>
        <w:spacing w:before="0" w:after="0"/>
        <w:rPr>
          <w:rFonts w:ascii="Arial" w:hAnsi="Arial" w:cs="Arial"/>
        </w:rPr>
      </w:pPr>
    </w:p>
    <w:p w:rsidR="00AD3F6D" w:rsidRDefault="002A7177" w:rsidP="00AD3F6D">
      <w:pPr>
        <w:spacing w:before="0" w:after="0" w:line="360" w:lineRule="auto"/>
        <w:rPr>
          <w:rFonts w:ascii="Arial" w:hAnsi="Arial" w:cs="Arial"/>
          <w:b/>
          <w:sz w:val="24"/>
          <w:szCs w:val="24"/>
        </w:rPr>
      </w:pPr>
      <w:r w:rsidRPr="002A7177">
        <w:rPr>
          <w:noProof/>
          <w:lang w:eastAsia="en-GB"/>
        </w:rPr>
        <w:drawing>
          <wp:inline distT="0" distB="0" distL="0" distR="0">
            <wp:extent cx="5486400" cy="1151890"/>
            <wp:effectExtent l="0" t="0" r="0" b="0"/>
            <wp:docPr id="137" name="Picture 137" descr="detail of grant income not yet recognised as income within the statements" title="note 8 grant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86400" cy="1151890"/>
                    </a:xfrm>
                    <a:prstGeom prst="rect">
                      <a:avLst/>
                    </a:prstGeom>
                    <a:noFill/>
                    <a:ln>
                      <a:noFill/>
                    </a:ln>
                  </pic:spPr>
                </pic:pic>
              </a:graphicData>
            </a:graphic>
          </wp:inline>
        </w:drawing>
      </w:r>
    </w:p>
    <w:p w:rsidR="0003227D" w:rsidRPr="00375FD4" w:rsidRDefault="0003227D">
      <w:pPr>
        <w:spacing w:before="0" w:after="200" w:line="276" w:lineRule="auto"/>
        <w:rPr>
          <w:rFonts w:ascii="Arial" w:hAnsi="Arial" w:cs="Arial"/>
          <w:b/>
        </w:rPr>
      </w:pPr>
      <w:r w:rsidRPr="00375FD4">
        <w:rPr>
          <w:rFonts w:ascii="Arial" w:hAnsi="Arial" w:cs="Arial"/>
          <w:b/>
        </w:rPr>
        <w:br w:type="page"/>
      </w:r>
    </w:p>
    <w:p w:rsidR="007E0365" w:rsidRPr="00375FD4" w:rsidRDefault="007E0365" w:rsidP="007E0365">
      <w:pPr>
        <w:spacing w:before="0" w:after="0" w:line="360" w:lineRule="auto"/>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0A3446" w:rsidRDefault="00E50759" w:rsidP="0003227D">
      <w:pPr>
        <w:pStyle w:val="Heading1"/>
        <w:spacing w:before="0"/>
        <w:rPr>
          <w:rFonts w:ascii="Arial" w:hAnsi="Arial" w:cs="Arial"/>
          <w:color w:val="auto"/>
          <w:sz w:val="20"/>
          <w:szCs w:val="20"/>
        </w:rPr>
      </w:pPr>
      <w:r>
        <w:rPr>
          <w:rFonts w:ascii="Arial" w:hAnsi="Arial" w:cs="Arial"/>
          <w:color w:val="auto"/>
          <w:sz w:val="20"/>
          <w:szCs w:val="20"/>
        </w:rPr>
        <w:t>Note 9</w:t>
      </w:r>
      <w:r w:rsidR="00990216" w:rsidRPr="000A3446">
        <w:rPr>
          <w:rFonts w:ascii="Arial" w:hAnsi="Arial" w:cs="Arial"/>
          <w:color w:val="auto"/>
          <w:sz w:val="20"/>
          <w:szCs w:val="20"/>
        </w:rPr>
        <w:t xml:space="preserve"> – Operating Leases </w:t>
      </w:r>
    </w:p>
    <w:p w:rsidR="00990216" w:rsidRPr="00375FD4" w:rsidRDefault="00990216" w:rsidP="00990216">
      <w:pPr>
        <w:spacing w:before="0" w:after="0"/>
        <w:rPr>
          <w:rFonts w:ascii="Arial" w:hAnsi="Arial" w:cs="Arial"/>
        </w:rPr>
      </w:pPr>
    </w:p>
    <w:p w:rsidR="00990216" w:rsidRDefault="00312456" w:rsidP="00F20C34">
      <w:pPr>
        <w:spacing w:before="0" w:after="0"/>
        <w:rPr>
          <w:rFonts w:ascii="Arial" w:hAnsi="Arial" w:cs="Arial"/>
          <w:b/>
        </w:rPr>
      </w:pPr>
      <w:r>
        <w:rPr>
          <w:rFonts w:ascii="Arial" w:hAnsi="Arial" w:cs="Arial"/>
          <w:b/>
        </w:rPr>
        <w:t>Council</w:t>
      </w:r>
      <w:r w:rsidR="00990216" w:rsidRPr="00375FD4">
        <w:rPr>
          <w:rFonts w:ascii="Arial" w:hAnsi="Arial" w:cs="Arial"/>
          <w:b/>
        </w:rPr>
        <w:t xml:space="preserve"> as Lessee</w:t>
      </w:r>
    </w:p>
    <w:p w:rsidR="007E0365" w:rsidRPr="00375FD4" w:rsidRDefault="007E0365" w:rsidP="00F664F6">
      <w:pPr>
        <w:spacing w:before="0" w:after="0"/>
        <w:ind w:firstLine="142"/>
        <w:rPr>
          <w:rFonts w:ascii="Arial" w:hAnsi="Arial" w:cs="Arial"/>
          <w:b/>
        </w:rPr>
      </w:pPr>
    </w:p>
    <w:p w:rsidR="00990216" w:rsidRPr="00375FD4" w:rsidRDefault="00990216" w:rsidP="001F1E67">
      <w:pPr>
        <w:spacing w:before="0" w:after="0"/>
        <w:jc w:val="both"/>
        <w:rPr>
          <w:rFonts w:ascii="Arial" w:hAnsi="Arial" w:cs="Arial"/>
        </w:rPr>
      </w:pPr>
      <w:r w:rsidRPr="00375FD4">
        <w:rPr>
          <w:rFonts w:ascii="Arial" w:hAnsi="Arial" w:cs="Arial"/>
        </w:rPr>
        <w:t xml:space="preserve">The </w:t>
      </w:r>
      <w:r w:rsidR="00F0035F">
        <w:rPr>
          <w:rFonts w:ascii="Arial" w:hAnsi="Arial" w:cs="Arial"/>
        </w:rPr>
        <w:t>c</w:t>
      </w:r>
      <w:r w:rsidR="00312456">
        <w:rPr>
          <w:rFonts w:ascii="Arial" w:hAnsi="Arial" w:cs="Arial"/>
        </w:rPr>
        <w:t>ouncil</w:t>
      </w:r>
      <w:r w:rsidRPr="00375FD4">
        <w:rPr>
          <w:rFonts w:ascii="Arial" w:hAnsi="Arial" w:cs="Arial"/>
        </w:rPr>
        <w:t xml:space="preserve"> occupies a number of properties by way of an operating lease. The future minimum lease payment due under non-cancellable leases in future years are:</w:t>
      </w:r>
    </w:p>
    <w:p w:rsidR="00990216" w:rsidRPr="00375FD4" w:rsidRDefault="00990216" w:rsidP="00F664F6">
      <w:pPr>
        <w:spacing w:before="0" w:after="0"/>
        <w:ind w:left="709" w:firstLine="142"/>
        <w:rPr>
          <w:rFonts w:ascii="Arial" w:hAnsi="Arial" w:cs="Arial"/>
        </w:rPr>
      </w:pPr>
    </w:p>
    <w:p w:rsidR="00990216" w:rsidRPr="00375FD4" w:rsidRDefault="00261A4B" w:rsidP="00F664F6">
      <w:pPr>
        <w:spacing w:before="0" w:after="0"/>
        <w:ind w:left="720" w:firstLine="142"/>
        <w:rPr>
          <w:rFonts w:ascii="Arial" w:hAnsi="Arial" w:cs="Arial"/>
        </w:rPr>
      </w:pPr>
      <w:r w:rsidRPr="00261A4B">
        <w:rPr>
          <w:noProof/>
          <w:lang w:eastAsia="en-GB"/>
        </w:rPr>
        <w:drawing>
          <wp:inline distT="0" distB="0" distL="0" distR="0">
            <wp:extent cx="4705350" cy="990600"/>
            <wp:effectExtent l="0" t="0" r="0" b="0"/>
            <wp:docPr id="35" name="Picture 35" descr="The future minimum lease payment due under non-cancellable leases in future years" title="note 9 l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noFill/>
                    <a:ln>
                      <a:noFill/>
                    </a:ln>
                  </pic:spPr>
                </pic:pic>
              </a:graphicData>
            </a:graphic>
          </wp:inline>
        </w:drawing>
      </w:r>
    </w:p>
    <w:p w:rsidR="0003227D" w:rsidRPr="00375FD4" w:rsidRDefault="0003227D" w:rsidP="00F664F6">
      <w:pPr>
        <w:spacing w:before="0" w:after="0"/>
        <w:ind w:left="720" w:firstLine="142"/>
        <w:rPr>
          <w:rFonts w:ascii="Arial" w:hAnsi="Arial" w:cs="Arial"/>
        </w:rPr>
      </w:pPr>
    </w:p>
    <w:p w:rsidR="00990216" w:rsidRPr="00375FD4" w:rsidRDefault="00990216" w:rsidP="001F1E67">
      <w:pPr>
        <w:spacing w:before="0" w:after="0"/>
        <w:jc w:val="both"/>
        <w:rPr>
          <w:rFonts w:ascii="Arial" w:hAnsi="Arial" w:cs="Arial"/>
        </w:rPr>
      </w:pPr>
      <w:r w:rsidRPr="00375FD4">
        <w:rPr>
          <w:rFonts w:ascii="Arial" w:hAnsi="Arial" w:cs="Arial"/>
        </w:rPr>
        <w:t xml:space="preserve">The expenditure charged to the appropriate service lines in the Comprehensive Income and </w:t>
      </w:r>
      <w:r w:rsidRPr="00AE25C3">
        <w:rPr>
          <w:rFonts w:ascii="Arial" w:hAnsi="Arial" w:cs="Arial"/>
        </w:rPr>
        <w:t xml:space="preserve">Expenditure Statement during the year in relation to these leases </w:t>
      </w:r>
      <w:r w:rsidRPr="00615956">
        <w:rPr>
          <w:rFonts w:ascii="Arial" w:hAnsi="Arial" w:cs="Arial"/>
        </w:rPr>
        <w:t>was £</w:t>
      </w:r>
      <w:r w:rsidR="00EE033C" w:rsidRPr="00615956">
        <w:rPr>
          <w:rFonts w:ascii="Arial" w:hAnsi="Arial" w:cs="Arial"/>
        </w:rPr>
        <w:t>0</w:t>
      </w:r>
      <w:r w:rsidR="00615956" w:rsidRPr="00615956">
        <w:rPr>
          <w:rFonts w:ascii="Arial" w:hAnsi="Arial" w:cs="Arial"/>
        </w:rPr>
        <w:t>.753</w:t>
      </w:r>
      <w:r w:rsidRPr="00615956">
        <w:rPr>
          <w:rFonts w:ascii="Arial" w:hAnsi="Arial" w:cs="Arial"/>
        </w:rPr>
        <w:t>m (201</w:t>
      </w:r>
      <w:r w:rsidR="005D047B" w:rsidRPr="00615956">
        <w:rPr>
          <w:rFonts w:ascii="Arial" w:hAnsi="Arial" w:cs="Arial"/>
        </w:rPr>
        <w:t>8</w:t>
      </w:r>
      <w:r w:rsidR="005D047B">
        <w:rPr>
          <w:rFonts w:ascii="Arial" w:hAnsi="Arial" w:cs="Arial"/>
        </w:rPr>
        <w:t>/19</w:t>
      </w:r>
      <w:r w:rsidR="00BA4CB0" w:rsidRPr="00AE25C3">
        <w:rPr>
          <w:rFonts w:ascii="Arial" w:hAnsi="Arial" w:cs="Arial"/>
        </w:rPr>
        <w:t xml:space="preserve"> -</w:t>
      </w:r>
      <w:r w:rsidR="005D047B">
        <w:rPr>
          <w:rFonts w:ascii="Arial" w:hAnsi="Arial" w:cs="Arial"/>
        </w:rPr>
        <w:t xml:space="preserve"> £0.720</w:t>
      </w:r>
      <w:r w:rsidRPr="00AE25C3">
        <w:rPr>
          <w:rFonts w:ascii="Arial" w:hAnsi="Arial" w:cs="Arial"/>
        </w:rPr>
        <w:t>m).</w:t>
      </w:r>
    </w:p>
    <w:p w:rsidR="00990216" w:rsidRPr="00375FD4" w:rsidRDefault="00990216" w:rsidP="00F664F6">
      <w:pPr>
        <w:spacing w:before="0" w:after="0"/>
        <w:ind w:firstLine="142"/>
        <w:rPr>
          <w:rFonts w:ascii="Arial" w:hAnsi="Arial" w:cs="Arial"/>
        </w:rPr>
      </w:pPr>
    </w:p>
    <w:p w:rsidR="00990216" w:rsidRDefault="00F0035F" w:rsidP="001F1E67">
      <w:pPr>
        <w:spacing w:before="0" w:after="0"/>
        <w:jc w:val="both"/>
        <w:rPr>
          <w:rFonts w:ascii="Arial" w:hAnsi="Arial" w:cs="Arial"/>
        </w:rPr>
      </w:pPr>
      <w:r>
        <w:rPr>
          <w:rFonts w:ascii="Arial" w:hAnsi="Arial" w:cs="Arial"/>
        </w:rPr>
        <w:t>The c</w:t>
      </w:r>
      <w:r w:rsidR="00990216" w:rsidRPr="00375FD4">
        <w:rPr>
          <w:rFonts w:ascii="Arial" w:hAnsi="Arial" w:cs="Arial"/>
        </w:rPr>
        <w:t xml:space="preserve">ouncil has acquired vehicles </w:t>
      </w:r>
      <w:r w:rsidR="00FE6B44">
        <w:rPr>
          <w:rFonts w:ascii="Arial" w:hAnsi="Arial" w:cs="Arial"/>
        </w:rPr>
        <w:t xml:space="preserve">and equipment </w:t>
      </w:r>
      <w:r w:rsidR="00990216" w:rsidRPr="00375FD4">
        <w:rPr>
          <w:rFonts w:ascii="Arial" w:hAnsi="Arial" w:cs="Arial"/>
        </w:rPr>
        <w:t>by entering into operating leases. The future minimum lease payment due under non-cancellable leases in future years are:</w:t>
      </w:r>
    </w:p>
    <w:p w:rsidR="006D35D9" w:rsidRPr="00375FD4" w:rsidRDefault="006D35D9" w:rsidP="00F664F6">
      <w:pPr>
        <w:spacing w:before="0" w:after="0"/>
        <w:ind w:left="720" w:firstLine="142"/>
        <w:jc w:val="both"/>
        <w:rPr>
          <w:rFonts w:ascii="Arial" w:hAnsi="Arial" w:cs="Arial"/>
        </w:rPr>
      </w:pPr>
    </w:p>
    <w:p w:rsidR="00990216" w:rsidRPr="00375FD4" w:rsidRDefault="00261A4B" w:rsidP="00F664F6">
      <w:pPr>
        <w:spacing w:before="0" w:after="0"/>
        <w:ind w:left="720" w:firstLine="142"/>
        <w:rPr>
          <w:rFonts w:ascii="Arial" w:hAnsi="Arial" w:cs="Arial"/>
        </w:rPr>
      </w:pPr>
      <w:r w:rsidRPr="00261A4B">
        <w:rPr>
          <w:noProof/>
          <w:lang w:eastAsia="en-GB"/>
        </w:rPr>
        <w:drawing>
          <wp:inline distT="0" distB="0" distL="0" distR="0">
            <wp:extent cx="4705350" cy="990600"/>
            <wp:effectExtent l="0" t="0" r="0" b="0"/>
            <wp:docPr id="36" name="Picture 36" descr="The future minimum lease payment due under non-cancellable leases in future years" title="note 9 operation l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noFill/>
                    <a:ln>
                      <a:noFill/>
                    </a:ln>
                  </pic:spPr>
                </pic:pic>
              </a:graphicData>
            </a:graphic>
          </wp:inline>
        </w:drawing>
      </w:r>
    </w:p>
    <w:p w:rsidR="0003227D" w:rsidRPr="00375FD4" w:rsidRDefault="0003227D" w:rsidP="00F664F6">
      <w:pPr>
        <w:spacing w:before="0" w:after="0"/>
        <w:ind w:left="720" w:firstLine="142"/>
        <w:rPr>
          <w:rFonts w:ascii="Arial" w:hAnsi="Arial" w:cs="Arial"/>
        </w:rPr>
      </w:pPr>
    </w:p>
    <w:p w:rsidR="00F664F6" w:rsidRDefault="00F664F6" w:rsidP="001F1E67">
      <w:pPr>
        <w:spacing w:before="0" w:after="0"/>
        <w:jc w:val="both"/>
        <w:rPr>
          <w:rFonts w:ascii="Arial" w:hAnsi="Arial" w:cs="Arial"/>
        </w:rPr>
      </w:pPr>
    </w:p>
    <w:p w:rsidR="00990216" w:rsidRPr="00375FD4" w:rsidRDefault="00990216" w:rsidP="001F1E67">
      <w:pPr>
        <w:spacing w:before="0" w:after="0"/>
        <w:jc w:val="both"/>
        <w:rPr>
          <w:rFonts w:ascii="Arial" w:hAnsi="Arial" w:cs="Arial"/>
        </w:rPr>
      </w:pPr>
      <w:r w:rsidRPr="00375FD4">
        <w:rPr>
          <w:rFonts w:ascii="Arial" w:hAnsi="Arial" w:cs="Arial"/>
        </w:rPr>
        <w:t xml:space="preserve">The expenditure charged to the appropriate service lines in the Comprehensive Income and </w:t>
      </w:r>
      <w:r w:rsidRPr="00AE25C3">
        <w:rPr>
          <w:rFonts w:ascii="Arial" w:hAnsi="Arial" w:cs="Arial"/>
        </w:rPr>
        <w:t xml:space="preserve">Expenditure Statement during the year in relation to these leases </w:t>
      </w:r>
      <w:r w:rsidRPr="00615956">
        <w:rPr>
          <w:rFonts w:ascii="Arial" w:hAnsi="Arial" w:cs="Arial"/>
        </w:rPr>
        <w:t>was £</w:t>
      </w:r>
      <w:r w:rsidR="00615956" w:rsidRPr="00615956">
        <w:rPr>
          <w:rFonts w:ascii="Arial" w:hAnsi="Arial" w:cs="Arial"/>
        </w:rPr>
        <w:t>0.263</w:t>
      </w:r>
      <w:r w:rsidRPr="00615956">
        <w:rPr>
          <w:rFonts w:ascii="Arial" w:hAnsi="Arial" w:cs="Arial"/>
        </w:rPr>
        <w:t>m (201</w:t>
      </w:r>
      <w:r w:rsidR="005D047B" w:rsidRPr="00615956">
        <w:rPr>
          <w:rFonts w:ascii="Arial" w:hAnsi="Arial" w:cs="Arial"/>
        </w:rPr>
        <w:t>8</w:t>
      </w:r>
      <w:r w:rsidR="005D047B">
        <w:rPr>
          <w:rFonts w:ascii="Arial" w:hAnsi="Arial" w:cs="Arial"/>
        </w:rPr>
        <w:t>/19</w:t>
      </w:r>
      <w:r w:rsidRPr="00AE25C3">
        <w:rPr>
          <w:rFonts w:ascii="Arial" w:hAnsi="Arial" w:cs="Arial"/>
        </w:rPr>
        <w:t xml:space="preserve"> -</w:t>
      </w:r>
      <w:r w:rsidR="005D047B">
        <w:rPr>
          <w:rFonts w:ascii="Arial" w:hAnsi="Arial" w:cs="Arial"/>
        </w:rPr>
        <w:t xml:space="preserve"> £0.225</w:t>
      </w:r>
      <w:r w:rsidRPr="00AE25C3">
        <w:rPr>
          <w:rFonts w:ascii="Arial" w:hAnsi="Arial" w:cs="Arial"/>
        </w:rPr>
        <w:t>m).</w:t>
      </w:r>
    </w:p>
    <w:p w:rsidR="00990216" w:rsidRPr="00375FD4" w:rsidRDefault="00990216" w:rsidP="00F664F6">
      <w:pPr>
        <w:spacing w:before="0" w:after="0"/>
        <w:ind w:firstLine="142"/>
        <w:jc w:val="both"/>
        <w:rPr>
          <w:rFonts w:ascii="Arial" w:hAnsi="Arial" w:cs="Arial"/>
        </w:rPr>
      </w:pPr>
    </w:p>
    <w:p w:rsidR="00FE6B44" w:rsidRPr="00375FD4" w:rsidRDefault="00FE6B44" w:rsidP="001F1E67">
      <w:pPr>
        <w:pStyle w:val="Heading4"/>
        <w:spacing w:before="0" w:after="0"/>
        <w:ind w:firstLine="0"/>
        <w:rPr>
          <w:rFonts w:ascii="Arial" w:hAnsi="Arial" w:cs="Arial"/>
          <w:sz w:val="20"/>
          <w:szCs w:val="20"/>
        </w:rPr>
      </w:pPr>
      <w:r>
        <w:rPr>
          <w:rFonts w:ascii="Arial" w:hAnsi="Arial" w:cs="Arial"/>
          <w:sz w:val="20"/>
          <w:szCs w:val="20"/>
        </w:rPr>
        <w:t>Council</w:t>
      </w:r>
      <w:r w:rsidRPr="00375FD4">
        <w:rPr>
          <w:rFonts w:ascii="Arial" w:hAnsi="Arial" w:cs="Arial"/>
          <w:sz w:val="20"/>
          <w:szCs w:val="20"/>
        </w:rPr>
        <w:t xml:space="preserve"> as Lessor</w:t>
      </w:r>
    </w:p>
    <w:p w:rsidR="00FE6B44" w:rsidRPr="00375FD4" w:rsidRDefault="00FE6B44" w:rsidP="001F1E67">
      <w:pPr>
        <w:spacing w:before="0" w:after="0"/>
        <w:rPr>
          <w:rFonts w:ascii="Arial" w:hAnsi="Arial" w:cs="Arial"/>
        </w:rPr>
      </w:pPr>
      <w:r w:rsidRPr="00375FD4">
        <w:rPr>
          <w:rFonts w:ascii="Arial" w:hAnsi="Arial" w:cs="Arial"/>
        </w:rPr>
        <w:t xml:space="preserve">The </w:t>
      </w:r>
      <w:r w:rsidR="00F0035F">
        <w:rPr>
          <w:rFonts w:ascii="Arial" w:hAnsi="Arial" w:cs="Arial"/>
        </w:rPr>
        <w:t>c</w:t>
      </w:r>
      <w:r>
        <w:rPr>
          <w:rFonts w:ascii="Arial" w:hAnsi="Arial" w:cs="Arial"/>
        </w:rPr>
        <w:t>ouncil</w:t>
      </w:r>
      <w:r w:rsidRPr="00375FD4">
        <w:rPr>
          <w:rFonts w:ascii="Arial" w:hAnsi="Arial" w:cs="Arial"/>
        </w:rPr>
        <w:t xml:space="preserve"> leases out property under operating leases for the following purposes:</w:t>
      </w:r>
    </w:p>
    <w:p w:rsidR="00FE6B44" w:rsidRPr="00375FD4" w:rsidRDefault="00FE6B44" w:rsidP="00F664F6">
      <w:pPr>
        <w:spacing w:before="0" w:after="0"/>
        <w:ind w:firstLine="142"/>
        <w:rPr>
          <w:rFonts w:ascii="Arial" w:hAnsi="Arial" w:cs="Arial"/>
        </w:rPr>
      </w:pPr>
    </w:p>
    <w:p w:rsidR="00FE6B44" w:rsidRPr="001F1E67" w:rsidRDefault="00FE6B44" w:rsidP="00EA6E47">
      <w:pPr>
        <w:pStyle w:val="ListParagraph"/>
        <w:numPr>
          <w:ilvl w:val="0"/>
          <w:numId w:val="42"/>
        </w:numPr>
        <w:spacing w:before="0" w:after="0"/>
        <w:rPr>
          <w:rFonts w:ascii="Arial" w:hAnsi="Arial" w:cs="Arial"/>
        </w:rPr>
      </w:pPr>
      <w:r w:rsidRPr="001F1E67">
        <w:rPr>
          <w:rFonts w:ascii="Arial" w:hAnsi="Arial" w:cs="Arial"/>
        </w:rPr>
        <w:t>For the provision of community services, such as sports facilities, tourism services and community centres; and</w:t>
      </w:r>
    </w:p>
    <w:p w:rsidR="00FE6B44" w:rsidRPr="00375FD4" w:rsidRDefault="00FE6B44" w:rsidP="00EA6E47">
      <w:pPr>
        <w:pStyle w:val="ListParagraph"/>
        <w:numPr>
          <w:ilvl w:val="0"/>
          <w:numId w:val="42"/>
        </w:numPr>
        <w:spacing w:before="0" w:after="0"/>
        <w:rPr>
          <w:rFonts w:ascii="Arial" w:hAnsi="Arial" w:cs="Arial"/>
        </w:rPr>
      </w:pPr>
      <w:r w:rsidRPr="00375FD4">
        <w:rPr>
          <w:rFonts w:ascii="Arial" w:hAnsi="Arial" w:cs="Arial"/>
        </w:rPr>
        <w:t>For economic development purposes to provide suitable affordable accommodation for local businesses.</w:t>
      </w:r>
    </w:p>
    <w:p w:rsidR="00FE6B44" w:rsidRPr="00375FD4" w:rsidRDefault="00FE6B44" w:rsidP="00F664F6">
      <w:pPr>
        <w:spacing w:before="0" w:after="0"/>
        <w:ind w:firstLine="142"/>
        <w:rPr>
          <w:rFonts w:ascii="Arial" w:hAnsi="Arial" w:cs="Arial"/>
        </w:rPr>
      </w:pPr>
    </w:p>
    <w:p w:rsidR="00FE6B44" w:rsidRPr="00375FD4" w:rsidRDefault="00FE6B44" w:rsidP="00F664F6">
      <w:pPr>
        <w:spacing w:before="0" w:after="0"/>
        <w:ind w:firstLine="142"/>
        <w:rPr>
          <w:rFonts w:ascii="Arial" w:hAnsi="Arial" w:cs="Arial"/>
        </w:rPr>
      </w:pPr>
      <w:r w:rsidRPr="00375FD4">
        <w:rPr>
          <w:rFonts w:ascii="Arial" w:hAnsi="Arial" w:cs="Arial"/>
        </w:rPr>
        <w:t>The future minimum lease payment due under non-cancellable leases in future years are:</w:t>
      </w:r>
    </w:p>
    <w:p w:rsidR="00FE6B44" w:rsidRPr="00375FD4" w:rsidRDefault="00FE6B44" w:rsidP="00F664F6">
      <w:pPr>
        <w:spacing w:before="0" w:after="0"/>
        <w:ind w:firstLine="142"/>
        <w:rPr>
          <w:rFonts w:ascii="Arial" w:hAnsi="Arial" w:cs="Arial"/>
          <w:b/>
        </w:rPr>
      </w:pPr>
    </w:p>
    <w:p w:rsidR="00FE6B44" w:rsidRPr="00375FD4" w:rsidRDefault="000E6311" w:rsidP="00F664F6">
      <w:pPr>
        <w:spacing w:before="0" w:after="0"/>
        <w:ind w:firstLine="142"/>
        <w:rPr>
          <w:rFonts w:ascii="Arial" w:hAnsi="Arial" w:cs="Arial"/>
          <w:b/>
        </w:rPr>
      </w:pPr>
      <w:r w:rsidRPr="000E6311">
        <w:rPr>
          <w:noProof/>
          <w:lang w:eastAsia="en-GB"/>
        </w:rPr>
        <w:drawing>
          <wp:inline distT="0" distB="0" distL="0" distR="0">
            <wp:extent cx="4705350" cy="990600"/>
            <wp:effectExtent l="0" t="0" r="0" b="0"/>
            <wp:docPr id="37" name="Picture 37" descr="The future minimum lease payment due under non-cancellable leases in future years " title="note 9 operating l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noFill/>
                    <a:ln>
                      <a:noFill/>
                    </a:ln>
                  </pic:spPr>
                </pic:pic>
              </a:graphicData>
            </a:graphic>
          </wp:inline>
        </w:drawing>
      </w:r>
    </w:p>
    <w:p w:rsidR="0003227D" w:rsidRPr="00375FD4" w:rsidRDefault="0003227D" w:rsidP="00F664F6">
      <w:pPr>
        <w:spacing w:before="0" w:after="200" w:line="276" w:lineRule="auto"/>
        <w:ind w:firstLine="142"/>
        <w:rPr>
          <w:rFonts w:ascii="Arial" w:hAnsi="Arial" w:cs="Arial"/>
          <w:b/>
        </w:rPr>
      </w:pPr>
      <w:r w:rsidRPr="00375FD4">
        <w:rPr>
          <w:rFonts w:ascii="Arial" w:hAnsi="Arial" w:cs="Arial"/>
          <w:b/>
        </w:rPr>
        <w:br w:type="page"/>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Default="00990216" w:rsidP="00990216">
      <w:pPr>
        <w:spacing w:before="0" w:after="0"/>
        <w:ind w:left="709"/>
        <w:rPr>
          <w:rFonts w:ascii="Arial" w:hAnsi="Arial" w:cs="Arial"/>
          <w:b/>
        </w:rPr>
      </w:pPr>
    </w:p>
    <w:p w:rsidR="00307231" w:rsidRPr="000A3446" w:rsidRDefault="00E50759" w:rsidP="00307231">
      <w:pPr>
        <w:pStyle w:val="Heading1"/>
        <w:spacing w:before="0"/>
        <w:rPr>
          <w:rFonts w:ascii="Arial" w:hAnsi="Arial" w:cs="Arial"/>
          <w:color w:val="auto"/>
          <w:sz w:val="20"/>
          <w:szCs w:val="20"/>
        </w:rPr>
      </w:pPr>
      <w:r>
        <w:rPr>
          <w:rFonts w:ascii="Arial" w:hAnsi="Arial" w:cs="Arial"/>
          <w:color w:val="auto"/>
          <w:sz w:val="20"/>
          <w:szCs w:val="20"/>
        </w:rPr>
        <w:t>Note 9</w:t>
      </w:r>
      <w:r w:rsidR="00307231" w:rsidRPr="000A3446">
        <w:rPr>
          <w:rFonts w:ascii="Arial" w:hAnsi="Arial" w:cs="Arial"/>
          <w:color w:val="auto"/>
          <w:sz w:val="20"/>
          <w:szCs w:val="20"/>
        </w:rPr>
        <w:t xml:space="preserve"> – Operating Leases </w:t>
      </w:r>
      <w:r w:rsidR="00307231">
        <w:rPr>
          <w:rFonts w:ascii="Arial" w:hAnsi="Arial" w:cs="Arial"/>
          <w:color w:val="auto"/>
          <w:sz w:val="20"/>
          <w:szCs w:val="20"/>
        </w:rPr>
        <w:t>(Cont’d)</w:t>
      </w:r>
    </w:p>
    <w:p w:rsidR="00307231" w:rsidRDefault="00307231" w:rsidP="007E0365">
      <w:pPr>
        <w:pStyle w:val="Heading4"/>
        <w:spacing w:before="0" w:after="0"/>
        <w:rPr>
          <w:rFonts w:ascii="Arial" w:hAnsi="Arial" w:cs="Arial"/>
          <w:sz w:val="20"/>
          <w:szCs w:val="20"/>
        </w:rPr>
      </w:pPr>
    </w:p>
    <w:p w:rsidR="00990216" w:rsidRDefault="00990216" w:rsidP="00CC4B2C">
      <w:pPr>
        <w:spacing w:before="0" w:after="0"/>
        <w:rPr>
          <w:rFonts w:ascii="Arial" w:hAnsi="Arial" w:cs="Arial"/>
        </w:rPr>
      </w:pPr>
      <w:r w:rsidRPr="00375FD4">
        <w:rPr>
          <w:rFonts w:ascii="Arial" w:hAnsi="Arial" w:cs="Arial"/>
        </w:rPr>
        <w:t xml:space="preserve">The minimum lease payments receivable do not include rents that are contingent on events taking </w:t>
      </w:r>
      <w:r w:rsidRPr="00AE25C3">
        <w:rPr>
          <w:rFonts w:ascii="Arial" w:hAnsi="Arial" w:cs="Arial"/>
        </w:rPr>
        <w:t xml:space="preserve">place after the lease was entered into, such as adjustments following rent reviews.  In </w:t>
      </w:r>
      <w:r w:rsidRPr="0084011B">
        <w:rPr>
          <w:rFonts w:ascii="Arial" w:hAnsi="Arial" w:cs="Arial"/>
        </w:rPr>
        <w:t>201</w:t>
      </w:r>
      <w:r w:rsidR="008676A6" w:rsidRPr="0084011B">
        <w:rPr>
          <w:rFonts w:ascii="Arial" w:hAnsi="Arial" w:cs="Arial"/>
        </w:rPr>
        <w:t>9/20</w:t>
      </w:r>
      <w:r w:rsidRPr="0084011B">
        <w:rPr>
          <w:rFonts w:ascii="Arial" w:hAnsi="Arial" w:cs="Arial"/>
        </w:rPr>
        <w:t xml:space="preserve"> £</w:t>
      </w:r>
      <w:r w:rsidR="0084011B" w:rsidRPr="0084011B">
        <w:rPr>
          <w:rFonts w:ascii="Arial" w:hAnsi="Arial" w:cs="Arial"/>
        </w:rPr>
        <w:t>2.686</w:t>
      </w:r>
      <w:r w:rsidRPr="0084011B">
        <w:rPr>
          <w:rFonts w:ascii="Arial" w:hAnsi="Arial" w:cs="Arial"/>
        </w:rPr>
        <w:t>m</w:t>
      </w:r>
      <w:r w:rsidRPr="007E0365">
        <w:rPr>
          <w:rFonts w:ascii="Arial" w:hAnsi="Arial" w:cs="Arial"/>
        </w:rPr>
        <w:t xml:space="preserve"> contingent rents were receivable by the </w:t>
      </w:r>
      <w:r w:rsidR="00C920DD">
        <w:rPr>
          <w:rFonts w:ascii="Arial" w:hAnsi="Arial" w:cs="Arial"/>
        </w:rPr>
        <w:t>c</w:t>
      </w:r>
      <w:r w:rsidR="00312456">
        <w:rPr>
          <w:rFonts w:ascii="Arial" w:hAnsi="Arial" w:cs="Arial"/>
        </w:rPr>
        <w:t>ouncil</w:t>
      </w:r>
      <w:r w:rsidRPr="007E0365">
        <w:rPr>
          <w:rFonts w:ascii="Arial" w:hAnsi="Arial" w:cs="Arial"/>
        </w:rPr>
        <w:t xml:space="preserve"> (201</w:t>
      </w:r>
      <w:r w:rsidR="008676A6">
        <w:rPr>
          <w:rFonts w:ascii="Arial" w:hAnsi="Arial" w:cs="Arial"/>
        </w:rPr>
        <w:t>8/19</w:t>
      </w:r>
      <w:r w:rsidR="004B229F">
        <w:rPr>
          <w:rFonts w:ascii="Arial" w:hAnsi="Arial" w:cs="Arial"/>
        </w:rPr>
        <w:t xml:space="preserve"> £</w:t>
      </w:r>
      <w:r w:rsidR="008676A6">
        <w:rPr>
          <w:rFonts w:ascii="Arial" w:hAnsi="Arial" w:cs="Arial"/>
        </w:rPr>
        <w:t>2.758</w:t>
      </w:r>
      <w:r w:rsidRPr="007E0365">
        <w:rPr>
          <w:rFonts w:ascii="Arial" w:hAnsi="Arial" w:cs="Arial"/>
        </w:rPr>
        <w:t>m).</w:t>
      </w:r>
    </w:p>
    <w:p w:rsidR="00C75680" w:rsidRDefault="00C75680" w:rsidP="001F1E67">
      <w:pPr>
        <w:spacing w:before="0" w:after="0"/>
        <w:rPr>
          <w:rFonts w:ascii="Arial" w:hAnsi="Arial" w:cs="Arial"/>
        </w:rPr>
      </w:pPr>
    </w:p>
    <w:p w:rsidR="00C75680" w:rsidRPr="00375FD4" w:rsidRDefault="00C75680" w:rsidP="00F664F6">
      <w:pPr>
        <w:spacing w:before="0" w:after="0"/>
        <w:rPr>
          <w:rFonts w:ascii="Arial" w:hAnsi="Arial" w:cs="Arial"/>
        </w:rPr>
      </w:pPr>
      <w:r w:rsidRPr="00375FD4">
        <w:rPr>
          <w:rFonts w:ascii="Arial" w:hAnsi="Arial" w:cs="Arial"/>
          <w:b/>
        </w:rPr>
        <w:t>Finance Leases</w:t>
      </w:r>
      <w:r w:rsidR="00B34DD5">
        <w:rPr>
          <w:rFonts w:ascii="Arial" w:hAnsi="Arial" w:cs="Arial"/>
        </w:rPr>
        <w:t xml:space="preserve"> - </w:t>
      </w:r>
      <w:r w:rsidRPr="00375FD4">
        <w:rPr>
          <w:rFonts w:ascii="Arial" w:hAnsi="Arial" w:cs="Arial"/>
        </w:rPr>
        <w:t xml:space="preserve">The </w:t>
      </w:r>
      <w:r w:rsidR="00F0035F">
        <w:rPr>
          <w:rFonts w:ascii="Arial" w:hAnsi="Arial" w:cs="Arial"/>
        </w:rPr>
        <w:t>c</w:t>
      </w:r>
      <w:r>
        <w:rPr>
          <w:rFonts w:ascii="Arial" w:hAnsi="Arial" w:cs="Arial"/>
        </w:rPr>
        <w:t>ouncil</w:t>
      </w:r>
      <w:r w:rsidRPr="00375FD4">
        <w:rPr>
          <w:rFonts w:ascii="Arial" w:hAnsi="Arial" w:cs="Arial"/>
        </w:rPr>
        <w:t xml:space="preserve"> does not have any assets or liabilities under a finance lease</w:t>
      </w:r>
      <w:r>
        <w:rPr>
          <w:rFonts w:ascii="Arial" w:hAnsi="Arial" w:cs="Arial"/>
        </w:rPr>
        <w:t>, either as Lessee or Lessor</w:t>
      </w:r>
      <w:r w:rsidRPr="00375FD4">
        <w:rPr>
          <w:rFonts w:ascii="Arial" w:hAnsi="Arial" w:cs="Arial"/>
        </w:rPr>
        <w:t>.</w:t>
      </w:r>
    </w:p>
    <w:p w:rsidR="00990216" w:rsidRPr="00375FD4" w:rsidRDefault="00990216" w:rsidP="00990216">
      <w:pPr>
        <w:spacing w:before="0" w:after="0"/>
        <w:rPr>
          <w:rFonts w:ascii="Arial" w:hAnsi="Arial" w:cs="Arial"/>
          <w:b/>
        </w:rPr>
      </w:pPr>
    </w:p>
    <w:p w:rsidR="00990216" w:rsidRPr="000A3446" w:rsidRDefault="00E50759" w:rsidP="00400796">
      <w:pPr>
        <w:pStyle w:val="Heading1"/>
        <w:spacing w:before="0"/>
        <w:rPr>
          <w:rFonts w:ascii="Arial" w:hAnsi="Arial" w:cs="Arial"/>
          <w:color w:val="auto"/>
          <w:sz w:val="20"/>
          <w:szCs w:val="20"/>
        </w:rPr>
      </w:pPr>
      <w:r>
        <w:rPr>
          <w:rFonts w:ascii="Arial" w:hAnsi="Arial" w:cs="Arial"/>
          <w:color w:val="auto"/>
          <w:sz w:val="20"/>
          <w:szCs w:val="20"/>
        </w:rPr>
        <w:t>Note 10</w:t>
      </w:r>
      <w:r w:rsidR="00990216" w:rsidRPr="000A3446">
        <w:rPr>
          <w:rFonts w:ascii="Arial" w:hAnsi="Arial" w:cs="Arial"/>
          <w:color w:val="auto"/>
          <w:sz w:val="20"/>
          <w:szCs w:val="20"/>
        </w:rPr>
        <w:t xml:space="preserve"> – Termination Benefits</w:t>
      </w:r>
    </w:p>
    <w:p w:rsidR="00990216" w:rsidRPr="00375FD4" w:rsidRDefault="00990216" w:rsidP="00990216">
      <w:pPr>
        <w:spacing w:before="0" w:after="0"/>
        <w:rPr>
          <w:rFonts w:ascii="Arial" w:hAnsi="Arial" w:cs="Arial"/>
          <w:b/>
        </w:rPr>
      </w:pPr>
    </w:p>
    <w:p w:rsidR="00990216" w:rsidRPr="00375FD4" w:rsidRDefault="00F0035F" w:rsidP="001F1E67">
      <w:pPr>
        <w:spacing w:before="0" w:after="0"/>
        <w:rPr>
          <w:rFonts w:ascii="Arial" w:hAnsi="Arial" w:cs="Arial"/>
        </w:rPr>
      </w:pPr>
      <w:r w:rsidRPr="00E50759">
        <w:rPr>
          <w:rFonts w:ascii="Arial" w:hAnsi="Arial" w:cs="Arial"/>
          <w:lang w:val="en-US"/>
        </w:rPr>
        <w:t>The c</w:t>
      </w:r>
      <w:r w:rsidR="00990216" w:rsidRPr="00E50759">
        <w:rPr>
          <w:rFonts w:ascii="Arial" w:hAnsi="Arial" w:cs="Arial"/>
          <w:lang w:val="en-US"/>
        </w:rPr>
        <w:t>ouncil terminated the contracts of a number of employees in 201</w:t>
      </w:r>
      <w:r w:rsidR="008676A6" w:rsidRPr="00E50759">
        <w:rPr>
          <w:rFonts w:ascii="Arial" w:hAnsi="Arial" w:cs="Arial"/>
          <w:lang w:val="en-US"/>
        </w:rPr>
        <w:t>9/20</w:t>
      </w:r>
      <w:r w:rsidR="00990216" w:rsidRPr="00E50759">
        <w:rPr>
          <w:rFonts w:ascii="Arial" w:hAnsi="Arial" w:cs="Arial"/>
          <w:lang w:val="en-US"/>
        </w:rPr>
        <w:t>,</w:t>
      </w:r>
      <w:r w:rsidR="009A398F" w:rsidRPr="00E50759">
        <w:rPr>
          <w:rFonts w:ascii="Arial" w:hAnsi="Arial" w:cs="Arial"/>
          <w:lang w:val="en-US"/>
        </w:rPr>
        <w:t xml:space="preserve"> incurrin</w:t>
      </w:r>
      <w:r w:rsidR="006D35D9" w:rsidRPr="00E50759">
        <w:rPr>
          <w:rFonts w:ascii="Arial" w:hAnsi="Arial" w:cs="Arial"/>
          <w:lang w:val="en-US"/>
        </w:rPr>
        <w:t>g liabilities of £</w:t>
      </w:r>
      <w:r w:rsidR="00E50759" w:rsidRPr="00E50759">
        <w:rPr>
          <w:rFonts w:ascii="Arial" w:hAnsi="Arial" w:cs="Arial"/>
          <w:lang w:val="en-US"/>
        </w:rPr>
        <w:t>0.383</w:t>
      </w:r>
      <w:r w:rsidR="006D35D9" w:rsidRPr="00E50759">
        <w:rPr>
          <w:rFonts w:ascii="Arial" w:hAnsi="Arial" w:cs="Arial"/>
          <w:lang w:val="en-US"/>
        </w:rPr>
        <w:t>m</w:t>
      </w:r>
      <w:r w:rsidR="008676A6" w:rsidRPr="00E50759">
        <w:rPr>
          <w:rFonts w:ascii="Arial" w:hAnsi="Arial" w:cs="Arial"/>
          <w:lang w:val="en-US"/>
        </w:rPr>
        <w:t xml:space="preserve"> (£0.401m in 2018/19</w:t>
      </w:r>
      <w:r w:rsidR="00990216" w:rsidRPr="00E50759">
        <w:rPr>
          <w:rFonts w:ascii="Arial" w:hAnsi="Arial" w:cs="Arial"/>
          <w:lang w:val="en-US"/>
        </w:rPr>
        <w:t>). These terminations were made as part of the redesign of</w:t>
      </w:r>
      <w:r w:rsidRPr="00E50759">
        <w:rPr>
          <w:rFonts w:ascii="Arial" w:hAnsi="Arial" w:cs="Arial"/>
          <w:lang w:val="en-US"/>
        </w:rPr>
        <w:t xml:space="preserve"> services within the</w:t>
      </w:r>
      <w:r>
        <w:rPr>
          <w:rFonts w:ascii="Arial" w:hAnsi="Arial" w:cs="Arial"/>
          <w:lang w:val="en-US"/>
        </w:rPr>
        <w:t xml:space="preserve"> c</w:t>
      </w:r>
      <w:r w:rsidR="00990216" w:rsidRPr="00375FD4">
        <w:rPr>
          <w:rFonts w:ascii="Arial" w:hAnsi="Arial" w:cs="Arial"/>
          <w:lang w:val="en-US"/>
        </w:rPr>
        <w:t>ouncil under voluntary severance and early retirement. There will be ongoin</w:t>
      </w:r>
      <w:r>
        <w:rPr>
          <w:rFonts w:ascii="Arial" w:hAnsi="Arial" w:cs="Arial"/>
          <w:lang w:val="en-US"/>
        </w:rPr>
        <w:t>g annual costs incurred by the c</w:t>
      </w:r>
      <w:r w:rsidR="00990216" w:rsidRPr="00375FD4">
        <w:rPr>
          <w:rFonts w:ascii="Arial" w:hAnsi="Arial" w:cs="Arial"/>
          <w:lang w:val="en-US"/>
        </w:rPr>
        <w:t>ouncil for those staff leaving under early retirement due to ongoing pension costs</w:t>
      </w:r>
      <w:r w:rsidR="00891FF5">
        <w:rPr>
          <w:rFonts w:ascii="Arial" w:hAnsi="Arial" w:cs="Arial"/>
          <w:lang w:val="en-US"/>
        </w:rPr>
        <w:t>.</w:t>
      </w:r>
    </w:p>
    <w:p w:rsidR="00990216" w:rsidRPr="00375FD4" w:rsidRDefault="00990216" w:rsidP="00990216">
      <w:pPr>
        <w:spacing w:before="0" w:after="0"/>
        <w:rPr>
          <w:rFonts w:ascii="Arial" w:hAnsi="Arial" w:cs="Arial"/>
          <w:b/>
        </w:rPr>
      </w:pPr>
    </w:p>
    <w:p w:rsidR="00990216" w:rsidRPr="000A3446" w:rsidRDefault="00E50759" w:rsidP="00400796">
      <w:pPr>
        <w:pStyle w:val="Heading1"/>
        <w:spacing w:before="0"/>
        <w:rPr>
          <w:rFonts w:ascii="Arial" w:hAnsi="Arial" w:cs="Arial"/>
          <w:color w:val="auto"/>
          <w:sz w:val="20"/>
          <w:szCs w:val="20"/>
        </w:rPr>
      </w:pPr>
      <w:r w:rsidRPr="008A3385">
        <w:rPr>
          <w:rFonts w:ascii="Arial" w:hAnsi="Arial" w:cs="Arial"/>
          <w:color w:val="auto"/>
          <w:sz w:val="20"/>
          <w:szCs w:val="20"/>
        </w:rPr>
        <w:t>Note 11</w:t>
      </w:r>
      <w:r w:rsidR="00990216" w:rsidRPr="008A3385">
        <w:rPr>
          <w:rFonts w:ascii="Arial" w:hAnsi="Arial" w:cs="Arial"/>
          <w:color w:val="auto"/>
          <w:sz w:val="20"/>
          <w:szCs w:val="20"/>
        </w:rPr>
        <w:t xml:space="preserve"> – Defined Benefit Pension Schemes</w:t>
      </w:r>
      <w:r w:rsidR="00990216" w:rsidRPr="000A3446">
        <w:rPr>
          <w:rFonts w:ascii="Arial" w:hAnsi="Arial" w:cs="Arial"/>
          <w:color w:val="auto"/>
          <w:sz w:val="20"/>
          <w:szCs w:val="20"/>
        </w:rPr>
        <w:t xml:space="preserve"> </w:t>
      </w:r>
    </w:p>
    <w:p w:rsidR="00990216" w:rsidRPr="00375FD4" w:rsidRDefault="00990216" w:rsidP="00990216">
      <w:pPr>
        <w:spacing w:before="0" w:after="0"/>
        <w:rPr>
          <w:rFonts w:ascii="Arial" w:hAnsi="Arial" w:cs="Arial"/>
          <w:b/>
        </w:rPr>
      </w:pPr>
    </w:p>
    <w:p w:rsidR="00990216" w:rsidRPr="00375FD4" w:rsidRDefault="00990216" w:rsidP="001F1E67">
      <w:pPr>
        <w:spacing w:before="0" w:after="0"/>
        <w:rPr>
          <w:rFonts w:ascii="Arial" w:hAnsi="Arial" w:cs="Arial"/>
          <w:lang w:eastAsia="en-GB"/>
        </w:rPr>
      </w:pPr>
      <w:r w:rsidRPr="00375FD4">
        <w:rPr>
          <w:rFonts w:ascii="Arial" w:hAnsi="Arial" w:cs="Arial"/>
          <w:lang w:eastAsia="en-GB"/>
        </w:rPr>
        <w:t xml:space="preserve">As part of the terms and conditions of employment of its officers and other employees, the </w:t>
      </w:r>
      <w:r w:rsidR="00F0035F">
        <w:rPr>
          <w:rFonts w:ascii="Arial" w:hAnsi="Arial" w:cs="Arial"/>
          <w:lang w:eastAsia="en-GB"/>
        </w:rPr>
        <w:t>c</w:t>
      </w:r>
      <w:r w:rsidR="00312456">
        <w:rPr>
          <w:rFonts w:ascii="Arial" w:hAnsi="Arial" w:cs="Arial"/>
          <w:lang w:eastAsia="en-GB"/>
        </w:rPr>
        <w:t>ouncil</w:t>
      </w:r>
      <w:r w:rsidRPr="00375FD4">
        <w:rPr>
          <w:rFonts w:ascii="Arial" w:hAnsi="Arial" w:cs="Arial"/>
          <w:lang w:eastAsia="en-GB"/>
        </w:rPr>
        <w:t xml:space="preserve"> offers retirement benefits.  Although these benefits will not actually be payable until employees retire, the </w:t>
      </w:r>
      <w:r w:rsidR="00F0035F">
        <w:rPr>
          <w:rFonts w:ascii="Arial" w:hAnsi="Arial" w:cs="Arial"/>
          <w:lang w:eastAsia="en-GB"/>
        </w:rPr>
        <w:t>c</w:t>
      </w:r>
      <w:r w:rsidR="00312456">
        <w:rPr>
          <w:rFonts w:ascii="Arial" w:hAnsi="Arial" w:cs="Arial"/>
          <w:lang w:eastAsia="en-GB"/>
        </w:rPr>
        <w:t>ouncil</w:t>
      </w:r>
      <w:r w:rsidRPr="00375FD4">
        <w:rPr>
          <w:rFonts w:ascii="Arial" w:hAnsi="Arial" w:cs="Arial"/>
          <w:lang w:eastAsia="en-GB"/>
        </w:rPr>
        <w:t xml:space="preserve"> has a commitment to make the payments that needs to be disclosed at the time that employees earn their future entitlement.</w:t>
      </w:r>
    </w:p>
    <w:p w:rsidR="00990216" w:rsidRPr="00375FD4" w:rsidRDefault="00990216" w:rsidP="001F1E67">
      <w:pPr>
        <w:spacing w:before="0" w:after="0"/>
        <w:rPr>
          <w:rFonts w:ascii="Arial" w:hAnsi="Arial" w:cs="Arial"/>
        </w:rPr>
      </w:pPr>
    </w:p>
    <w:p w:rsidR="00990216" w:rsidRPr="00375FD4" w:rsidRDefault="00990216" w:rsidP="001F1E67">
      <w:pPr>
        <w:spacing w:before="0" w:after="0"/>
        <w:rPr>
          <w:rFonts w:ascii="Arial" w:hAnsi="Arial" w:cs="Arial"/>
          <w:lang w:eastAsia="en-GB"/>
        </w:rPr>
      </w:pPr>
      <w:r w:rsidRPr="00375FD4">
        <w:rPr>
          <w:rFonts w:ascii="Arial" w:hAnsi="Arial" w:cs="Arial"/>
          <w:lang w:eastAsia="en-GB"/>
        </w:rPr>
        <w:t xml:space="preserve">The </w:t>
      </w:r>
      <w:r w:rsidR="00F0035F">
        <w:rPr>
          <w:rFonts w:ascii="Arial" w:hAnsi="Arial" w:cs="Arial"/>
          <w:lang w:eastAsia="en-GB"/>
        </w:rPr>
        <w:t>c</w:t>
      </w:r>
      <w:r w:rsidR="00312456">
        <w:rPr>
          <w:rFonts w:ascii="Arial" w:hAnsi="Arial" w:cs="Arial"/>
          <w:lang w:eastAsia="en-GB"/>
        </w:rPr>
        <w:t>ouncil</w:t>
      </w:r>
      <w:r w:rsidRPr="00375FD4">
        <w:rPr>
          <w:rFonts w:ascii="Arial" w:hAnsi="Arial" w:cs="Arial"/>
          <w:lang w:eastAsia="en-GB"/>
        </w:rPr>
        <w:t xml:space="preserve"> participates in the following pension schemes:</w:t>
      </w:r>
    </w:p>
    <w:p w:rsidR="00990216" w:rsidRPr="00375FD4" w:rsidRDefault="00990216" w:rsidP="001F1E67">
      <w:pPr>
        <w:spacing w:before="0" w:after="0"/>
        <w:rPr>
          <w:rFonts w:ascii="Arial" w:hAnsi="Arial" w:cs="Arial"/>
          <w:lang w:eastAsia="en-GB"/>
        </w:rPr>
      </w:pPr>
    </w:p>
    <w:p w:rsidR="00990216" w:rsidRPr="00375FD4" w:rsidRDefault="00990216" w:rsidP="001F1E67">
      <w:pPr>
        <w:spacing w:before="0" w:after="0"/>
        <w:rPr>
          <w:rFonts w:ascii="Arial" w:hAnsi="Arial" w:cs="Arial"/>
        </w:rPr>
      </w:pPr>
      <w:r w:rsidRPr="00375FD4">
        <w:rPr>
          <w:rFonts w:ascii="Arial" w:hAnsi="Arial" w:cs="Arial"/>
          <w:b/>
          <w:lang w:eastAsia="en-GB"/>
        </w:rPr>
        <w:t>The Local Government Pension Scheme,</w:t>
      </w:r>
      <w:r w:rsidRPr="00375FD4">
        <w:rPr>
          <w:rFonts w:ascii="Arial" w:hAnsi="Arial" w:cs="Arial"/>
          <w:lang w:eastAsia="en-GB"/>
        </w:rPr>
        <w:t xml:space="preserve"> which is a defined benefit statutory scheme, operated as Strathclyde Pension Fund, and administered by Glasgow City Council in accordance with the Local Government Pension Scheme (Scotland) Regulations 1998.  This is a funded scheme, meaning that the </w:t>
      </w:r>
      <w:r w:rsidR="00F0035F">
        <w:rPr>
          <w:rFonts w:ascii="Arial" w:hAnsi="Arial" w:cs="Arial"/>
          <w:lang w:eastAsia="en-GB"/>
        </w:rPr>
        <w:t>c</w:t>
      </w:r>
      <w:r w:rsidR="00312456">
        <w:rPr>
          <w:rFonts w:ascii="Arial" w:hAnsi="Arial" w:cs="Arial"/>
          <w:lang w:eastAsia="en-GB"/>
        </w:rPr>
        <w:t>ouncil</w:t>
      </w:r>
      <w:r w:rsidRPr="00375FD4">
        <w:rPr>
          <w:rFonts w:ascii="Arial" w:hAnsi="Arial" w:cs="Arial"/>
          <w:lang w:eastAsia="en-GB"/>
        </w:rPr>
        <w:t xml:space="preserve"> and employees pay contributions into a fund, calculated at a level intended to balance the pensions liabilities with investment assets.  The employer’s contribution rate is set by the Fund actuaries following valuation.  </w:t>
      </w:r>
      <w:r w:rsidR="00D51678" w:rsidRPr="00402F42">
        <w:rPr>
          <w:rFonts w:ascii="Arial" w:hAnsi="Arial" w:cs="Arial"/>
          <w:lang w:eastAsia="en-GB"/>
        </w:rPr>
        <w:t>The emp</w:t>
      </w:r>
      <w:r w:rsidR="00D51678">
        <w:rPr>
          <w:rFonts w:ascii="Arial" w:hAnsi="Arial" w:cs="Arial"/>
          <w:lang w:eastAsia="en-GB"/>
        </w:rPr>
        <w:t>loyer contrib</w:t>
      </w:r>
      <w:r w:rsidR="008676A6">
        <w:rPr>
          <w:rFonts w:ascii="Arial" w:hAnsi="Arial" w:cs="Arial"/>
          <w:lang w:eastAsia="en-GB"/>
        </w:rPr>
        <w:t>ution rate for 2019/20</w:t>
      </w:r>
      <w:r w:rsidR="00E87834">
        <w:rPr>
          <w:rFonts w:ascii="Arial" w:hAnsi="Arial" w:cs="Arial"/>
          <w:lang w:eastAsia="en-GB"/>
        </w:rPr>
        <w:t xml:space="preserve"> </w:t>
      </w:r>
      <w:r w:rsidR="00D51678" w:rsidRPr="00402F42">
        <w:rPr>
          <w:rFonts w:ascii="Arial" w:hAnsi="Arial" w:cs="Arial"/>
          <w:lang w:eastAsia="en-GB"/>
        </w:rPr>
        <w:t>was 19.3%, and 2</w:t>
      </w:r>
      <w:r w:rsidR="008676A6">
        <w:rPr>
          <w:rFonts w:ascii="Arial" w:hAnsi="Arial" w:cs="Arial"/>
          <w:lang w:eastAsia="en-GB"/>
        </w:rPr>
        <w:t>020/21</w:t>
      </w:r>
      <w:r w:rsidR="00DF24F2">
        <w:rPr>
          <w:rFonts w:ascii="Arial" w:hAnsi="Arial" w:cs="Arial"/>
          <w:lang w:eastAsia="en-GB"/>
        </w:rPr>
        <w:t xml:space="preserve"> is </w:t>
      </w:r>
      <w:r w:rsidR="008676A6">
        <w:rPr>
          <w:rFonts w:ascii="Arial" w:hAnsi="Arial" w:cs="Arial"/>
          <w:lang w:eastAsia="en-GB"/>
        </w:rPr>
        <w:t>set at 19.3%.  In 2019/20</w:t>
      </w:r>
      <w:r w:rsidR="00F0035F" w:rsidRPr="007B07FE">
        <w:rPr>
          <w:rFonts w:ascii="Arial" w:hAnsi="Arial" w:cs="Arial"/>
          <w:lang w:eastAsia="en-GB"/>
        </w:rPr>
        <w:t>, the c</w:t>
      </w:r>
      <w:r w:rsidR="00D51678" w:rsidRPr="007B07FE">
        <w:rPr>
          <w:rFonts w:ascii="Arial" w:hAnsi="Arial" w:cs="Arial"/>
          <w:lang w:eastAsia="en-GB"/>
        </w:rPr>
        <w:t xml:space="preserve">ouncil paid an employer’s contribution </w:t>
      </w:r>
      <w:r w:rsidR="00D51678" w:rsidRPr="003250D3">
        <w:rPr>
          <w:rFonts w:ascii="Arial" w:hAnsi="Arial" w:cs="Arial"/>
          <w:lang w:eastAsia="en-GB"/>
        </w:rPr>
        <w:t>of £1</w:t>
      </w:r>
      <w:r w:rsidR="003250D3" w:rsidRPr="003250D3">
        <w:rPr>
          <w:rFonts w:ascii="Arial" w:hAnsi="Arial" w:cs="Arial"/>
          <w:lang w:eastAsia="en-GB"/>
        </w:rPr>
        <w:t>8.887</w:t>
      </w:r>
      <w:r w:rsidR="00D51678" w:rsidRPr="003250D3">
        <w:rPr>
          <w:rFonts w:ascii="Arial" w:hAnsi="Arial" w:cs="Arial"/>
          <w:lang w:eastAsia="en-GB"/>
        </w:rPr>
        <w:t>m</w:t>
      </w:r>
      <w:r w:rsidR="008676A6" w:rsidRPr="003250D3">
        <w:rPr>
          <w:rFonts w:ascii="Arial" w:hAnsi="Arial" w:cs="Arial"/>
          <w:lang w:eastAsia="en-GB"/>
        </w:rPr>
        <w:t xml:space="preserve"> (</w:t>
      </w:r>
      <w:r w:rsidR="008676A6">
        <w:rPr>
          <w:rFonts w:ascii="Arial" w:hAnsi="Arial" w:cs="Arial"/>
          <w:lang w:eastAsia="en-GB"/>
        </w:rPr>
        <w:t>2018/19 £16.127</w:t>
      </w:r>
      <w:r w:rsidR="00D51678" w:rsidRPr="00402F42">
        <w:rPr>
          <w:rFonts w:ascii="Arial" w:hAnsi="Arial" w:cs="Arial"/>
          <w:lang w:eastAsia="en-GB"/>
        </w:rPr>
        <w:t>m).</w:t>
      </w:r>
    </w:p>
    <w:p w:rsidR="00FE6B44" w:rsidRDefault="00FE6B44" w:rsidP="001F1E67">
      <w:pPr>
        <w:autoSpaceDE w:val="0"/>
        <w:autoSpaceDN w:val="0"/>
        <w:adjustRightInd w:val="0"/>
        <w:spacing w:before="0" w:after="0"/>
        <w:rPr>
          <w:rFonts w:ascii="Arial" w:hAnsi="Arial" w:cs="Arial"/>
          <w:b/>
        </w:rPr>
      </w:pPr>
    </w:p>
    <w:p w:rsidR="00FE6B44" w:rsidRDefault="00FE6B44" w:rsidP="00BD20C4">
      <w:pPr>
        <w:autoSpaceDE w:val="0"/>
        <w:autoSpaceDN w:val="0"/>
        <w:adjustRightInd w:val="0"/>
        <w:spacing w:before="0" w:after="0"/>
        <w:rPr>
          <w:rFonts w:ascii="Arial" w:hAnsi="Arial" w:cs="Arial"/>
        </w:rPr>
      </w:pPr>
      <w:r w:rsidRPr="00375FD4">
        <w:rPr>
          <w:rFonts w:ascii="Arial" w:hAnsi="Arial" w:cs="Arial"/>
          <w:b/>
        </w:rPr>
        <w:t>The Teachers’ Pension Scheme (Scottish Teachers’ Superannuation Scheme (STSS)</w:t>
      </w:r>
      <w:r w:rsidRPr="00375FD4">
        <w:rPr>
          <w:rFonts w:ascii="Arial" w:hAnsi="Arial" w:cs="Arial"/>
        </w:rPr>
        <w:t xml:space="preserve"> which is a defined benefit scheme administered by the Sc</w:t>
      </w:r>
      <w:r w:rsidR="00BD20C4">
        <w:rPr>
          <w:rFonts w:ascii="Arial" w:hAnsi="Arial" w:cs="Arial"/>
        </w:rPr>
        <w:t>ottish Public Pension Agency.  T</w:t>
      </w:r>
      <w:r w:rsidRPr="00375FD4">
        <w:rPr>
          <w:rFonts w:ascii="Arial" w:hAnsi="Arial" w:cs="Arial"/>
        </w:rPr>
        <w:t>he scheme is technically a multi-employer defined benef</w:t>
      </w:r>
      <w:r w:rsidR="00391A23">
        <w:rPr>
          <w:rFonts w:ascii="Arial" w:hAnsi="Arial" w:cs="Arial"/>
        </w:rPr>
        <w:t>it scheme</w:t>
      </w:r>
      <w:r w:rsidR="00BD20C4">
        <w:rPr>
          <w:rFonts w:ascii="Arial" w:hAnsi="Arial" w:cs="Arial"/>
        </w:rPr>
        <w:t xml:space="preserve"> but is unfunded and the Scottish Government  used a notional fund as the basis for calculating  the employers’ contribution rate paid by local authorities. Due to the type of scheme,</w:t>
      </w:r>
      <w:r w:rsidR="00F0035F">
        <w:rPr>
          <w:rFonts w:ascii="Arial" w:hAnsi="Arial" w:cs="Arial"/>
        </w:rPr>
        <w:t xml:space="preserve"> the c</w:t>
      </w:r>
      <w:r w:rsidRPr="00375FD4">
        <w:rPr>
          <w:rFonts w:ascii="Arial" w:hAnsi="Arial" w:cs="Arial"/>
        </w:rPr>
        <w:t>ouncil is not able to identify its share of the underlying financial position and performance of the scheme with sufficient reliability for accounting purposes.  For the purpose of this Statement of accounts, it is accounted for on the same basis as a defined contribution scheme.</w:t>
      </w:r>
    </w:p>
    <w:p w:rsidR="00FE6B44" w:rsidRPr="00375FD4" w:rsidRDefault="00FE6B44" w:rsidP="001F1E67">
      <w:pPr>
        <w:autoSpaceDE w:val="0"/>
        <w:autoSpaceDN w:val="0"/>
        <w:adjustRightInd w:val="0"/>
        <w:spacing w:before="0" w:after="0"/>
        <w:rPr>
          <w:rFonts w:ascii="Arial" w:hAnsi="Arial" w:cs="Arial"/>
        </w:rPr>
      </w:pPr>
    </w:p>
    <w:p w:rsidR="00FE6B44" w:rsidRPr="00D51678" w:rsidRDefault="003250D3" w:rsidP="003250D3">
      <w:pPr>
        <w:autoSpaceDE w:val="0"/>
        <w:autoSpaceDN w:val="0"/>
        <w:spacing w:before="0" w:after="0"/>
        <w:rPr>
          <w:rFonts w:ascii="Arial" w:eastAsiaTheme="minorHAnsi" w:hAnsi="Arial" w:cs="Arial"/>
        </w:rPr>
      </w:pPr>
      <w:r w:rsidRPr="00E462CE">
        <w:rPr>
          <w:rFonts w:ascii="Arial" w:eastAsiaTheme="minorHAnsi" w:hAnsi="Arial" w:cs="Arial"/>
        </w:rPr>
        <w:t xml:space="preserve">The employer pays a set contribution rate of 23% which is effective from 1 September 2019, prior to this it was 17.2%.  </w:t>
      </w:r>
      <w:r w:rsidR="00FE6B44" w:rsidRPr="00E00EB7">
        <w:rPr>
          <w:rFonts w:ascii="Arial" w:eastAsiaTheme="minorHAnsi" w:hAnsi="Arial" w:cs="Arial"/>
        </w:rPr>
        <w:t xml:space="preserve">This is charged directly to the revenue account for the Education service.  The </w:t>
      </w:r>
      <w:r w:rsidR="00FE6B44" w:rsidRPr="007B07FE">
        <w:rPr>
          <w:rFonts w:ascii="Arial" w:eastAsiaTheme="minorHAnsi" w:hAnsi="Arial" w:cs="Arial"/>
        </w:rPr>
        <w:t xml:space="preserve">amount paid over in respect of employer’s contribution was </w:t>
      </w:r>
      <w:r w:rsidR="007B07FE" w:rsidRPr="007B07FE">
        <w:rPr>
          <w:rFonts w:ascii="Arial" w:eastAsiaTheme="minorHAnsi" w:hAnsi="Arial" w:cs="Arial"/>
        </w:rPr>
        <w:t>£</w:t>
      </w:r>
      <w:r w:rsidRPr="00E462CE">
        <w:rPr>
          <w:rFonts w:ascii="Arial" w:eastAsiaTheme="minorHAnsi" w:hAnsi="Arial" w:cs="Arial"/>
        </w:rPr>
        <w:t xml:space="preserve">8.837m </w:t>
      </w:r>
      <w:r w:rsidR="008676A6">
        <w:rPr>
          <w:rFonts w:ascii="Arial" w:eastAsiaTheme="minorHAnsi" w:hAnsi="Arial" w:cs="Arial"/>
        </w:rPr>
        <w:t>(2018/19 £6.726</w:t>
      </w:r>
      <w:r w:rsidR="00FE6B44" w:rsidRPr="007B07FE">
        <w:rPr>
          <w:rFonts w:ascii="Arial" w:eastAsiaTheme="minorHAnsi" w:hAnsi="Arial" w:cs="Arial"/>
        </w:rPr>
        <w:t>m) in respect of</w:t>
      </w:r>
      <w:r w:rsidR="00FE6B44" w:rsidRPr="00E00EB7">
        <w:rPr>
          <w:rFonts w:ascii="Arial" w:eastAsiaTheme="minorHAnsi" w:hAnsi="Arial" w:cs="Arial"/>
        </w:rPr>
        <w:t xml:space="preserve"> </w:t>
      </w:r>
      <w:r w:rsidR="00FE6B44" w:rsidRPr="007B07FE">
        <w:rPr>
          <w:rFonts w:ascii="Arial" w:eastAsiaTheme="minorHAnsi" w:hAnsi="Arial" w:cs="Arial"/>
        </w:rPr>
        <w:t xml:space="preserve">expenditure for teachers </w:t>
      </w:r>
      <w:r w:rsidR="00FE6B44" w:rsidRPr="003250D3">
        <w:rPr>
          <w:rFonts w:ascii="Arial" w:eastAsiaTheme="minorHAnsi" w:hAnsi="Arial" w:cs="Arial"/>
        </w:rPr>
        <w:t>added years, £</w:t>
      </w:r>
      <w:r w:rsidR="007B07FE" w:rsidRPr="003250D3">
        <w:rPr>
          <w:rFonts w:ascii="Arial" w:eastAsiaTheme="minorHAnsi" w:hAnsi="Arial" w:cs="Arial"/>
        </w:rPr>
        <w:t>0</w:t>
      </w:r>
      <w:r w:rsidRPr="003250D3">
        <w:rPr>
          <w:rFonts w:ascii="Arial" w:eastAsiaTheme="minorHAnsi" w:hAnsi="Arial" w:cs="Arial"/>
        </w:rPr>
        <w:t>.044</w:t>
      </w:r>
      <w:r w:rsidR="00FE6B44" w:rsidRPr="003250D3">
        <w:rPr>
          <w:rFonts w:ascii="Arial" w:eastAsiaTheme="minorHAnsi" w:hAnsi="Arial" w:cs="Arial"/>
        </w:rPr>
        <w:t>m</w:t>
      </w:r>
      <w:r w:rsidR="002607BF" w:rsidRPr="003250D3">
        <w:rPr>
          <w:rFonts w:ascii="Arial" w:eastAsiaTheme="minorHAnsi" w:hAnsi="Arial" w:cs="Arial"/>
        </w:rPr>
        <w:t xml:space="preserve"> pa</w:t>
      </w:r>
      <w:r w:rsidR="008676A6" w:rsidRPr="003250D3">
        <w:rPr>
          <w:rFonts w:ascii="Arial" w:eastAsiaTheme="minorHAnsi" w:hAnsi="Arial" w:cs="Arial"/>
        </w:rPr>
        <w:t>yments</w:t>
      </w:r>
      <w:r w:rsidR="008676A6">
        <w:rPr>
          <w:rFonts w:ascii="Arial" w:eastAsiaTheme="minorHAnsi" w:hAnsi="Arial" w:cs="Arial"/>
        </w:rPr>
        <w:t xml:space="preserve"> were made (2018/19 £0.029</w:t>
      </w:r>
      <w:r w:rsidR="00FE6B44" w:rsidRPr="007B07FE">
        <w:rPr>
          <w:rFonts w:ascii="Arial" w:eastAsiaTheme="minorHAnsi" w:hAnsi="Arial" w:cs="Arial"/>
        </w:rPr>
        <w:t>m).</w:t>
      </w:r>
    </w:p>
    <w:p w:rsidR="00FE6B44" w:rsidRDefault="00FE6B44" w:rsidP="001F1E67">
      <w:pPr>
        <w:autoSpaceDE w:val="0"/>
        <w:autoSpaceDN w:val="0"/>
        <w:adjustRightInd w:val="0"/>
        <w:spacing w:before="0" w:after="0"/>
        <w:rPr>
          <w:rFonts w:ascii="Arial" w:hAnsi="Arial" w:cs="Arial"/>
        </w:rPr>
      </w:pPr>
    </w:p>
    <w:p w:rsidR="00FE6B44" w:rsidRPr="00375FD4" w:rsidRDefault="00FE6B44" w:rsidP="001F1E67">
      <w:pPr>
        <w:autoSpaceDE w:val="0"/>
        <w:autoSpaceDN w:val="0"/>
        <w:adjustRightInd w:val="0"/>
        <w:spacing w:before="0" w:after="0"/>
        <w:rPr>
          <w:rFonts w:ascii="Arial" w:hAnsi="Arial" w:cs="Arial"/>
        </w:rPr>
      </w:pPr>
      <w:r w:rsidRPr="00375FD4">
        <w:rPr>
          <w:rFonts w:ascii="Arial" w:hAnsi="Arial" w:cs="Arial"/>
        </w:rPr>
        <w:t>The scheme is unfunded and all contributions (payable by members or employers) are paid to the Scottish Government, and the Scottish Government then meets the costs of all the benefits.  A specific amount is held by the Scottish Government for this purpose.  As a proportion of the total contributions into the Scottish Teac</w:t>
      </w:r>
      <w:r w:rsidRPr="003250D3">
        <w:rPr>
          <w:rFonts w:ascii="Arial" w:hAnsi="Arial" w:cs="Arial"/>
        </w:rPr>
        <w:t xml:space="preserve">hers Superannuation Scheme </w:t>
      </w:r>
      <w:r w:rsidR="008676A6" w:rsidRPr="003250D3">
        <w:rPr>
          <w:rFonts w:ascii="Arial" w:hAnsi="Arial" w:cs="Arial"/>
        </w:rPr>
        <w:t>2019/20</w:t>
      </w:r>
      <w:r w:rsidR="00F0035F" w:rsidRPr="003250D3">
        <w:rPr>
          <w:rFonts w:ascii="Arial" w:hAnsi="Arial" w:cs="Arial"/>
        </w:rPr>
        <w:t>, the c</w:t>
      </w:r>
      <w:r w:rsidRPr="003250D3">
        <w:rPr>
          <w:rFonts w:ascii="Arial" w:hAnsi="Arial" w:cs="Arial"/>
        </w:rPr>
        <w:t xml:space="preserve">ouncil’s own contribution equates to </w:t>
      </w:r>
      <w:r w:rsidR="003250D3" w:rsidRPr="003250D3">
        <w:rPr>
          <w:rFonts w:ascii="Arial" w:hAnsi="Arial" w:cs="Arial"/>
        </w:rPr>
        <w:t>2.0</w:t>
      </w:r>
      <w:r w:rsidR="007B07FE" w:rsidRPr="003250D3">
        <w:rPr>
          <w:rFonts w:ascii="Arial" w:hAnsi="Arial" w:cs="Arial"/>
        </w:rPr>
        <w:t>1</w:t>
      </w:r>
      <w:r w:rsidRPr="003250D3">
        <w:rPr>
          <w:rFonts w:ascii="Arial" w:hAnsi="Arial" w:cs="Arial"/>
        </w:rPr>
        <w:t>%.</w:t>
      </w:r>
    </w:p>
    <w:p w:rsidR="00FE6B44" w:rsidRPr="00375FD4" w:rsidRDefault="00FE6B44" w:rsidP="00FE6B44">
      <w:pPr>
        <w:autoSpaceDE w:val="0"/>
        <w:autoSpaceDN w:val="0"/>
        <w:adjustRightInd w:val="0"/>
        <w:spacing w:before="0" w:after="0"/>
        <w:ind w:left="720"/>
        <w:jc w:val="both"/>
        <w:rPr>
          <w:rFonts w:ascii="Arial" w:hAnsi="Arial" w:cs="Arial"/>
        </w:rPr>
      </w:pPr>
    </w:p>
    <w:p w:rsidR="00400796" w:rsidRPr="00375FD4" w:rsidRDefault="00400796">
      <w:pPr>
        <w:spacing w:before="0" w:after="200" w:line="276" w:lineRule="auto"/>
        <w:rPr>
          <w:rFonts w:ascii="Arial" w:hAnsi="Arial" w:cs="Arial"/>
          <w:b/>
        </w:rPr>
      </w:pPr>
      <w:r w:rsidRPr="00375FD4">
        <w:rPr>
          <w:rFonts w:ascii="Arial" w:hAnsi="Arial" w:cs="Arial"/>
          <w:b/>
        </w:rPr>
        <w:br w:type="page"/>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jc w:val="both"/>
        <w:rPr>
          <w:rFonts w:ascii="Arial" w:hAnsi="Arial" w:cs="Arial"/>
          <w:b/>
        </w:rPr>
      </w:pPr>
    </w:p>
    <w:p w:rsidR="00990216" w:rsidRPr="00375FD4" w:rsidRDefault="00E50759"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w:t>
      </w:r>
      <w:r w:rsidR="007E0365">
        <w:rPr>
          <w:rFonts w:ascii="Arial" w:hAnsi="Arial" w:cs="Arial"/>
          <w:b/>
        </w:rPr>
        <w:t xml:space="preserve">efined Benefit Pension Schemes </w:t>
      </w:r>
      <w:r w:rsidR="00990216" w:rsidRPr="00375FD4">
        <w:rPr>
          <w:rFonts w:ascii="Arial" w:hAnsi="Arial" w:cs="Arial"/>
          <w:b/>
        </w:rPr>
        <w:t>(Cont’d)</w:t>
      </w:r>
    </w:p>
    <w:p w:rsidR="00990216" w:rsidRPr="00375FD4" w:rsidRDefault="00990216" w:rsidP="00D51678">
      <w:pPr>
        <w:autoSpaceDE w:val="0"/>
        <w:autoSpaceDN w:val="0"/>
        <w:adjustRightInd w:val="0"/>
        <w:spacing w:before="0" w:after="0"/>
        <w:jc w:val="both"/>
        <w:rPr>
          <w:rFonts w:ascii="Arial" w:hAnsi="Arial" w:cs="Arial"/>
        </w:rPr>
      </w:pPr>
    </w:p>
    <w:p w:rsidR="00990216" w:rsidRPr="00375FD4" w:rsidRDefault="00F0035F" w:rsidP="001F1E67">
      <w:pPr>
        <w:autoSpaceDE w:val="0"/>
        <w:autoSpaceDN w:val="0"/>
        <w:adjustRightInd w:val="0"/>
        <w:spacing w:before="0" w:after="0"/>
        <w:rPr>
          <w:rFonts w:ascii="Arial" w:hAnsi="Arial" w:cs="Arial"/>
        </w:rPr>
      </w:pPr>
      <w:r>
        <w:rPr>
          <w:rFonts w:ascii="Arial" w:hAnsi="Arial" w:cs="Arial"/>
        </w:rPr>
        <w:t>The c</w:t>
      </w:r>
      <w:r w:rsidR="00990216" w:rsidRPr="00375FD4">
        <w:rPr>
          <w:rFonts w:ascii="Arial" w:hAnsi="Arial" w:cs="Arial"/>
        </w:rPr>
        <w:t>ouncil is not liable to the scheme for any other entities obligations under the plan.</w:t>
      </w:r>
    </w:p>
    <w:p w:rsidR="00990216" w:rsidRPr="00375FD4" w:rsidRDefault="00990216" w:rsidP="001F1E67">
      <w:pPr>
        <w:autoSpaceDE w:val="0"/>
        <w:autoSpaceDN w:val="0"/>
        <w:adjustRightInd w:val="0"/>
        <w:spacing w:before="0" w:after="0"/>
        <w:rPr>
          <w:rFonts w:ascii="Arial" w:hAnsi="Arial" w:cs="Arial"/>
        </w:rPr>
      </w:pPr>
    </w:p>
    <w:p w:rsidR="00990216" w:rsidRPr="00375FD4" w:rsidRDefault="00990216" w:rsidP="00EA6E47">
      <w:pPr>
        <w:numPr>
          <w:ilvl w:val="0"/>
          <w:numId w:val="20"/>
        </w:numPr>
        <w:tabs>
          <w:tab w:val="clear" w:pos="1620"/>
          <w:tab w:val="num" w:pos="709"/>
        </w:tabs>
        <w:spacing w:before="0" w:after="0"/>
        <w:ind w:left="0" w:firstLine="0"/>
        <w:rPr>
          <w:rFonts w:ascii="Arial" w:hAnsi="Arial" w:cs="Arial"/>
          <w:b/>
        </w:rPr>
      </w:pPr>
      <w:r w:rsidRPr="00375FD4">
        <w:rPr>
          <w:rFonts w:ascii="Arial" w:hAnsi="Arial" w:cs="Arial"/>
          <w:b/>
        </w:rPr>
        <w:t>Local Government Pension Scheme</w:t>
      </w:r>
    </w:p>
    <w:p w:rsidR="00990216" w:rsidRPr="00375FD4" w:rsidRDefault="00990216" w:rsidP="001F1E67">
      <w:pPr>
        <w:tabs>
          <w:tab w:val="left" w:pos="720"/>
          <w:tab w:val="left" w:pos="1134"/>
          <w:tab w:val="left" w:pos="1701"/>
        </w:tabs>
        <w:spacing w:before="0" w:after="0"/>
        <w:rPr>
          <w:rFonts w:ascii="Arial" w:hAnsi="Arial" w:cs="Arial"/>
          <w:b/>
        </w:rPr>
      </w:pPr>
    </w:p>
    <w:p w:rsidR="00990216" w:rsidRPr="00375FD4" w:rsidRDefault="00990216" w:rsidP="001F1E67">
      <w:pPr>
        <w:pStyle w:val="BodyTextIndent2"/>
        <w:spacing w:before="0" w:after="0"/>
        <w:ind w:left="0" w:firstLine="0"/>
        <w:jc w:val="left"/>
        <w:rPr>
          <w:rFonts w:ascii="Arial" w:hAnsi="Arial" w:cs="Arial"/>
          <w:sz w:val="20"/>
          <w:szCs w:val="20"/>
        </w:rPr>
      </w:pPr>
      <w:r w:rsidRPr="00375FD4">
        <w:rPr>
          <w:rFonts w:ascii="Arial" w:hAnsi="Arial" w:cs="Arial"/>
          <w:sz w:val="20"/>
          <w:szCs w:val="20"/>
        </w:rPr>
        <w:t>Councils are also required to disclose the capital cost of discretionary increases in pension payments a</w:t>
      </w:r>
      <w:r w:rsidR="005E4842" w:rsidRPr="00375FD4">
        <w:rPr>
          <w:rFonts w:ascii="Arial" w:hAnsi="Arial" w:cs="Arial"/>
          <w:sz w:val="20"/>
          <w:szCs w:val="20"/>
        </w:rPr>
        <w:t xml:space="preserve">greed by the </w:t>
      </w:r>
      <w:r w:rsidR="00391A23">
        <w:rPr>
          <w:rFonts w:ascii="Arial" w:hAnsi="Arial" w:cs="Arial"/>
          <w:sz w:val="20"/>
          <w:szCs w:val="20"/>
        </w:rPr>
        <w:t>C</w:t>
      </w:r>
      <w:r w:rsidR="00312456">
        <w:rPr>
          <w:rFonts w:ascii="Arial" w:hAnsi="Arial" w:cs="Arial"/>
          <w:sz w:val="20"/>
          <w:szCs w:val="20"/>
        </w:rPr>
        <w:t>ouncil</w:t>
      </w:r>
      <w:r w:rsidR="008676A6">
        <w:rPr>
          <w:rFonts w:ascii="Arial" w:hAnsi="Arial" w:cs="Arial"/>
          <w:sz w:val="20"/>
          <w:szCs w:val="20"/>
        </w:rPr>
        <w:t>.  In 2019/20</w:t>
      </w:r>
      <w:r w:rsidR="002607BF">
        <w:rPr>
          <w:rFonts w:ascii="Arial" w:hAnsi="Arial" w:cs="Arial"/>
          <w:sz w:val="20"/>
          <w:szCs w:val="20"/>
        </w:rPr>
        <w:t xml:space="preserve"> </w:t>
      </w:r>
      <w:r w:rsidRPr="00375FD4">
        <w:rPr>
          <w:rFonts w:ascii="Arial" w:hAnsi="Arial" w:cs="Arial"/>
          <w:sz w:val="20"/>
          <w:szCs w:val="20"/>
        </w:rPr>
        <w:t>the capitalised costs that would have arisen from the early retiral of West Dunbartonshire Council employees and from predecess</w:t>
      </w:r>
      <w:r w:rsidR="00400796" w:rsidRPr="00375FD4">
        <w:rPr>
          <w:rFonts w:ascii="Arial" w:hAnsi="Arial" w:cs="Arial"/>
          <w:sz w:val="20"/>
          <w:szCs w:val="20"/>
        </w:rPr>
        <w:t>or authorities were as follows:</w:t>
      </w:r>
    </w:p>
    <w:p w:rsidR="00400796" w:rsidRPr="00375FD4" w:rsidRDefault="00400796" w:rsidP="001F1E67">
      <w:pPr>
        <w:pStyle w:val="BodyTextIndent2"/>
        <w:spacing w:before="0" w:after="0"/>
        <w:ind w:left="0" w:firstLine="0"/>
        <w:jc w:val="left"/>
        <w:rPr>
          <w:rFonts w:ascii="Arial" w:hAnsi="Arial" w:cs="Arial"/>
          <w:sz w:val="20"/>
          <w:szCs w:val="20"/>
        </w:rPr>
      </w:pPr>
    </w:p>
    <w:p w:rsidR="00400796" w:rsidRPr="00375FD4" w:rsidRDefault="003250D3" w:rsidP="001F1E67">
      <w:pPr>
        <w:pStyle w:val="BodyTextIndent2"/>
        <w:spacing w:before="0" w:after="0"/>
        <w:ind w:left="0" w:firstLine="0"/>
        <w:jc w:val="left"/>
        <w:rPr>
          <w:rFonts w:ascii="Arial" w:hAnsi="Arial" w:cs="Arial"/>
          <w:sz w:val="20"/>
          <w:szCs w:val="20"/>
        </w:rPr>
      </w:pPr>
      <w:r w:rsidRPr="003250D3">
        <w:rPr>
          <w:noProof/>
          <w:lang w:eastAsia="en-GB"/>
        </w:rPr>
        <w:drawing>
          <wp:inline distT="0" distB="0" distL="0" distR="0">
            <wp:extent cx="1695450" cy="657225"/>
            <wp:effectExtent l="0" t="0" r="0" b="9525"/>
            <wp:docPr id="8" name="Picture 8" descr="2019/20 the capitalised costs that would have arisen from the early retiral of West Dunbartonshire Council employees and from predecessor authorities" title="note 11 - p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95450" cy="657225"/>
                    </a:xfrm>
                    <a:prstGeom prst="rect">
                      <a:avLst/>
                    </a:prstGeom>
                    <a:noFill/>
                    <a:ln>
                      <a:noFill/>
                    </a:ln>
                  </pic:spPr>
                </pic:pic>
              </a:graphicData>
            </a:graphic>
          </wp:inline>
        </w:drawing>
      </w:r>
    </w:p>
    <w:p w:rsidR="00400796" w:rsidRPr="00375FD4" w:rsidRDefault="00400796" w:rsidP="001F1E67">
      <w:pPr>
        <w:pStyle w:val="BodyTextIndent2"/>
        <w:spacing w:before="0" w:after="0"/>
        <w:ind w:left="0" w:firstLine="0"/>
        <w:jc w:val="left"/>
        <w:rPr>
          <w:rFonts w:ascii="Arial" w:hAnsi="Arial" w:cs="Arial"/>
          <w:sz w:val="20"/>
          <w:szCs w:val="20"/>
        </w:rPr>
      </w:pPr>
    </w:p>
    <w:p w:rsidR="00990216" w:rsidRPr="00375FD4" w:rsidRDefault="00F0035F" w:rsidP="001F1E67">
      <w:pPr>
        <w:spacing w:before="0" w:after="0"/>
        <w:rPr>
          <w:rFonts w:ascii="Arial" w:hAnsi="Arial" w:cs="Arial"/>
        </w:rPr>
      </w:pPr>
      <w:r>
        <w:rPr>
          <w:rFonts w:ascii="Arial" w:hAnsi="Arial" w:cs="Arial"/>
        </w:rPr>
        <w:t>The c</w:t>
      </w:r>
      <w:r w:rsidR="00990216" w:rsidRPr="00375FD4">
        <w:rPr>
          <w:rFonts w:ascii="Arial" w:hAnsi="Arial" w:cs="Arial"/>
        </w:rPr>
        <w:t>ouncil fully complies with the International Accounting Standard (IAS 19) concerning the disclosure of information on the pension. IAS 19 states that although the pension benefits will not be paid u</w:t>
      </w:r>
      <w:r w:rsidR="00C920DD">
        <w:rPr>
          <w:rFonts w:ascii="Arial" w:hAnsi="Arial" w:cs="Arial"/>
        </w:rPr>
        <w:t>nt</w:t>
      </w:r>
      <w:r>
        <w:rPr>
          <w:rFonts w:ascii="Arial" w:hAnsi="Arial" w:cs="Arial"/>
        </w:rPr>
        <w:t>il the employee retires, the c</w:t>
      </w:r>
      <w:r w:rsidR="00990216" w:rsidRPr="00375FD4">
        <w:rPr>
          <w:rFonts w:ascii="Arial" w:hAnsi="Arial" w:cs="Arial"/>
        </w:rPr>
        <w:t>ouncil has a commitment to make these payments and must disclose the cost of this in its accounts at the time employees earn their full entitlement.</w:t>
      </w:r>
    </w:p>
    <w:p w:rsidR="00990216" w:rsidRPr="00375FD4" w:rsidRDefault="00990216" w:rsidP="001F1E67">
      <w:pPr>
        <w:spacing w:before="0" w:after="0"/>
        <w:rPr>
          <w:rFonts w:ascii="Arial" w:hAnsi="Arial" w:cs="Arial"/>
        </w:rPr>
      </w:pPr>
    </w:p>
    <w:p w:rsidR="00990216" w:rsidRPr="00375FD4" w:rsidRDefault="00F0035F" w:rsidP="001F1E67">
      <w:pPr>
        <w:spacing w:before="0" w:after="0"/>
        <w:rPr>
          <w:rFonts w:ascii="Arial" w:hAnsi="Arial" w:cs="Arial"/>
        </w:rPr>
      </w:pPr>
      <w:r>
        <w:rPr>
          <w:rFonts w:ascii="Arial" w:hAnsi="Arial" w:cs="Arial"/>
        </w:rPr>
        <w:t>The c</w:t>
      </w:r>
      <w:r w:rsidR="00990216" w:rsidRPr="00375FD4">
        <w:rPr>
          <w:rFonts w:ascii="Arial" w:hAnsi="Arial" w:cs="Arial"/>
        </w:rPr>
        <w:t>ouncil therefore recognises the cost of the pension commitment within the Comprehensive Income and Expenditure Account when the employees earn their pension entitlement rather than when the benefits are paid as pensions.  However, the cost to the taxpayer is calculated on the basis of pension contributions paid in the year, the cost of retirement benefits under IAS19 is reversed out, to ensure there is no impact on the overall cost to be funded by council tax and government grants.</w:t>
      </w:r>
    </w:p>
    <w:p w:rsidR="00400796" w:rsidRPr="00375FD4" w:rsidRDefault="00400796">
      <w:pPr>
        <w:spacing w:before="0" w:after="200" w:line="276" w:lineRule="auto"/>
        <w:rPr>
          <w:rFonts w:ascii="Arial" w:hAnsi="Arial" w:cs="Arial"/>
        </w:rPr>
      </w:pPr>
      <w:r w:rsidRPr="00375FD4">
        <w:rPr>
          <w:rFonts w:ascii="Arial" w:hAnsi="Arial" w:cs="Arial"/>
        </w:rPr>
        <w:br w:type="page"/>
      </w:r>
    </w:p>
    <w:p w:rsidR="00990216" w:rsidRPr="00375FD4" w:rsidRDefault="00990216" w:rsidP="00400796">
      <w:pPr>
        <w:tabs>
          <w:tab w:val="left" w:pos="720"/>
          <w:tab w:val="left" w:pos="1134"/>
          <w:tab w:val="left" w:pos="1701"/>
        </w:tabs>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jc w:val="both"/>
        <w:rPr>
          <w:rFonts w:ascii="Arial" w:hAnsi="Arial" w:cs="Arial"/>
          <w:b/>
        </w:rPr>
      </w:pPr>
    </w:p>
    <w:p w:rsidR="00990216" w:rsidRPr="00375FD4" w:rsidRDefault="00E50759"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Defined Benefit Pension Schemes (Cont’d)</w:t>
      </w:r>
    </w:p>
    <w:p w:rsidR="00990216" w:rsidRPr="00375FD4" w:rsidRDefault="00990216" w:rsidP="00990216">
      <w:pPr>
        <w:tabs>
          <w:tab w:val="left" w:pos="720"/>
          <w:tab w:val="left" w:pos="1134"/>
          <w:tab w:val="left" w:pos="1701"/>
        </w:tabs>
        <w:spacing w:before="0" w:after="0"/>
        <w:jc w:val="both"/>
        <w:rPr>
          <w:rFonts w:ascii="Arial" w:hAnsi="Arial" w:cs="Arial"/>
        </w:rPr>
      </w:pPr>
    </w:p>
    <w:p w:rsidR="004B13A5" w:rsidRPr="00375FD4" w:rsidRDefault="004B13A5" w:rsidP="004B13A5">
      <w:pPr>
        <w:spacing w:before="0" w:after="0"/>
        <w:rPr>
          <w:rFonts w:ascii="Arial" w:hAnsi="Arial" w:cs="Arial"/>
          <w:b/>
        </w:rPr>
      </w:pPr>
      <w:r>
        <w:rPr>
          <w:rFonts w:ascii="Arial" w:hAnsi="Arial" w:cs="Arial"/>
          <w:b/>
        </w:rPr>
        <w:t>1)</w:t>
      </w:r>
      <w:r>
        <w:rPr>
          <w:rFonts w:ascii="Arial" w:hAnsi="Arial" w:cs="Arial"/>
          <w:b/>
        </w:rPr>
        <w:tab/>
      </w:r>
      <w:r w:rsidRPr="00375FD4">
        <w:rPr>
          <w:rFonts w:ascii="Arial" w:hAnsi="Arial" w:cs="Arial"/>
          <w:b/>
        </w:rPr>
        <w:t>Local Government Pension Scheme</w:t>
      </w:r>
    </w:p>
    <w:p w:rsidR="004B13A5" w:rsidRDefault="004B13A5" w:rsidP="001F1E67">
      <w:pPr>
        <w:pStyle w:val="BodyTextIndent3"/>
        <w:tabs>
          <w:tab w:val="left" w:pos="284"/>
          <w:tab w:val="left" w:pos="1134"/>
          <w:tab w:val="left" w:pos="1701"/>
        </w:tabs>
        <w:spacing w:before="0" w:after="0"/>
        <w:ind w:left="0"/>
        <w:rPr>
          <w:rFonts w:ascii="Arial" w:hAnsi="Arial" w:cs="Arial"/>
          <w:sz w:val="20"/>
          <w:szCs w:val="20"/>
        </w:rPr>
      </w:pPr>
    </w:p>
    <w:p w:rsidR="00990216" w:rsidRPr="00375FD4" w:rsidRDefault="00990216" w:rsidP="001F1E67">
      <w:pPr>
        <w:pStyle w:val="BodyTextIndent3"/>
        <w:tabs>
          <w:tab w:val="left" w:pos="284"/>
          <w:tab w:val="left" w:pos="1134"/>
          <w:tab w:val="left" w:pos="1701"/>
        </w:tabs>
        <w:spacing w:before="0" w:after="0"/>
        <w:ind w:left="0"/>
        <w:rPr>
          <w:rFonts w:ascii="Arial" w:hAnsi="Arial" w:cs="Arial"/>
          <w:sz w:val="20"/>
          <w:szCs w:val="20"/>
        </w:rPr>
      </w:pPr>
      <w:r w:rsidRPr="00375FD4">
        <w:rPr>
          <w:rFonts w:ascii="Arial" w:hAnsi="Arial" w:cs="Arial"/>
          <w:sz w:val="20"/>
          <w:szCs w:val="20"/>
        </w:rPr>
        <w:t>The following transactions have been made in the Comprehensive Income and Expenditure Account and Movement in Reserves Statement during the year:</w:t>
      </w:r>
    </w:p>
    <w:p w:rsidR="00990216" w:rsidRDefault="00990216" w:rsidP="00973F41">
      <w:pPr>
        <w:spacing w:before="0" w:after="0"/>
        <w:rPr>
          <w:rFonts w:ascii="Arial" w:hAnsi="Arial" w:cs="Arial"/>
          <w:b/>
        </w:rPr>
      </w:pPr>
    </w:p>
    <w:p w:rsidR="005E4842" w:rsidRPr="00375FD4" w:rsidRDefault="00252ACC" w:rsidP="00A419F6">
      <w:pPr>
        <w:pStyle w:val="BodyText"/>
        <w:tabs>
          <w:tab w:val="right" w:pos="7920"/>
        </w:tabs>
        <w:spacing w:before="0" w:after="0"/>
        <w:rPr>
          <w:rFonts w:ascii="Arial" w:hAnsi="Arial" w:cs="Arial"/>
        </w:rPr>
      </w:pPr>
      <w:r w:rsidRPr="00252ACC">
        <w:rPr>
          <w:noProof/>
          <w:lang w:eastAsia="en-GB"/>
        </w:rPr>
        <w:drawing>
          <wp:inline distT="0" distB="0" distL="0" distR="0">
            <wp:extent cx="5836920" cy="3967084"/>
            <wp:effectExtent l="0" t="0" r="0" b="0"/>
            <wp:docPr id="49" name="Picture 49" descr="The transactions have been made in the Comprehensive Income and Expenditure Account and Movement in Reserves Statement during the year"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836920" cy="3967084"/>
                    </a:xfrm>
                    <a:prstGeom prst="rect">
                      <a:avLst/>
                    </a:prstGeom>
                    <a:noFill/>
                    <a:ln>
                      <a:noFill/>
                    </a:ln>
                  </pic:spPr>
                </pic:pic>
              </a:graphicData>
            </a:graphic>
          </wp:inline>
        </w:drawing>
      </w:r>
    </w:p>
    <w:p w:rsidR="007B07FE" w:rsidRDefault="007B07FE" w:rsidP="001F1E67">
      <w:pPr>
        <w:pStyle w:val="BodyText"/>
        <w:tabs>
          <w:tab w:val="right" w:pos="7920"/>
        </w:tabs>
        <w:spacing w:before="0" w:after="0"/>
        <w:jc w:val="left"/>
        <w:rPr>
          <w:rFonts w:ascii="Arial" w:hAnsi="Arial" w:cs="Arial"/>
        </w:rPr>
      </w:pPr>
    </w:p>
    <w:p w:rsidR="00990216" w:rsidRPr="00375FD4" w:rsidRDefault="00990216" w:rsidP="001F1E67">
      <w:pPr>
        <w:pStyle w:val="BodyText"/>
        <w:tabs>
          <w:tab w:val="right" w:pos="7920"/>
        </w:tabs>
        <w:spacing w:before="0" w:after="0"/>
        <w:jc w:val="left"/>
        <w:rPr>
          <w:rFonts w:ascii="Arial" w:hAnsi="Arial" w:cs="Arial"/>
        </w:rPr>
      </w:pPr>
      <w:r w:rsidRPr="00375FD4">
        <w:rPr>
          <w:rFonts w:ascii="Arial" w:hAnsi="Arial" w:cs="Arial"/>
        </w:rPr>
        <w:t>The underlying assets and liabilities for retiremen</w:t>
      </w:r>
      <w:r w:rsidR="00C920DD">
        <w:rPr>
          <w:rFonts w:ascii="Arial" w:hAnsi="Arial" w:cs="Arial"/>
        </w:rPr>
        <w:t>t benefits attributable to the c</w:t>
      </w:r>
      <w:r w:rsidRPr="00375FD4">
        <w:rPr>
          <w:rFonts w:ascii="Arial" w:hAnsi="Arial" w:cs="Arial"/>
        </w:rPr>
        <w:t>ouncil as at 31 March are as follows:</w:t>
      </w:r>
    </w:p>
    <w:p w:rsidR="00747F9B" w:rsidRPr="00375FD4" w:rsidRDefault="00747F9B" w:rsidP="00990216">
      <w:pPr>
        <w:pStyle w:val="BodyText"/>
        <w:tabs>
          <w:tab w:val="right" w:pos="7920"/>
        </w:tabs>
        <w:spacing w:before="0" w:after="0"/>
        <w:ind w:left="709"/>
        <w:rPr>
          <w:rFonts w:ascii="Arial" w:hAnsi="Arial" w:cs="Arial"/>
        </w:rPr>
      </w:pPr>
    </w:p>
    <w:p w:rsidR="00990216" w:rsidRPr="00375FD4" w:rsidRDefault="00990216" w:rsidP="006F622F">
      <w:pPr>
        <w:pStyle w:val="BodyText"/>
        <w:tabs>
          <w:tab w:val="left" w:pos="720"/>
        </w:tabs>
        <w:spacing w:before="0" w:after="0"/>
        <w:ind w:left="709"/>
        <w:rPr>
          <w:rFonts w:ascii="Arial" w:hAnsi="Arial" w:cs="Arial"/>
        </w:rPr>
      </w:pPr>
    </w:p>
    <w:p w:rsidR="00747F9B" w:rsidRPr="00375FD4" w:rsidRDefault="008A3385">
      <w:pPr>
        <w:spacing w:before="0" w:after="200" w:line="276" w:lineRule="auto"/>
        <w:rPr>
          <w:rFonts w:ascii="Arial" w:hAnsi="Arial" w:cs="Arial"/>
          <w:b/>
        </w:rPr>
      </w:pPr>
      <w:r w:rsidRPr="008A3385">
        <w:rPr>
          <w:noProof/>
          <w:lang w:eastAsia="en-GB"/>
        </w:rPr>
        <w:drawing>
          <wp:inline distT="0" distB="0" distL="0" distR="0">
            <wp:extent cx="4235450" cy="1778000"/>
            <wp:effectExtent l="0" t="0" r="0" b="0"/>
            <wp:docPr id="30" name="Picture 30" descr="The underlying assets and liabilities for retirement benefits attributable to the council as at 31 March "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235450" cy="1778000"/>
                    </a:xfrm>
                    <a:prstGeom prst="rect">
                      <a:avLst/>
                    </a:prstGeom>
                    <a:noFill/>
                    <a:ln>
                      <a:noFill/>
                    </a:ln>
                  </pic:spPr>
                </pic:pic>
              </a:graphicData>
            </a:graphic>
          </wp:inline>
        </w:drawing>
      </w:r>
      <w:r w:rsidR="00747F9B" w:rsidRPr="00375FD4">
        <w:rPr>
          <w:rFonts w:ascii="Arial" w:hAnsi="Arial" w:cs="Arial"/>
          <w:b/>
        </w:rPr>
        <w:br w:type="page"/>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jc w:val="both"/>
        <w:rPr>
          <w:rFonts w:ascii="Arial" w:hAnsi="Arial" w:cs="Arial"/>
          <w:b/>
        </w:rPr>
      </w:pPr>
    </w:p>
    <w:p w:rsidR="00990216" w:rsidRPr="00375FD4" w:rsidRDefault="00E50759"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Defined Benefit Pension Schemes (Cont’d)</w:t>
      </w:r>
    </w:p>
    <w:p w:rsidR="00990216" w:rsidRPr="00375FD4" w:rsidRDefault="00990216" w:rsidP="00990216">
      <w:pPr>
        <w:pStyle w:val="BodyText"/>
        <w:tabs>
          <w:tab w:val="left" w:pos="720"/>
        </w:tabs>
        <w:spacing w:before="0" w:after="0"/>
        <w:ind w:left="709"/>
        <w:rPr>
          <w:rFonts w:ascii="Arial" w:hAnsi="Arial" w:cs="Arial"/>
        </w:rPr>
      </w:pPr>
    </w:p>
    <w:p w:rsidR="004B13A5" w:rsidRPr="00375FD4" w:rsidRDefault="004B13A5" w:rsidP="004B13A5">
      <w:pPr>
        <w:spacing w:before="0" w:after="0"/>
        <w:rPr>
          <w:rFonts w:ascii="Arial" w:hAnsi="Arial" w:cs="Arial"/>
          <w:b/>
        </w:rPr>
      </w:pPr>
      <w:r>
        <w:rPr>
          <w:rFonts w:ascii="Arial" w:hAnsi="Arial" w:cs="Arial"/>
          <w:b/>
        </w:rPr>
        <w:t>1)</w:t>
      </w:r>
      <w:r>
        <w:rPr>
          <w:rFonts w:ascii="Arial" w:hAnsi="Arial" w:cs="Arial"/>
          <w:b/>
        </w:rPr>
        <w:tab/>
      </w:r>
      <w:r w:rsidRPr="00375FD4">
        <w:rPr>
          <w:rFonts w:ascii="Arial" w:hAnsi="Arial" w:cs="Arial"/>
          <w:b/>
        </w:rPr>
        <w:t>Local Government Pension Scheme</w:t>
      </w:r>
    </w:p>
    <w:p w:rsidR="004B13A5" w:rsidRDefault="004B13A5" w:rsidP="00285D36">
      <w:pPr>
        <w:spacing w:before="0" w:after="0"/>
        <w:jc w:val="both"/>
        <w:rPr>
          <w:rFonts w:ascii="Arial" w:eastAsiaTheme="minorHAnsi" w:hAnsi="Arial" w:cs="Arial"/>
        </w:rPr>
      </w:pPr>
    </w:p>
    <w:p w:rsidR="00D51678" w:rsidRPr="00D51678" w:rsidRDefault="00D51678" w:rsidP="003250D3">
      <w:pPr>
        <w:spacing w:before="0" w:after="0"/>
        <w:jc w:val="both"/>
        <w:rPr>
          <w:rFonts w:ascii="Arial" w:eastAsiaTheme="minorHAnsi" w:hAnsi="Arial" w:cs="Arial"/>
          <w:color w:val="000000"/>
        </w:rPr>
      </w:pPr>
      <w:r w:rsidRPr="00D51678">
        <w:rPr>
          <w:rFonts w:ascii="Arial" w:eastAsiaTheme="minorHAnsi" w:hAnsi="Arial" w:cs="Arial"/>
        </w:rPr>
        <w:t>The liabilities show the u</w:t>
      </w:r>
      <w:r w:rsidR="00391A23">
        <w:rPr>
          <w:rFonts w:ascii="Arial" w:eastAsiaTheme="minorHAnsi" w:hAnsi="Arial" w:cs="Arial"/>
        </w:rPr>
        <w:t xml:space="preserve">nderlying commitments </w:t>
      </w:r>
      <w:r w:rsidR="00F0035F">
        <w:rPr>
          <w:rFonts w:ascii="Arial" w:eastAsiaTheme="minorHAnsi" w:hAnsi="Arial" w:cs="Arial"/>
        </w:rPr>
        <w:t>that the c</w:t>
      </w:r>
      <w:r w:rsidRPr="00D51678">
        <w:rPr>
          <w:rFonts w:ascii="Arial" w:eastAsiaTheme="minorHAnsi" w:hAnsi="Arial" w:cs="Arial"/>
        </w:rPr>
        <w:t>ouncil has in the long run to pay post-</w:t>
      </w:r>
      <w:r w:rsidRPr="007B07FE">
        <w:rPr>
          <w:rFonts w:ascii="Arial" w:eastAsiaTheme="minorHAnsi" w:hAnsi="Arial" w:cs="Arial"/>
        </w:rPr>
        <w:t>employment (retirement) benefit</w:t>
      </w:r>
      <w:r w:rsidR="00E00EB7" w:rsidRPr="007B07FE">
        <w:rPr>
          <w:rFonts w:ascii="Arial" w:eastAsiaTheme="minorHAnsi" w:hAnsi="Arial" w:cs="Arial"/>
        </w:rPr>
        <w:t>s.</w:t>
      </w:r>
      <w:r w:rsidR="00A419F6" w:rsidRPr="007B07FE">
        <w:rPr>
          <w:rFonts w:ascii="Arial" w:eastAsiaTheme="minorHAnsi" w:hAnsi="Arial" w:cs="Arial"/>
        </w:rPr>
        <w:t xml:space="preserve">  The </w:t>
      </w:r>
      <w:r w:rsidR="00A419F6" w:rsidRPr="003250D3">
        <w:rPr>
          <w:rFonts w:ascii="Arial" w:eastAsiaTheme="minorHAnsi" w:hAnsi="Arial" w:cs="Arial"/>
        </w:rPr>
        <w:t xml:space="preserve">total liability of </w:t>
      </w:r>
      <w:r w:rsidR="00407744" w:rsidRPr="003250D3">
        <w:rPr>
          <w:rFonts w:ascii="Arial" w:eastAsiaTheme="minorHAnsi" w:hAnsi="Arial" w:cs="Arial"/>
        </w:rPr>
        <w:t>£</w:t>
      </w:r>
      <w:r w:rsidR="008A3385">
        <w:rPr>
          <w:rFonts w:ascii="Arial" w:eastAsiaTheme="minorHAnsi" w:hAnsi="Arial" w:cs="Arial"/>
        </w:rPr>
        <w:t>134.077</w:t>
      </w:r>
      <w:r w:rsidR="003250D3" w:rsidRPr="003250D3">
        <w:rPr>
          <w:rFonts w:ascii="Arial" w:eastAsiaTheme="minorHAnsi" w:hAnsi="Arial" w:cs="Arial"/>
        </w:rPr>
        <w:t>m</w:t>
      </w:r>
      <w:r w:rsidR="003250D3" w:rsidRPr="00E462CE">
        <w:rPr>
          <w:rFonts w:ascii="Arial" w:eastAsiaTheme="minorHAnsi" w:hAnsi="Arial" w:cs="Arial"/>
        </w:rPr>
        <w:t xml:space="preserve"> </w:t>
      </w:r>
      <w:r w:rsidRPr="007B07FE">
        <w:rPr>
          <w:rFonts w:ascii="Arial" w:eastAsiaTheme="minorHAnsi" w:hAnsi="Arial" w:cs="Arial"/>
        </w:rPr>
        <w:t>has a substantial</w:t>
      </w:r>
      <w:r w:rsidR="00AD3F6D">
        <w:rPr>
          <w:rFonts w:ascii="Arial" w:eastAsiaTheme="minorHAnsi" w:hAnsi="Arial" w:cs="Arial"/>
        </w:rPr>
        <w:t xml:space="preserve"> negative</w:t>
      </w:r>
      <w:r w:rsidRPr="007B07FE">
        <w:rPr>
          <w:rFonts w:ascii="Arial" w:eastAsiaTheme="minorHAnsi" w:hAnsi="Arial" w:cs="Arial"/>
        </w:rPr>
        <w:t xml:space="preserve"> impact on the </w:t>
      </w:r>
      <w:r w:rsidRPr="00E50759">
        <w:rPr>
          <w:rFonts w:ascii="Arial" w:eastAsiaTheme="minorHAnsi" w:hAnsi="Arial" w:cs="Arial"/>
        </w:rPr>
        <w:t xml:space="preserve">net </w:t>
      </w:r>
      <w:r w:rsidR="00F0035F" w:rsidRPr="00E50759">
        <w:rPr>
          <w:rFonts w:ascii="Arial" w:eastAsiaTheme="minorHAnsi" w:hAnsi="Arial" w:cs="Arial"/>
        </w:rPr>
        <w:t>worth of the c</w:t>
      </w:r>
      <w:r w:rsidRPr="00E50759">
        <w:rPr>
          <w:rFonts w:ascii="Arial" w:eastAsiaTheme="minorHAnsi" w:hAnsi="Arial" w:cs="Arial"/>
        </w:rPr>
        <w:t xml:space="preserve">ouncil as recorded in the Balance Sheet, resulting in an overall balance of </w:t>
      </w:r>
      <w:r w:rsidR="00BC4A21" w:rsidRPr="00E50759">
        <w:rPr>
          <w:rFonts w:ascii="Arial" w:eastAsiaTheme="minorHAnsi" w:hAnsi="Arial" w:cs="Arial"/>
        </w:rPr>
        <w:t>£</w:t>
      </w:r>
      <w:r w:rsidR="008A3385">
        <w:rPr>
          <w:rFonts w:ascii="Arial" w:eastAsiaTheme="minorHAnsi" w:hAnsi="Arial" w:cs="Arial"/>
        </w:rPr>
        <w:t>284.912</w:t>
      </w:r>
      <w:r w:rsidRPr="00E50759">
        <w:rPr>
          <w:rFonts w:ascii="Arial" w:eastAsiaTheme="minorHAnsi" w:hAnsi="Arial" w:cs="Arial"/>
        </w:rPr>
        <w:t>m. However, the statutory arrangements for funding the deficit, means</w:t>
      </w:r>
      <w:r w:rsidR="00F0035F" w:rsidRPr="00E50759">
        <w:rPr>
          <w:rFonts w:ascii="Arial" w:eastAsiaTheme="minorHAnsi" w:hAnsi="Arial" w:cs="Arial"/>
        </w:rPr>
        <w:t xml:space="preserve"> the financial position of the c</w:t>
      </w:r>
      <w:r w:rsidRPr="00E50759">
        <w:rPr>
          <w:rFonts w:ascii="Arial" w:eastAsiaTheme="minorHAnsi" w:hAnsi="Arial" w:cs="Arial"/>
        </w:rPr>
        <w:t>ouncil</w:t>
      </w:r>
      <w:r w:rsidRPr="00D51678">
        <w:rPr>
          <w:rFonts w:ascii="Arial" w:eastAsiaTheme="minorHAnsi" w:hAnsi="Arial" w:cs="Arial"/>
        </w:rPr>
        <w:t xml:space="preserve"> remains healthy.</w:t>
      </w:r>
    </w:p>
    <w:p w:rsidR="00D51678" w:rsidRPr="00D51678" w:rsidRDefault="00D51678" w:rsidP="00285D36">
      <w:pPr>
        <w:spacing w:before="0" w:after="0"/>
        <w:jc w:val="both"/>
        <w:rPr>
          <w:rFonts w:ascii="Arial" w:eastAsiaTheme="minorHAnsi" w:hAnsi="Arial" w:cs="Arial"/>
        </w:rPr>
      </w:pPr>
    </w:p>
    <w:p w:rsidR="00D51678" w:rsidRPr="00D51678" w:rsidRDefault="00D51678" w:rsidP="00285D36">
      <w:pPr>
        <w:spacing w:before="0" w:after="0"/>
        <w:jc w:val="both"/>
        <w:rPr>
          <w:rFonts w:ascii="Arial" w:eastAsiaTheme="minorHAnsi" w:hAnsi="Arial" w:cs="Arial"/>
        </w:rPr>
      </w:pPr>
      <w:r w:rsidRPr="00D51678">
        <w:rPr>
          <w:rFonts w:ascii="Arial" w:eastAsiaTheme="minorHAnsi" w:hAnsi="Arial" w:cs="Arial"/>
        </w:rPr>
        <w:t>The deficit on the local government scheme will be made good by increased contributions over the remaining working life of employees (i.e. before payments fall due) as assessed by the scheme actuary. Finance is only required to be raised to cover discretionary benefits when the pensions are actually paid.</w:t>
      </w:r>
    </w:p>
    <w:p w:rsidR="00D51678" w:rsidRPr="00D51678" w:rsidRDefault="00D51678" w:rsidP="00285D36">
      <w:pPr>
        <w:spacing w:before="0" w:after="0"/>
        <w:jc w:val="both"/>
        <w:rPr>
          <w:rFonts w:ascii="Arial" w:eastAsiaTheme="minorHAnsi" w:hAnsi="Arial" w:cs="Arial"/>
        </w:rPr>
      </w:pPr>
    </w:p>
    <w:p w:rsidR="00D51678" w:rsidRPr="007B07FE" w:rsidRDefault="00AD3F6D" w:rsidP="00464974">
      <w:pPr>
        <w:spacing w:before="0" w:after="0"/>
        <w:jc w:val="both"/>
        <w:rPr>
          <w:rFonts w:ascii="Arial" w:eastAsiaTheme="minorHAnsi" w:hAnsi="Arial" w:cs="Arial"/>
        </w:rPr>
      </w:pPr>
      <w:r>
        <w:rPr>
          <w:rFonts w:ascii="Arial" w:eastAsiaTheme="minorHAnsi" w:hAnsi="Arial" w:cs="Arial"/>
        </w:rPr>
        <w:t>The fair value of plan</w:t>
      </w:r>
      <w:r w:rsidR="00D51678" w:rsidRPr="007B07FE">
        <w:rPr>
          <w:rFonts w:ascii="Arial" w:eastAsiaTheme="minorHAnsi" w:hAnsi="Arial" w:cs="Arial"/>
        </w:rPr>
        <w:t xml:space="preserve"> assets have </w:t>
      </w:r>
      <w:r w:rsidR="00464974" w:rsidRPr="00E462CE">
        <w:rPr>
          <w:rFonts w:ascii="Arial" w:eastAsiaTheme="minorHAnsi" w:hAnsi="Arial" w:cs="Arial"/>
        </w:rPr>
        <w:t>decreased by £31.</w:t>
      </w:r>
      <w:r w:rsidR="00464974" w:rsidRPr="00464974">
        <w:rPr>
          <w:rFonts w:ascii="Arial" w:eastAsiaTheme="minorHAnsi" w:hAnsi="Arial" w:cs="Arial"/>
        </w:rPr>
        <w:t>149m</w:t>
      </w:r>
      <w:r w:rsidR="00D51678" w:rsidRPr="00464974">
        <w:rPr>
          <w:rFonts w:ascii="Arial" w:eastAsiaTheme="minorHAnsi" w:hAnsi="Arial" w:cs="Arial"/>
        </w:rPr>
        <w:t>. This</w:t>
      </w:r>
      <w:r w:rsidR="00D51678" w:rsidRPr="007B07FE">
        <w:rPr>
          <w:rFonts w:ascii="Arial" w:eastAsiaTheme="minorHAnsi" w:hAnsi="Arial" w:cs="Arial"/>
        </w:rPr>
        <w:t xml:space="preserve"> is due to asset returns being more favourable than anticipated.  </w:t>
      </w:r>
    </w:p>
    <w:p w:rsidR="00D51678" w:rsidRPr="007B07FE" w:rsidRDefault="00D51678" w:rsidP="00285D36">
      <w:pPr>
        <w:spacing w:before="0" w:after="0"/>
        <w:jc w:val="both"/>
        <w:rPr>
          <w:rFonts w:ascii="Arial" w:eastAsiaTheme="minorHAnsi" w:hAnsi="Arial" w:cs="Arial"/>
        </w:rPr>
      </w:pPr>
    </w:p>
    <w:p w:rsidR="00990216" w:rsidRPr="004535D3" w:rsidRDefault="00D51678" w:rsidP="00466A40">
      <w:pPr>
        <w:spacing w:before="0" w:after="0"/>
        <w:jc w:val="both"/>
        <w:rPr>
          <w:rFonts w:ascii="Arial" w:eastAsiaTheme="minorHAnsi" w:hAnsi="Arial" w:cs="Arial"/>
        </w:rPr>
      </w:pPr>
      <w:r w:rsidRPr="007B07FE">
        <w:rPr>
          <w:rFonts w:ascii="Arial" w:eastAsiaTheme="minorHAnsi" w:hAnsi="Arial" w:cs="Arial"/>
        </w:rPr>
        <w:t>T</w:t>
      </w:r>
      <w:r w:rsidR="00B30A09" w:rsidRPr="007B07FE">
        <w:rPr>
          <w:rFonts w:ascii="Arial" w:eastAsiaTheme="minorHAnsi" w:hAnsi="Arial" w:cs="Arial"/>
        </w:rPr>
        <w:t>he estimated liabiliti</w:t>
      </w:r>
      <w:r w:rsidR="00E57954">
        <w:rPr>
          <w:rFonts w:ascii="Arial" w:eastAsiaTheme="minorHAnsi" w:hAnsi="Arial" w:cs="Arial"/>
        </w:rPr>
        <w:t xml:space="preserve">es </w:t>
      </w:r>
      <w:r w:rsidR="008A3385">
        <w:rPr>
          <w:rFonts w:ascii="Arial" w:eastAsiaTheme="minorHAnsi" w:hAnsi="Arial" w:cs="Arial"/>
        </w:rPr>
        <w:t>have decreased by £102.287</w:t>
      </w:r>
      <w:r w:rsidR="00464974" w:rsidRPr="00466A40">
        <w:rPr>
          <w:rFonts w:ascii="Arial" w:eastAsiaTheme="minorHAnsi" w:hAnsi="Arial" w:cs="Arial"/>
        </w:rPr>
        <w:t>m</w:t>
      </w:r>
      <w:r w:rsidR="004743F3" w:rsidRPr="00466A40">
        <w:rPr>
          <w:rFonts w:ascii="Arial" w:eastAsiaTheme="minorHAnsi" w:hAnsi="Arial" w:cs="Arial"/>
        </w:rPr>
        <w:t>,</w:t>
      </w:r>
      <w:r w:rsidRPr="00466A40">
        <w:rPr>
          <w:rFonts w:ascii="Arial" w:eastAsiaTheme="minorHAnsi" w:hAnsi="Arial" w:cs="Arial"/>
        </w:rPr>
        <w:t xml:space="preserve"> due to financial</w:t>
      </w:r>
      <w:r w:rsidR="002607BF" w:rsidRPr="00466A40">
        <w:rPr>
          <w:rFonts w:ascii="Arial" w:eastAsiaTheme="minorHAnsi" w:hAnsi="Arial" w:cs="Arial"/>
        </w:rPr>
        <w:t xml:space="preserve"> assumptions as at 31 March </w:t>
      </w:r>
      <w:r w:rsidR="008676A6" w:rsidRPr="00466A40">
        <w:rPr>
          <w:rFonts w:ascii="Arial" w:eastAsiaTheme="minorHAnsi" w:hAnsi="Arial" w:cs="Arial"/>
        </w:rPr>
        <w:t>2020</w:t>
      </w:r>
      <w:r w:rsidRPr="00466A40">
        <w:rPr>
          <w:rFonts w:ascii="Arial" w:eastAsiaTheme="minorHAnsi" w:hAnsi="Arial" w:cs="Arial"/>
        </w:rPr>
        <w:t xml:space="preserve"> being </w:t>
      </w:r>
      <w:r w:rsidR="00E50759" w:rsidRPr="00466A40">
        <w:rPr>
          <w:rFonts w:ascii="Arial" w:eastAsiaTheme="minorHAnsi" w:hAnsi="Arial" w:cs="Arial"/>
        </w:rPr>
        <w:t>more</w:t>
      </w:r>
      <w:r w:rsidRPr="00466A40">
        <w:rPr>
          <w:rFonts w:ascii="Arial" w:eastAsiaTheme="minorHAnsi" w:hAnsi="Arial" w:cs="Arial"/>
        </w:rPr>
        <w:t xml:space="preserve"> favourable than they were at 31 Ma</w:t>
      </w:r>
      <w:r w:rsidR="00355F22" w:rsidRPr="00466A40">
        <w:rPr>
          <w:rFonts w:ascii="Arial" w:eastAsiaTheme="minorHAnsi" w:hAnsi="Arial" w:cs="Arial"/>
        </w:rPr>
        <w:t>rch 201</w:t>
      </w:r>
      <w:r w:rsidR="008676A6" w:rsidRPr="00466A40">
        <w:rPr>
          <w:rFonts w:ascii="Arial" w:eastAsiaTheme="minorHAnsi" w:hAnsi="Arial" w:cs="Arial"/>
        </w:rPr>
        <w:t>9</w:t>
      </w:r>
      <w:r w:rsidR="00466A40" w:rsidRPr="00466A40">
        <w:rPr>
          <w:rFonts w:ascii="Arial" w:eastAsiaTheme="minorHAnsi" w:hAnsi="Arial" w:cs="Arial"/>
        </w:rPr>
        <w:t xml:space="preserve">, mainly due to </w:t>
      </w:r>
      <w:r w:rsidR="00466A40" w:rsidRPr="00466A40">
        <w:rPr>
          <w:rFonts w:ascii="Arial" w:hAnsi="Arial" w:cs="Arial"/>
          <w:lang w:val="en-US"/>
        </w:rPr>
        <w:t>the downwards movement in the assumptions of future pension increases (from 2.5</w:t>
      </w:r>
      <w:r w:rsidR="00466A40">
        <w:rPr>
          <w:rFonts w:ascii="Arial" w:hAnsi="Arial" w:cs="Arial"/>
          <w:lang w:val="en-US"/>
        </w:rPr>
        <w:t>% p.a. to 1.9% p.a.);</w:t>
      </w:r>
      <w:r w:rsidR="00466A40" w:rsidRPr="0044664F">
        <w:rPr>
          <w:rFonts w:ascii="Arial" w:hAnsi="Arial" w:cs="Arial"/>
          <w:lang w:val="en-US"/>
        </w:rPr>
        <w:t xml:space="preserve"> salary increases </w:t>
      </w:r>
      <w:r w:rsidR="00466A40">
        <w:rPr>
          <w:rFonts w:ascii="Arial" w:hAnsi="Arial" w:cs="Arial"/>
          <w:lang w:val="en-US"/>
        </w:rPr>
        <w:t xml:space="preserve">(3.7% p.a. to 3% p.a.) </w:t>
      </w:r>
      <w:r w:rsidR="00466A40" w:rsidRPr="0044664F">
        <w:rPr>
          <w:rFonts w:ascii="Arial" w:hAnsi="Arial" w:cs="Arial"/>
          <w:lang w:val="en-US"/>
        </w:rPr>
        <w:t xml:space="preserve">and </w:t>
      </w:r>
      <w:r w:rsidR="00466A40">
        <w:rPr>
          <w:rFonts w:ascii="Arial" w:hAnsi="Arial" w:cs="Arial"/>
          <w:lang w:val="en-US"/>
        </w:rPr>
        <w:t>a decreased discount rate (2.4% to 2.3%).</w:t>
      </w:r>
    </w:p>
    <w:p w:rsidR="00990216" w:rsidRPr="00375FD4" w:rsidRDefault="00990216" w:rsidP="00285D36">
      <w:pPr>
        <w:spacing w:before="0" w:after="0"/>
        <w:rPr>
          <w:rFonts w:ascii="Arial" w:hAnsi="Arial" w:cs="Arial"/>
          <w:b/>
        </w:rPr>
      </w:pPr>
    </w:p>
    <w:p w:rsidR="00990216" w:rsidRPr="00154BE1" w:rsidRDefault="00990216" w:rsidP="00EA6E47">
      <w:pPr>
        <w:pStyle w:val="ListParagraph"/>
        <w:numPr>
          <w:ilvl w:val="0"/>
          <w:numId w:val="20"/>
        </w:numPr>
        <w:tabs>
          <w:tab w:val="clear" w:pos="1620"/>
          <w:tab w:val="num" w:pos="709"/>
        </w:tabs>
        <w:spacing w:before="0" w:after="0"/>
        <w:ind w:left="709"/>
        <w:rPr>
          <w:rFonts w:ascii="Arial" w:hAnsi="Arial" w:cs="Arial"/>
          <w:b/>
        </w:rPr>
      </w:pPr>
      <w:r w:rsidRPr="00154BE1">
        <w:rPr>
          <w:rFonts w:ascii="Arial" w:hAnsi="Arial" w:cs="Arial"/>
          <w:b/>
        </w:rPr>
        <w:t>Pension Assets and Liabilities</w:t>
      </w:r>
    </w:p>
    <w:p w:rsidR="00990216" w:rsidRPr="00375FD4" w:rsidRDefault="00990216" w:rsidP="00285D36">
      <w:pPr>
        <w:spacing w:before="0" w:after="0"/>
        <w:rPr>
          <w:rFonts w:ascii="Arial" w:hAnsi="Arial" w:cs="Arial"/>
        </w:rPr>
      </w:pPr>
    </w:p>
    <w:p w:rsidR="00990216" w:rsidRPr="00375FD4" w:rsidRDefault="00990216" w:rsidP="001F1E67">
      <w:pPr>
        <w:pStyle w:val="BodyText"/>
        <w:tabs>
          <w:tab w:val="left" w:pos="720"/>
        </w:tabs>
        <w:spacing w:before="0" w:after="0"/>
        <w:jc w:val="left"/>
        <w:rPr>
          <w:rFonts w:ascii="Arial" w:hAnsi="Arial" w:cs="Arial"/>
        </w:rPr>
      </w:pPr>
      <w:r w:rsidRPr="00375FD4">
        <w:rPr>
          <w:rFonts w:ascii="Arial" w:hAnsi="Arial" w:cs="Arial"/>
        </w:rPr>
        <w:t>Liabilities have been valued on an actuarial basis using the projected unit method which assesses the future liabilities of the fund discounted to their present value. The liabilities have been assessed by Hymans Robertson, an independent firm of actuaries, contracted by Glasgow</w:t>
      </w:r>
      <w:r w:rsidR="00826139" w:rsidRPr="00375FD4">
        <w:rPr>
          <w:rFonts w:ascii="Arial" w:hAnsi="Arial" w:cs="Arial"/>
        </w:rPr>
        <w:t xml:space="preserve"> City Council to provide all IAS</w:t>
      </w:r>
      <w:r w:rsidRPr="00375FD4">
        <w:rPr>
          <w:rFonts w:ascii="Arial" w:hAnsi="Arial" w:cs="Arial"/>
        </w:rPr>
        <w:t>19</w:t>
      </w:r>
      <w:r w:rsidR="00C920DD">
        <w:rPr>
          <w:rFonts w:ascii="Arial" w:hAnsi="Arial" w:cs="Arial"/>
        </w:rPr>
        <w:t xml:space="preserve"> calculations on behalf of the c</w:t>
      </w:r>
      <w:r w:rsidRPr="00375FD4">
        <w:rPr>
          <w:rFonts w:ascii="Arial" w:hAnsi="Arial" w:cs="Arial"/>
        </w:rPr>
        <w:t>ouncils within the Strathclyde Pension Fund. The fu</w:t>
      </w:r>
      <w:r w:rsidR="00747F9B" w:rsidRPr="00375FD4">
        <w:rPr>
          <w:rFonts w:ascii="Arial" w:hAnsi="Arial" w:cs="Arial"/>
        </w:rPr>
        <w:t>nded obligation is noted below:</w:t>
      </w:r>
    </w:p>
    <w:p w:rsidR="00747F9B" w:rsidRPr="00375FD4" w:rsidRDefault="00747F9B" w:rsidP="00747F9B">
      <w:pPr>
        <w:pStyle w:val="BodyText"/>
        <w:tabs>
          <w:tab w:val="left" w:pos="720"/>
        </w:tabs>
        <w:spacing w:before="0" w:after="0"/>
        <w:ind w:left="709"/>
        <w:rPr>
          <w:rFonts w:ascii="Arial" w:hAnsi="Arial" w:cs="Arial"/>
        </w:rPr>
      </w:pPr>
    </w:p>
    <w:p w:rsidR="00990216" w:rsidRDefault="00464974" w:rsidP="00990216">
      <w:pPr>
        <w:spacing w:before="0" w:after="0"/>
        <w:rPr>
          <w:rFonts w:ascii="Arial" w:hAnsi="Arial" w:cs="Arial"/>
        </w:rPr>
      </w:pPr>
      <w:r w:rsidRPr="00464974">
        <w:rPr>
          <w:noProof/>
          <w:lang w:eastAsia="en-GB"/>
        </w:rPr>
        <w:drawing>
          <wp:inline distT="0" distB="0" distL="0" distR="0">
            <wp:extent cx="4295775" cy="1000125"/>
            <wp:effectExtent l="0" t="0" r="9525" b="9525"/>
            <wp:docPr id="16" name="Picture 16" descr="The funded obligation "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295775" cy="1000125"/>
                    </a:xfrm>
                    <a:prstGeom prst="rect">
                      <a:avLst/>
                    </a:prstGeom>
                    <a:noFill/>
                    <a:ln>
                      <a:noFill/>
                    </a:ln>
                  </pic:spPr>
                </pic:pic>
              </a:graphicData>
            </a:graphic>
          </wp:inline>
        </w:drawing>
      </w:r>
    </w:p>
    <w:p w:rsidR="007B07FE" w:rsidRPr="00375FD4" w:rsidRDefault="007B07FE" w:rsidP="00990216">
      <w:pPr>
        <w:spacing w:before="0" w:after="0"/>
        <w:rPr>
          <w:rFonts w:ascii="Arial" w:hAnsi="Arial" w:cs="Arial"/>
        </w:rPr>
      </w:pPr>
    </w:p>
    <w:p w:rsidR="00990216" w:rsidRPr="004B13A5" w:rsidRDefault="00990216" w:rsidP="00990216">
      <w:pPr>
        <w:tabs>
          <w:tab w:val="left" w:pos="720"/>
          <w:tab w:val="left" w:pos="1134"/>
          <w:tab w:val="left" w:pos="1701"/>
        </w:tabs>
        <w:spacing w:before="0" w:after="0"/>
        <w:ind w:left="720" w:hanging="720"/>
        <w:jc w:val="both"/>
        <w:rPr>
          <w:rFonts w:ascii="Arial" w:hAnsi="Arial" w:cs="Arial"/>
        </w:rPr>
      </w:pPr>
      <w:r w:rsidRPr="004B13A5">
        <w:rPr>
          <w:rFonts w:ascii="Arial" w:hAnsi="Arial" w:cs="Arial"/>
        </w:rPr>
        <w:t>The movement during the year on the defined obligation is noted as:</w:t>
      </w:r>
    </w:p>
    <w:p w:rsidR="00A07572" w:rsidRPr="00375FD4" w:rsidRDefault="00A07572" w:rsidP="00A07572">
      <w:pPr>
        <w:tabs>
          <w:tab w:val="left" w:pos="720"/>
          <w:tab w:val="left" w:pos="1134"/>
          <w:tab w:val="left" w:pos="1701"/>
        </w:tabs>
        <w:spacing w:before="0" w:after="0"/>
        <w:jc w:val="both"/>
        <w:rPr>
          <w:rFonts w:ascii="Arial" w:hAnsi="Arial" w:cs="Arial"/>
          <w:b/>
        </w:rPr>
      </w:pPr>
    </w:p>
    <w:p w:rsidR="00A7048A" w:rsidRPr="00375FD4" w:rsidRDefault="008A3385" w:rsidP="003453F6">
      <w:pPr>
        <w:tabs>
          <w:tab w:val="left" w:pos="720"/>
          <w:tab w:val="left" w:pos="1134"/>
          <w:tab w:val="left" w:pos="1701"/>
        </w:tabs>
        <w:spacing w:before="0" w:after="0"/>
        <w:ind w:left="720" w:hanging="11"/>
        <w:jc w:val="both"/>
        <w:rPr>
          <w:rFonts w:ascii="Arial" w:hAnsi="Arial" w:cs="Arial"/>
          <w:b/>
        </w:rPr>
      </w:pPr>
      <w:r w:rsidRPr="008A3385">
        <w:rPr>
          <w:noProof/>
          <w:lang w:eastAsia="en-GB"/>
        </w:rPr>
        <w:drawing>
          <wp:inline distT="0" distB="0" distL="0" distR="0">
            <wp:extent cx="5130800" cy="2120900"/>
            <wp:effectExtent l="0" t="0" r="0" b="0"/>
            <wp:docPr id="249" name="Picture 249" descr="The movement during the year on the defined obligation "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30800" cy="2120900"/>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rPr>
      </w:pPr>
    </w:p>
    <w:p w:rsidR="000D12FA" w:rsidRPr="00375FD4" w:rsidRDefault="000D12FA">
      <w:pPr>
        <w:spacing w:before="0" w:after="200" w:line="276" w:lineRule="auto"/>
        <w:rPr>
          <w:rFonts w:ascii="Arial" w:hAnsi="Arial" w:cs="Arial"/>
          <w:b/>
        </w:rPr>
      </w:pPr>
      <w:r w:rsidRPr="00375FD4">
        <w:rPr>
          <w:rFonts w:ascii="Arial" w:hAnsi="Arial" w:cs="Arial"/>
          <w:b/>
        </w:rPr>
        <w:br w:type="page"/>
      </w:r>
    </w:p>
    <w:p w:rsidR="00990216" w:rsidRPr="0025445E" w:rsidRDefault="00990216" w:rsidP="00990216">
      <w:pPr>
        <w:spacing w:before="0" w:after="0"/>
        <w:rPr>
          <w:rFonts w:ascii="Arial" w:hAnsi="Arial" w:cs="Arial"/>
          <w:b/>
          <w:sz w:val="24"/>
          <w:szCs w:val="24"/>
        </w:rPr>
      </w:pPr>
      <w:r w:rsidRPr="0025445E">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jc w:val="both"/>
        <w:rPr>
          <w:rFonts w:ascii="Arial" w:hAnsi="Arial" w:cs="Arial"/>
          <w:b/>
        </w:rPr>
      </w:pPr>
    </w:p>
    <w:p w:rsidR="00990216" w:rsidRPr="00375FD4" w:rsidRDefault="00466A40"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w:t>
      </w:r>
      <w:r w:rsidR="00522D7C">
        <w:rPr>
          <w:rFonts w:ascii="Arial" w:hAnsi="Arial" w:cs="Arial"/>
          <w:b/>
        </w:rPr>
        <w:t xml:space="preserve">efined Benefit Pension Schemes </w:t>
      </w:r>
      <w:r w:rsidR="00990216" w:rsidRPr="00375FD4">
        <w:rPr>
          <w:rFonts w:ascii="Arial" w:hAnsi="Arial" w:cs="Arial"/>
          <w:b/>
        </w:rPr>
        <w:t>(Cont’d)</w:t>
      </w:r>
    </w:p>
    <w:p w:rsidR="00990216" w:rsidRPr="00375FD4" w:rsidRDefault="00990216" w:rsidP="00990216">
      <w:pPr>
        <w:spacing w:before="0" w:after="0"/>
        <w:rPr>
          <w:rFonts w:ascii="Arial" w:hAnsi="Arial" w:cs="Arial"/>
          <w:b/>
        </w:rPr>
      </w:pPr>
    </w:p>
    <w:p w:rsidR="00990216" w:rsidRPr="00522D7C" w:rsidRDefault="004B13A5" w:rsidP="00522D7C">
      <w:pPr>
        <w:tabs>
          <w:tab w:val="num" w:pos="709"/>
        </w:tabs>
        <w:spacing w:before="0" w:after="0"/>
        <w:ind w:left="709" w:hanging="709"/>
        <w:rPr>
          <w:rFonts w:ascii="Arial" w:hAnsi="Arial" w:cs="Arial"/>
          <w:b/>
        </w:rPr>
      </w:pPr>
      <w:r>
        <w:rPr>
          <w:rFonts w:ascii="Arial" w:hAnsi="Arial" w:cs="Arial"/>
          <w:b/>
        </w:rPr>
        <w:t>2</w:t>
      </w:r>
      <w:r w:rsidR="00522D7C">
        <w:rPr>
          <w:rFonts w:ascii="Arial" w:hAnsi="Arial" w:cs="Arial"/>
          <w:b/>
        </w:rPr>
        <w:t xml:space="preserve">) </w:t>
      </w:r>
      <w:r w:rsidR="00522D7C">
        <w:rPr>
          <w:rFonts w:ascii="Arial" w:hAnsi="Arial" w:cs="Arial"/>
          <w:b/>
        </w:rPr>
        <w:tab/>
      </w:r>
      <w:r w:rsidR="00990216" w:rsidRPr="00522D7C">
        <w:rPr>
          <w:rFonts w:ascii="Arial" w:hAnsi="Arial" w:cs="Arial"/>
          <w:b/>
        </w:rPr>
        <w:t>Pension Assets and Liabilities (Cont’d)</w:t>
      </w:r>
    </w:p>
    <w:p w:rsidR="00990216" w:rsidRPr="00375FD4" w:rsidRDefault="00990216" w:rsidP="00990216">
      <w:pPr>
        <w:spacing w:before="0" w:after="0"/>
        <w:rPr>
          <w:rFonts w:ascii="Arial" w:hAnsi="Arial" w:cs="Arial"/>
        </w:rPr>
      </w:pPr>
    </w:p>
    <w:p w:rsidR="00990216" w:rsidRPr="00375FD4" w:rsidRDefault="00990216" w:rsidP="00990216">
      <w:pPr>
        <w:tabs>
          <w:tab w:val="left" w:pos="720"/>
          <w:tab w:val="left" w:pos="1134"/>
          <w:tab w:val="left" w:pos="1701"/>
        </w:tabs>
        <w:spacing w:before="0" w:after="0"/>
        <w:ind w:left="720" w:hanging="720"/>
        <w:jc w:val="both"/>
        <w:rPr>
          <w:rFonts w:ascii="Arial" w:hAnsi="Arial" w:cs="Arial"/>
          <w:b/>
        </w:rPr>
      </w:pPr>
      <w:r w:rsidRPr="00375FD4">
        <w:rPr>
          <w:rFonts w:ascii="Arial" w:hAnsi="Arial" w:cs="Arial"/>
          <w:b/>
        </w:rPr>
        <w:t>The movement during the year on the fair value of the employer’s assets is:</w:t>
      </w:r>
    </w:p>
    <w:p w:rsidR="00990216" w:rsidRPr="00375FD4" w:rsidRDefault="00990216" w:rsidP="00990216">
      <w:pPr>
        <w:tabs>
          <w:tab w:val="left" w:pos="720"/>
          <w:tab w:val="left" w:pos="1134"/>
          <w:tab w:val="left" w:pos="1701"/>
        </w:tabs>
        <w:spacing w:before="0" w:after="0"/>
        <w:ind w:left="720" w:hanging="720"/>
        <w:jc w:val="both"/>
        <w:rPr>
          <w:rFonts w:ascii="Arial" w:hAnsi="Arial" w:cs="Arial"/>
          <w:b/>
        </w:rPr>
      </w:pPr>
    </w:p>
    <w:p w:rsidR="00747F9B" w:rsidRDefault="00464974" w:rsidP="00990216">
      <w:pPr>
        <w:spacing w:before="0" w:after="0"/>
        <w:rPr>
          <w:rFonts w:ascii="Arial" w:hAnsi="Arial" w:cs="Arial"/>
        </w:rPr>
      </w:pPr>
      <w:r w:rsidRPr="00464974">
        <w:rPr>
          <w:noProof/>
          <w:lang w:eastAsia="en-GB"/>
        </w:rPr>
        <w:drawing>
          <wp:inline distT="0" distB="0" distL="0" distR="0">
            <wp:extent cx="4657725" cy="1790700"/>
            <wp:effectExtent l="0" t="0" r="9525" b="0"/>
            <wp:docPr id="19" name="Picture 19" descr="The movement during the year on the fair value of the employer’s assets "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657725" cy="1790700"/>
                    </a:xfrm>
                    <a:prstGeom prst="rect">
                      <a:avLst/>
                    </a:prstGeom>
                    <a:noFill/>
                    <a:ln>
                      <a:noFill/>
                    </a:ln>
                  </pic:spPr>
                </pic:pic>
              </a:graphicData>
            </a:graphic>
          </wp:inline>
        </w:drawing>
      </w:r>
    </w:p>
    <w:p w:rsidR="007B07FE" w:rsidRPr="00375FD4" w:rsidRDefault="007B07FE" w:rsidP="00990216">
      <w:pPr>
        <w:spacing w:before="0" w:after="0"/>
        <w:rPr>
          <w:rFonts w:ascii="Arial" w:hAnsi="Arial" w:cs="Arial"/>
        </w:rPr>
      </w:pPr>
    </w:p>
    <w:p w:rsidR="00990216" w:rsidRPr="00375FD4" w:rsidRDefault="00990216" w:rsidP="00990216">
      <w:pPr>
        <w:spacing w:before="0" w:after="0"/>
        <w:rPr>
          <w:rFonts w:ascii="Arial" w:hAnsi="Arial" w:cs="Arial"/>
        </w:rPr>
      </w:pPr>
      <w:r w:rsidRPr="00375FD4">
        <w:rPr>
          <w:rFonts w:ascii="Arial" w:hAnsi="Arial" w:cs="Arial"/>
        </w:rPr>
        <w:t>WDC Share of the pen</w:t>
      </w:r>
      <w:r w:rsidR="006E448C">
        <w:rPr>
          <w:rFonts w:ascii="Arial" w:hAnsi="Arial" w:cs="Arial"/>
        </w:rPr>
        <w:t>sio</w:t>
      </w:r>
      <w:r w:rsidR="008676A6">
        <w:rPr>
          <w:rFonts w:ascii="Arial" w:hAnsi="Arial" w:cs="Arial"/>
        </w:rPr>
        <w:t>n fund asset at 31 March 2020</w:t>
      </w:r>
      <w:r w:rsidR="00A07572">
        <w:rPr>
          <w:rFonts w:ascii="Arial" w:hAnsi="Arial" w:cs="Arial"/>
        </w:rPr>
        <w:t xml:space="preserve"> comprised</w:t>
      </w:r>
      <w:r w:rsidRPr="00375FD4">
        <w:rPr>
          <w:rFonts w:ascii="Arial" w:hAnsi="Arial" w:cs="Arial"/>
        </w:rPr>
        <w:t>:</w:t>
      </w:r>
    </w:p>
    <w:p w:rsidR="00990216" w:rsidRPr="00375FD4" w:rsidRDefault="00990216" w:rsidP="00990216">
      <w:pPr>
        <w:spacing w:before="0" w:after="0"/>
        <w:rPr>
          <w:rFonts w:ascii="Arial" w:hAnsi="Arial" w:cs="Arial"/>
        </w:rPr>
      </w:pPr>
    </w:p>
    <w:p w:rsidR="0057262A" w:rsidRDefault="00464974" w:rsidP="00990216">
      <w:pPr>
        <w:spacing w:before="0" w:after="0"/>
        <w:rPr>
          <w:rFonts w:ascii="Arial" w:hAnsi="Arial" w:cs="Arial"/>
          <w:b/>
        </w:rPr>
      </w:pPr>
      <w:r w:rsidRPr="00464974">
        <w:rPr>
          <w:noProof/>
          <w:lang w:eastAsia="en-GB"/>
        </w:rPr>
        <w:drawing>
          <wp:inline distT="0" distB="0" distL="0" distR="0" wp14:anchorId="0E342AA0" wp14:editId="0253E8DC">
            <wp:extent cx="5836920" cy="2130520"/>
            <wp:effectExtent l="0" t="0" r="0" b="0"/>
            <wp:docPr id="20" name="Picture 20" descr="WDC Share of the pension fund asset at 31 March 2020 comprised"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36920" cy="2130520"/>
                    </a:xfrm>
                    <a:prstGeom prst="rect">
                      <a:avLst/>
                    </a:prstGeom>
                    <a:noFill/>
                    <a:ln>
                      <a:noFill/>
                    </a:ln>
                  </pic:spPr>
                </pic:pic>
              </a:graphicData>
            </a:graphic>
          </wp:inline>
        </w:drawing>
      </w:r>
    </w:p>
    <w:p w:rsidR="007B07FE" w:rsidRDefault="007B07FE" w:rsidP="00990216">
      <w:pPr>
        <w:spacing w:before="0" w:after="0"/>
        <w:rPr>
          <w:rFonts w:ascii="Arial" w:hAnsi="Arial" w:cs="Arial"/>
          <w:b/>
        </w:rPr>
      </w:pPr>
    </w:p>
    <w:p w:rsidR="00B30A09" w:rsidRPr="00375FD4" w:rsidRDefault="00112650" w:rsidP="00B30A09">
      <w:pPr>
        <w:tabs>
          <w:tab w:val="left" w:pos="720"/>
          <w:tab w:val="left" w:pos="1134"/>
          <w:tab w:val="left" w:pos="1701"/>
        </w:tabs>
        <w:spacing w:before="0" w:after="0"/>
        <w:rPr>
          <w:rFonts w:ascii="Arial" w:hAnsi="Arial" w:cs="Arial"/>
        </w:rPr>
      </w:pPr>
      <w:r>
        <w:rPr>
          <w:rFonts w:ascii="Arial" w:hAnsi="Arial" w:cs="Arial"/>
        </w:rPr>
        <w:t>A</w:t>
      </w:r>
      <w:r w:rsidR="00B30A09" w:rsidRPr="00E57954">
        <w:rPr>
          <w:rFonts w:ascii="Arial" w:hAnsi="Arial" w:cs="Arial"/>
        </w:rPr>
        <w:t>ssets are now held at bid value.</w:t>
      </w:r>
    </w:p>
    <w:p w:rsidR="005E7F5F" w:rsidRDefault="005E7F5F" w:rsidP="00990216">
      <w:pPr>
        <w:spacing w:before="0" w:after="0"/>
        <w:rPr>
          <w:rFonts w:ascii="Arial" w:hAnsi="Arial" w:cs="Arial"/>
          <w:b/>
        </w:rPr>
      </w:pPr>
    </w:p>
    <w:p w:rsidR="00990216" w:rsidRPr="00375FD4" w:rsidRDefault="00990216" w:rsidP="00990216">
      <w:pPr>
        <w:spacing w:before="0" w:after="0"/>
        <w:rPr>
          <w:rFonts w:ascii="Arial" w:hAnsi="Arial" w:cs="Arial"/>
          <w:b/>
        </w:rPr>
      </w:pPr>
      <w:r w:rsidRPr="00375FD4">
        <w:rPr>
          <w:rFonts w:ascii="Arial" w:hAnsi="Arial" w:cs="Arial"/>
          <w:b/>
        </w:rPr>
        <w:t>Asset and Liability Matching Strategy (ALM)</w:t>
      </w:r>
    </w:p>
    <w:p w:rsidR="00990216" w:rsidRPr="00375FD4" w:rsidRDefault="00990216" w:rsidP="00990216">
      <w:pPr>
        <w:spacing w:before="0" w:after="0"/>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The main fund of Strathclyde Pension Fund does not have an asset and liability matching strategy (ALM) as this is used mainly by mature funds.  The Fund does match, to the extent possible, the types of assets invested to the liabilities in the defined benefit obligation.  As is required by the pensions and investment regulations, the suitability of various types of investment has been considered, as has the need to diversify investments to reduce the risk of being invested into narrow a range.  The Fund invests in equities, bonds, properties and in cash.</w:t>
      </w:r>
    </w:p>
    <w:p w:rsidR="00990216" w:rsidRPr="00375FD4" w:rsidRDefault="00990216" w:rsidP="001F1E67">
      <w:pPr>
        <w:spacing w:before="0" w:after="0"/>
        <w:rPr>
          <w:rFonts w:ascii="Arial" w:hAnsi="Arial" w:cs="Arial"/>
        </w:rPr>
      </w:pPr>
    </w:p>
    <w:p w:rsidR="00826139" w:rsidRPr="00375FD4" w:rsidRDefault="00826139" w:rsidP="001F1E67">
      <w:pPr>
        <w:spacing w:before="0" w:after="0"/>
        <w:rPr>
          <w:rFonts w:ascii="Arial" w:hAnsi="Arial" w:cs="Arial"/>
        </w:rPr>
      </w:pPr>
      <w:r w:rsidRPr="00375FD4">
        <w:rPr>
          <w:rFonts w:ascii="Arial" w:hAnsi="Arial" w:cs="Arial"/>
        </w:rPr>
        <w:t>The Fund has now taken account of the national change to the Local Government Pension Scheme in Scotland such as the new career average revalued earning scheme (CARE) for future accruals.</w:t>
      </w:r>
    </w:p>
    <w:p w:rsidR="00990216" w:rsidRPr="00375FD4" w:rsidRDefault="00990216" w:rsidP="001F1E67">
      <w:pPr>
        <w:spacing w:before="0" w:after="0"/>
        <w:rPr>
          <w:rFonts w:ascii="Arial" w:hAnsi="Arial" w:cs="Arial"/>
        </w:rPr>
      </w:pPr>
    </w:p>
    <w:p w:rsidR="00A7048A" w:rsidRPr="00A7048A" w:rsidRDefault="00A7048A" w:rsidP="001F1E67">
      <w:pPr>
        <w:spacing w:before="0" w:after="0"/>
        <w:rPr>
          <w:rFonts w:ascii="Arial" w:eastAsiaTheme="minorHAnsi" w:hAnsi="Arial" w:cs="Arial"/>
        </w:rPr>
      </w:pPr>
      <w:r w:rsidRPr="007B07FE">
        <w:rPr>
          <w:rFonts w:ascii="Arial" w:eastAsiaTheme="minorHAnsi" w:hAnsi="Arial" w:cs="Arial"/>
        </w:rPr>
        <w:t xml:space="preserve">The actuarial valuation states that assets held on the valuation date were sufficient </w:t>
      </w:r>
      <w:r w:rsidRPr="001822C4">
        <w:rPr>
          <w:rFonts w:ascii="Arial" w:eastAsiaTheme="minorHAnsi" w:hAnsi="Arial" w:cs="Arial"/>
        </w:rPr>
        <w:t xml:space="preserve">to cover </w:t>
      </w:r>
      <w:r w:rsidR="001822C4" w:rsidRPr="001822C4">
        <w:rPr>
          <w:rFonts w:ascii="Arial" w:eastAsiaTheme="minorHAnsi" w:hAnsi="Arial" w:cs="Arial"/>
        </w:rPr>
        <w:t>85</w:t>
      </w:r>
      <w:r w:rsidR="006506D2">
        <w:rPr>
          <w:rFonts w:ascii="Arial" w:eastAsiaTheme="minorHAnsi" w:hAnsi="Arial" w:cs="Arial"/>
        </w:rPr>
        <w:t>.6</w:t>
      </w:r>
      <w:r w:rsidR="002607BF" w:rsidRPr="001822C4">
        <w:rPr>
          <w:rFonts w:ascii="Arial" w:eastAsiaTheme="minorHAnsi" w:hAnsi="Arial" w:cs="Arial"/>
        </w:rPr>
        <w:t>%</w:t>
      </w:r>
      <w:r w:rsidR="00112650">
        <w:rPr>
          <w:rFonts w:ascii="Arial" w:eastAsiaTheme="minorHAnsi" w:hAnsi="Arial" w:cs="Arial"/>
        </w:rPr>
        <w:t xml:space="preserve"> (2018/19 80.1</w:t>
      </w:r>
      <w:r w:rsidRPr="00A7048A">
        <w:rPr>
          <w:rFonts w:ascii="Arial" w:eastAsiaTheme="minorHAnsi" w:hAnsi="Arial" w:cs="Arial"/>
        </w:rPr>
        <w:t>%) of accrued liabilities at that date.</w:t>
      </w:r>
    </w:p>
    <w:p w:rsidR="00990216" w:rsidRPr="00375FD4" w:rsidRDefault="00990216" w:rsidP="00990216">
      <w:pPr>
        <w:pStyle w:val="BodyText"/>
        <w:tabs>
          <w:tab w:val="left" w:pos="142"/>
        </w:tabs>
        <w:spacing w:before="0" w:after="0"/>
        <w:rPr>
          <w:rFonts w:ascii="Arial" w:hAnsi="Arial" w:cs="Arial"/>
        </w:rPr>
      </w:pPr>
      <w:r w:rsidRPr="00375FD4">
        <w:rPr>
          <w:rFonts w:ascii="Arial" w:hAnsi="Arial" w:cs="Arial"/>
        </w:rPr>
        <w:t>.</w:t>
      </w:r>
    </w:p>
    <w:p w:rsidR="00990216" w:rsidRPr="00375FD4" w:rsidRDefault="00990216" w:rsidP="00990216">
      <w:pPr>
        <w:pStyle w:val="BodyText"/>
        <w:spacing w:before="0" w:after="0"/>
        <w:rPr>
          <w:rFonts w:ascii="Arial" w:hAnsi="Arial" w:cs="Arial"/>
        </w:rPr>
      </w:pPr>
    </w:p>
    <w:p w:rsidR="00747F9B" w:rsidRPr="00375FD4" w:rsidRDefault="00747F9B">
      <w:pPr>
        <w:spacing w:before="0" w:after="200" w:line="276" w:lineRule="auto"/>
        <w:rPr>
          <w:rFonts w:ascii="Arial" w:hAnsi="Arial" w:cs="Arial"/>
          <w:b/>
        </w:rPr>
      </w:pPr>
      <w:r w:rsidRPr="00375FD4">
        <w:rPr>
          <w:rFonts w:ascii="Arial" w:hAnsi="Arial" w:cs="Arial"/>
          <w:b/>
        </w:rPr>
        <w:br w:type="page"/>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jc w:val="both"/>
        <w:rPr>
          <w:rFonts w:ascii="Arial" w:hAnsi="Arial" w:cs="Arial"/>
          <w:b/>
        </w:rPr>
      </w:pPr>
    </w:p>
    <w:p w:rsidR="00990216" w:rsidRPr="00375FD4" w:rsidRDefault="00466A40"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w:t>
      </w:r>
      <w:r w:rsidR="00BF3B11">
        <w:rPr>
          <w:rFonts w:ascii="Arial" w:hAnsi="Arial" w:cs="Arial"/>
          <w:b/>
        </w:rPr>
        <w:t xml:space="preserve">efined Benefit Pension Schemes </w:t>
      </w:r>
      <w:r w:rsidR="00990216" w:rsidRPr="00375FD4">
        <w:rPr>
          <w:rFonts w:ascii="Arial" w:hAnsi="Arial" w:cs="Arial"/>
          <w:b/>
        </w:rPr>
        <w:t>(Cont’d)</w:t>
      </w:r>
    </w:p>
    <w:p w:rsidR="00990216" w:rsidRPr="00375FD4" w:rsidRDefault="00990216" w:rsidP="00990216">
      <w:pPr>
        <w:pStyle w:val="BodyText"/>
        <w:spacing w:before="0" w:after="0"/>
        <w:rPr>
          <w:rFonts w:ascii="Arial" w:hAnsi="Arial" w:cs="Arial"/>
        </w:rPr>
      </w:pPr>
    </w:p>
    <w:p w:rsidR="00154BE1" w:rsidRPr="00154BE1" w:rsidRDefault="004B13A5" w:rsidP="00154BE1">
      <w:pPr>
        <w:spacing w:before="0" w:after="0"/>
        <w:ind w:left="709" w:hanging="709"/>
        <w:rPr>
          <w:rFonts w:ascii="Arial" w:hAnsi="Arial" w:cs="Arial"/>
          <w:b/>
        </w:rPr>
      </w:pPr>
      <w:r>
        <w:rPr>
          <w:rFonts w:ascii="Arial" w:hAnsi="Arial" w:cs="Arial"/>
          <w:b/>
        </w:rPr>
        <w:t>2</w:t>
      </w:r>
      <w:r w:rsidR="00154BE1">
        <w:rPr>
          <w:rFonts w:ascii="Arial" w:hAnsi="Arial" w:cs="Arial"/>
          <w:b/>
        </w:rPr>
        <w:t>)</w:t>
      </w:r>
      <w:r w:rsidR="00154BE1">
        <w:rPr>
          <w:rFonts w:ascii="Arial" w:hAnsi="Arial" w:cs="Arial"/>
          <w:b/>
        </w:rPr>
        <w:tab/>
      </w:r>
      <w:r w:rsidR="00154BE1" w:rsidRPr="00154BE1">
        <w:rPr>
          <w:rFonts w:ascii="Arial" w:hAnsi="Arial" w:cs="Arial"/>
          <w:b/>
        </w:rPr>
        <w:t>Pension Assets and Liabilities (Cont’d)</w:t>
      </w:r>
    </w:p>
    <w:p w:rsidR="00990216" w:rsidRPr="00375FD4" w:rsidRDefault="00990216" w:rsidP="00990216">
      <w:pPr>
        <w:pStyle w:val="BodyText"/>
        <w:spacing w:before="0" w:after="0"/>
        <w:rPr>
          <w:rFonts w:ascii="Arial" w:hAnsi="Arial" w:cs="Arial"/>
        </w:rPr>
      </w:pPr>
    </w:p>
    <w:p w:rsidR="00990216" w:rsidRPr="00375FD4" w:rsidRDefault="00990216" w:rsidP="00D56A04">
      <w:pPr>
        <w:spacing w:before="0" w:after="0"/>
        <w:rPr>
          <w:rFonts w:ascii="Arial" w:hAnsi="Arial" w:cs="Arial"/>
          <w:b/>
        </w:rPr>
      </w:pPr>
      <w:r w:rsidRPr="00375FD4">
        <w:rPr>
          <w:rFonts w:ascii="Arial" w:hAnsi="Arial" w:cs="Arial"/>
          <w:b/>
        </w:rPr>
        <w:t>Asset and Liability Matching Strategy (ALM) (Cont’d)</w:t>
      </w:r>
    </w:p>
    <w:p w:rsidR="00990216" w:rsidRPr="00375FD4" w:rsidRDefault="00990216" w:rsidP="00990216">
      <w:pPr>
        <w:pStyle w:val="BodyText"/>
        <w:spacing w:before="0" w:after="0"/>
        <w:rPr>
          <w:rFonts w:ascii="Arial" w:hAnsi="Arial" w:cs="Arial"/>
        </w:rPr>
      </w:pPr>
    </w:p>
    <w:p w:rsidR="00990216" w:rsidRPr="00375FD4" w:rsidRDefault="00990216" w:rsidP="00990216">
      <w:pPr>
        <w:pStyle w:val="BodyText"/>
        <w:spacing w:before="0" w:after="0"/>
        <w:rPr>
          <w:rFonts w:ascii="Arial" w:hAnsi="Arial" w:cs="Arial"/>
        </w:rPr>
      </w:pPr>
      <w:r w:rsidRPr="00A268DB">
        <w:rPr>
          <w:rFonts w:ascii="Arial" w:hAnsi="Arial" w:cs="Arial"/>
        </w:rPr>
        <w:t>The principal actuarial assumptions used at the Balance Sheet date are as follows:</w:t>
      </w:r>
    </w:p>
    <w:p w:rsidR="00990216" w:rsidRPr="00375FD4" w:rsidRDefault="00990216" w:rsidP="00990216">
      <w:pPr>
        <w:pStyle w:val="BodyText"/>
        <w:spacing w:before="0" w:after="0"/>
        <w:ind w:left="720"/>
        <w:rPr>
          <w:rFonts w:ascii="Arial" w:hAnsi="Arial" w:cs="Arial"/>
        </w:rPr>
      </w:pPr>
    </w:p>
    <w:p w:rsidR="00990216" w:rsidRPr="00375FD4" w:rsidRDefault="001822C4" w:rsidP="00990216">
      <w:pPr>
        <w:pStyle w:val="BodyText"/>
        <w:spacing w:before="0" w:after="0"/>
        <w:rPr>
          <w:rFonts w:ascii="Arial" w:hAnsi="Arial" w:cs="Arial"/>
        </w:rPr>
      </w:pPr>
      <w:r w:rsidRPr="001822C4">
        <w:rPr>
          <w:noProof/>
          <w:lang w:eastAsia="en-GB"/>
        </w:rPr>
        <w:drawing>
          <wp:inline distT="0" distB="0" distL="0" distR="0">
            <wp:extent cx="5762625" cy="2438400"/>
            <wp:effectExtent l="0" t="0" r="9525" b="0"/>
            <wp:docPr id="21" name="Picture 21" descr="The principal actuarial assumptions used at the Balance Sheet date "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62625" cy="2438400"/>
                    </a:xfrm>
                    <a:prstGeom prst="rect">
                      <a:avLst/>
                    </a:prstGeom>
                    <a:noFill/>
                    <a:ln>
                      <a:noFill/>
                    </a:ln>
                  </pic:spPr>
                </pic:pic>
              </a:graphicData>
            </a:graphic>
          </wp:inline>
        </w:drawing>
      </w:r>
    </w:p>
    <w:p w:rsidR="00F92AAF" w:rsidRPr="00375FD4" w:rsidRDefault="00F92AAF" w:rsidP="00990216">
      <w:pPr>
        <w:pStyle w:val="BodyText"/>
        <w:spacing w:before="0" w:after="0"/>
        <w:rPr>
          <w:rFonts w:ascii="Arial" w:hAnsi="Arial" w:cs="Arial"/>
        </w:rPr>
      </w:pPr>
    </w:p>
    <w:p w:rsidR="00990216" w:rsidRPr="00375FD4" w:rsidRDefault="00B30A09" w:rsidP="001F1E67">
      <w:pPr>
        <w:pStyle w:val="BodyText"/>
        <w:spacing w:before="0" w:after="0"/>
        <w:jc w:val="left"/>
        <w:rPr>
          <w:rFonts w:ascii="Arial" w:hAnsi="Arial" w:cs="Arial"/>
        </w:rPr>
      </w:pPr>
      <w:r>
        <w:rPr>
          <w:rFonts w:ascii="Arial" w:hAnsi="Arial" w:cs="Arial"/>
        </w:rPr>
        <w:t>The above excludes any net p</w:t>
      </w:r>
      <w:r w:rsidR="00391A23">
        <w:rPr>
          <w:rFonts w:ascii="Arial" w:hAnsi="Arial" w:cs="Arial"/>
        </w:rPr>
        <w:t>ension l</w:t>
      </w:r>
      <w:r w:rsidR="00E76272">
        <w:rPr>
          <w:rFonts w:ascii="Arial" w:hAnsi="Arial" w:cs="Arial"/>
        </w:rPr>
        <w:t>iability that the c</w:t>
      </w:r>
      <w:r w:rsidR="00990216" w:rsidRPr="00375FD4">
        <w:rPr>
          <w:rFonts w:ascii="Arial" w:hAnsi="Arial" w:cs="Arial"/>
        </w:rPr>
        <w:t>ouncil may have to contribute to in respect of the Joint Boa</w:t>
      </w:r>
      <w:r>
        <w:rPr>
          <w:rFonts w:ascii="Arial" w:hAnsi="Arial" w:cs="Arial"/>
        </w:rPr>
        <w:t>rds of Partnership for</w:t>
      </w:r>
      <w:r w:rsidR="00990216" w:rsidRPr="00375FD4">
        <w:rPr>
          <w:rFonts w:ascii="Arial" w:hAnsi="Arial" w:cs="Arial"/>
        </w:rPr>
        <w:t xml:space="preserve"> Transport and Valuation.   These costs are shown within each Joint Board’s Balance</w:t>
      </w:r>
      <w:r w:rsidR="00E76272">
        <w:rPr>
          <w:rFonts w:ascii="Arial" w:hAnsi="Arial" w:cs="Arial"/>
        </w:rPr>
        <w:t xml:space="preserve"> Sheet and the c</w:t>
      </w:r>
      <w:r w:rsidR="00990216" w:rsidRPr="00375FD4">
        <w:rPr>
          <w:rFonts w:ascii="Arial" w:hAnsi="Arial" w:cs="Arial"/>
        </w:rPr>
        <w:t>ouncil may be required to make an increased constituent contribution in the years when the liability fails to be met.</w:t>
      </w:r>
    </w:p>
    <w:p w:rsidR="00990216" w:rsidRPr="00375FD4" w:rsidRDefault="00990216" w:rsidP="001F1E67">
      <w:pPr>
        <w:pStyle w:val="BodyText"/>
        <w:spacing w:before="0" w:after="0"/>
        <w:jc w:val="left"/>
        <w:rPr>
          <w:rFonts w:ascii="Arial" w:hAnsi="Arial" w:cs="Arial"/>
          <w:b/>
        </w:rPr>
      </w:pPr>
    </w:p>
    <w:p w:rsidR="00990216" w:rsidRPr="00375FD4" w:rsidRDefault="00990216" w:rsidP="001F1E67">
      <w:pPr>
        <w:spacing w:before="0" w:after="0"/>
        <w:rPr>
          <w:rFonts w:ascii="Arial" w:hAnsi="Arial" w:cs="Arial"/>
        </w:rPr>
      </w:pPr>
      <w:r w:rsidRPr="00375FD4">
        <w:rPr>
          <w:rFonts w:ascii="Arial" w:hAnsi="Arial" w:cs="Arial"/>
        </w:rPr>
        <w:t xml:space="preserve">The principal risks to the </w:t>
      </w:r>
      <w:r w:rsidR="00E76272">
        <w:rPr>
          <w:rFonts w:ascii="Arial" w:hAnsi="Arial" w:cs="Arial"/>
        </w:rPr>
        <w:t>c</w:t>
      </w:r>
      <w:r w:rsidR="00312456">
        <w:rPr>
          <w:rFonts w:ascii="Arial" w:hAnsi="Arial" w:cs="Arial"/>
        </w:rPr>
        <w:t>ouncil</w:t>
      </w:r>
      <w:r w:rsidRPr="00375FD4">
        <w:rPr>
          <w:rFonts w:ascii="Arial" w:hAnsi="Arial" w:cs="Arial"/>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and Housing Revenue Account the amounts required by statute as described in the accounting policies note.</w:t>
      </w:r>
    </w:p>
    <w:p w:rsidR="00990216" w:rsidRPr="00375FD4" w:rsidRDefault="00990216" w:rsidP="00990216">
      <w:pPr>
        <w:spacing w:before="0" w:after="0"/>
        <w:rPr>
          <w:rFonts w:ascii="Arial" w:hAnsi="Arial" w:cs="Arial"/>
          <w:b/>
        </w:rPr>
      </w:pPr>
    </w:p>
    <w:p w:rsidR="00FB7345" w:rsidRPr="00375FD4" w:rsidRDefault="00FB7345" w:rsidP="00FB7345">
      <w:pPr>
        <w:spacing w:before="0" w:after="0"/>
        <w:rPr>
          <w:rFonts w:ascii="Arial" w:hAnsi="Arial" w:cs="Arial"/>
          <w:b/>
        </w:rPr>
      </w:pPr>
      <w:r w:rsidRPr="00375FD4">
        <w:rPr>
          <w:rFonts w:ascii="Arial" w:hAnsi="Arial" w:cs="Arial"/>
          <w:b/>
        </w:rPr>
        <w:t>Sensitivity Analysis</w:t>
      </w:r>
    </w:p>
    <w:p w:rsidR="00FB7345" w:rsidRPr="00375FD4" w:rsidRDefault="00FB7345" w:rsidP="00FB7345">
      <w:pPr>
        <w:spacing w:before="0" w:after="0"/>
        <w:rPr>
          <w:rFonts w:ascii="Arial" w:hAnsi="Arial" w:cs="Arial"/>
          <w:b/>
        </w:rPr>
      </w:pPr>
    </w:p>
    <w:p w:rsidR="00FB7345" w:rsidRDefault="00FB7345" w:rsidP="001F1E67">
      <w:pPr>
        <w:spacing w:before="0" w:after="0"/>
        <w:rPr>
          <w:rFonts w:ascii="Arial" w:hAnsi="Arial" w:cs="Arial"/>
        </w:rPr>
      </w:pPr>
      <w:r w:rsidRPr="00375FD4">
        <w:rPr>
          <w:rFonts w:ascii="Arial" w:hAnsi="Arial" w:cs="Arial"/>
        </w:rPr>
        <w:t>In order to quantify the impact of a change in the financial assumptions used, the actuaries have calculated and compared the value of the scheme</w:t>
      </w:r>
      <w:r w:rsidR="00112650">
        <w:rPr>
          <w:rFonts w:ascii="Arial" w:hAnsi="Arial" w:cs="Arial"/>
        </w:rPr>
        <w:t xml:space="preserve"> liabilities as at 31 March 2020</w:t>
      </w:r>
      <w:r w:rsidRPr="00375FD4">
        <w:rPr>
          <w:rFonts w:ascii="Arial" w:hAnsi="Arial" w:cs="Arial"/>
        </w:rPr>
        <w:t xml:space="preserve"> on varying bases.  The approach taken is consistent with that adopted to derive at the IAS19 figures provided.  To quantify the uncertainty around life expectancy, the actuaries have calculated the difference in cost to the employer of a one year increase in life </w:t>
      </w:r>
      <w:r w:rsidRPr="00436EDE">
        <w:rPr>
          <w:rFonts w:ascii="Arial" w:hAnsi="Arial" w:cs="Arial"/>
        </w:rPr>
        <w:t>expectancy.  For sensitivity purposes, this is assumed to be an increase in the cost of benefits of around 3% to 5%.  In practice the actual cost of a one year increase in life expectancy will depend on the structure of</w:t>
      </w:r>
      <w:r w:rsidRPr="00A7048A">
        <w:rPr>
          <w:rFonts w:ascii="Arial" w:hAnsi="Arial" w:cs="Arial"/>
        </w:rPr>
        <w:t xml:space="preserve"> the revised assumption (i.e. if</w:t>
      </w:r>
      <w:r w:rsidRPr="00375FD4">
        <w:rPr>
          <w:rFonts w:ascii="Arial" w:hAnsi="Arial" w:cs="Arial"/>
        </w:rPr>
        <w:t xml:space="preserve"> improvements to survival rates predominately a</w:t>
      </w:r>
      <w:r>
        <w:rPr>
          <w:rFonts w:ascii="Arial" w:hAnsi="Arial" w:cs="Arial"/>
        </w:rPr>
        <w:t>pply at younger or older ages).</w:t>
      </w:r>
    </w:p>
    <w:p w:rsidR="00FB7345" w:rsidRPr="00FB7345" w:rsidRDefault="00FB7345" w:rsidP="001F1E67">
      <w:pPr>
        <w:spacing w:before="0" w:after="0"/>
        <w:rPr>
          <w:rFonts w:ascii="Arial" w:hAnsi="Arial" w:cs="Arial"/>
        </w:rPr>
      </w:pPr>
    </w:p>
    <w:p w:rsidR="00FB7345" w:rsidRPr="00375FD4" w:rsidRDefault="00FB7345" w:rsidP="001F1E67">
      <w:pPr>
        <w:spacing w:before="0" w:after="0"/>
        <w:rPr>
          <w:rFonts w:ascii="Arial" w:hAnsi="Arial" w:cs="Arial"/>
        </w:rPr>
      </w:pPr>
      <w:r w:rsidRPr="00375FD4">
        <w:rPr>
          <w:rFonts w:ascii="Arial" w:hAnsi="Arial" w:cs="Arial"/>
        </w:rPr>
        <w:t>The figures have been derived based on the membership profile of the Employer as at the date of the most recent actuarial valuation.</w:t>
      </w:r>
    </w:p>
    <w:p w:rsidR="00FB7345" w:rsidRPr="00375FD4" w:rsidRDefault="00FB7345" w:rsidP="00285D36">
      <w:pPr>
        <w:spacing w:before="0" w:after="0"/>
        <w:rPr>
          <w:rFonts w:ascii="Arial" w:hAnsi="Arial" w:cs="Arial"/>
          <w:b/>
        </w:rPr>
      </w:pPr>
    </w:p>
    <w:p w:rsidR="00FB7345" w:rsidRPr="00375FD4" w:rsidRDefault="00FB7345" w:rsidP="00285D36">
      <w:pPr>
        <w:spacing w:before="0" w:after="0"/>
        <w:rPr>
          <w:rFonts w:ascii="Arial" w:hAnsi="Arial" w:cs="Arial"/>
        </w:rPr>
      </w:pPr>
      <w:r w:rsidRPr="00375FD4">
        <w:rPr>
          <w:rFonts w:ascii="Arial" w:hAnsi="Arial" w:cs="Arial"/>
        </w:rPr>
        <w:t xml:space="preserve">The estimation of defined benefit obligation is sensitive to the actuarial assumptions .The sensitivity </w:t>
      </w:r>
    </w:p>
    <w:p w:rsidR="00FB7345" w:rsidRPr="00375FD4" w:rsidRDefault="00FB7345" w:rsidP="00285D36">
      <w:pPr>
        <w:spacing w:before="0" w:after="0"/>
        <w:rPr>
          <w:rFonts w:ascii="Arial" w:hAnsi="Arial" w:cs="Arial"/>
        </w:rPr>
      </w:pPr>
      <w:r w:rsidRPr="00375FD4">
        <w:rPr>
          <w:rFonts w:ascii="Arial" w:hAnsi="Arial" w:cs="Arial"/>
        </w:rPr>
        <w:t>regarding the principal assumptions used to measure the schemes liabilities are set out below:</w:t>
      </w:r>
    </w:p>
    <w:p w:rsidR="00747F9B" w:rsidRPr="00375FD4" w:rsidRDefault="00747F9B">
      <w:pPr>
        <w:spacing w:before="0" w:after="200" w:line="276" w:lineRule="auto"/>
        <w:rPr>
          <w:rFonts w:ascii="Arial" w:hAnsi="Arial" w:cs="Arial"/>
          <w:b/>
        </w:rPr>
      </w:pPr>
      <w:r w:rsidRPr="00375FD4">
        <w:rPr>
          <w:rFonts w:ascii="Arial" w:hAnsi="Arial" w:cs="Arial"/>
          <w:b/>
        </w:rPr>
        <w:br w:type="page"/>
      </w: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autoSpaceDE w:val="0"/>
        <w:autoSpaceDN w:val="0"/>
        <w:adjustRightInd w:val="0"/>
        <w:spacing w:before="0" w:after="0"/>
        <w:ind w:left="1080" w:hanging="1080"/>
        <w:rPr>
          <w:rFonts w:ascii="Arial" w:hAnsi="Arial" w:cs="Arial"/>
        </w:rPr>
      </w:pPr>
    </w:p>
    <w:p w:rsidR="00990216" w:rsidRPr="00375FD4" w:rsidRDefault="00466A40" w:rsidP="00990216">
      <w:pPr>
        <w:spacing w:before="0" w:after="0"/>
        <w:rPr>
          <w:rFonts w:ascii="Arial" w:hAnsi="Arial" w:cs="Arial"/>
          <w:b/>
        </w:rPr>
      </w:pPr>
      <w:r>
        <w:rPr>
          <w:rFonts w:ascii="Arial" w:hAnsi="Arial" w:cs="Arial"/>
          <w:b/>
        </w:rPr>
        <w:t>Note 11</w:t>
      </w:r>
      <w:r w:rsidR="00990216" w:rsidRPr="00375FD4">
        <w:rPr>
          <w:rFonts w:ascii="Arial" w:hAnsi="Arial" w:cs="Arial"/>
          <w:b/>
        </w:rPr>
        <w:t xml:space="preserve"> – Defined Benefit Pension Schemes (Cont’d) </w:t>
      </w:r>
    </w:p>
    <w:p w:rsidR="00990216" w:rsidRPr="00375FD4" w:rsidRDefault="00990216" w:rsidP="00990216">
      <w:pPr>
        <w:spacing w:before="0" w:after="0"/>
        <w:ind w:left="993" w:hanging="284"/>
        <w:rPr>
          <w:rFonts w:ascii="Arial" w:hAnsi="Arial" w:cs="Arial"/>
          <w:b/>
        </w:rPr>
      </w:pPr>
    </w:p>
    <w:p w:rsidR="00990216" w:rsidRPr="00375FD4" w:rsidRDefault="004B13A5" w:rsidP="00154BE1">
      <w:pPr>
        <w:spacing w:before="0" w:after="0"/>
        <w:ind w:left="709" w:hanging="709"/>
        <w:rPr>
          <w:rFonts w:ascii="Arial" w:hAnsi="Arial" w:cs="Arial"/>
          <w:b/>
        </w:rPr>
      </w:pPr>
      <w:r>
        <w:rPr>
          <w:rFonts w:ascii="Arial" w:hAnsi="Arial" w:cs="Arial"/>
          <w:b/>
        </w:rPr>
        <w:t>2</w:t>
      </w:r>
      <w:r w:rsidR="00154BE1">
        <w:rPr>
          <w:rFonts w:ascii="Arial" w:hAnsi="Arial" w:cs="Arial"/>
          <w:b/>
        </w:rPr>
        <w:t>)</w:t>
      </w:r>
      <w:r w:rsidR="00154BE1">
        <w:rPr>
          <w:rFonts w:ascii="Arial" w:hAnsi="Arial" w:cs="Arial"/>
          <w:b/>
        </w:rPr>
        <w:tab/>
      </w:r>
      <w:r w:rsidR="00990216" w:rsidRPr="00375FD4">
        <w:rPr>
          <w:rFonts w:ascii="Arial" w:hAnsi="Arial" w:cs="Arial"/>
          <w:b/>
        </w:rPr>
        <w:t>Pension Assets and Liabilities (Cont’d)</w:t>
      </w:r>
    </w:p>
    <w:p w:rsidR="00990216" w:rsidRPr="00375FD4" w:rsidRDefault="00990216" w:rsidP="00990216">
      <w:pPr>
        <w:spacing w:before="0" w:after="0"/>
        <w:rPr>
          <w:rFonts w:ascii="Arial" w:hAnsi="Arial" w:cs="Arial"/>
          <w:b/>
        </w:rPr>
      </w:pPr>
    </w:p>
    <w:p w:rsidR="00990216" w:rsidRPr="00375FD4" w:rsidRDefault="001822C4" w:rsidP="00990216">
      <w:pPr>
        <w:spacing w:before="0" w:after="0"/>
        <w:rPr>
          <w:rFonts w:ascii="Arial" w:hAnsi="Arial" w:cs="Arial"/>
        </w:rPr>
      </w:pPr>
      <w:r w:rsidRPr="001822C4">
        <w:rPr>
          <w:noProof/>
          <w:lang w:eastAsia="en-GB"/>
        </w:rPr>
        <w:drawing>
          <wp:inline distT="0" distB="0" distL="0" distR="0">
            <wp:extent cx="5610225" cy="981075"/>
            <wp:effectExtent l="0" t="0" r="9525" b="9525"/>
            <wp:docPr id="22" name="Picture 22" descr="The sensitivity regarding the principal assumptions used to measure the schemes liabilities&#10;" title="note 11 p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610225" cy="981075"/>
                    </a:xfrm>
                    <a:prstGeom prst="rect">
                      <a:avLst/>
                    </a:prstGeom>
                    <a:noFill/>
                    <a:ln>
                      <a:noFill/>
                    </a:ln>
                  </pic:spPr>
                </pic:pic>
              </a:graphicData>
            </a:graphic>
          </wp:inline>
        </w:drawing>
      </w:r>
    </w:p>
    <w:p w:rsidR="00F92AAF" w:rsidRPr="00375FD4" w:rsidRDefault="00F92AAF" w:rsidP="00990216">
      <w:pPr>
        <w:spacing w:before="0" w:after="0"/>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The total contribution expected to be made to the Local Go</w:t>
      </w:r>
      <w:r w:rsidR="00826139" w:rsidRPr="00375FD4">
        <w:rPr>
          <w:rFonts w:ascii="Arial" w:hAnsi="Arial" w:cs="Arial"/>
        </w:rPr>
        <w:t>vern</w:t>
      </w:r>
      <w:r w:rsidR="006D35D9">
        <w:rPr>
          <w:rFonts w:ascii="Arial" w:hAnsi="Arial" w:cs="Arial"/>
        </w:rPr>
        <w:t>ment</w:t>
      </w:r>
      <w:r w:rsidR="00112650">
        <w:rPr>
          <w:rFonts w:ascii="Arial" w:hAnsi="Arial" w:cs="Arial"/>
        </w:rPr>
        <w:t xml:space="preserve"> pension scheme for 2020/21</w:t>
      </w:r>
      <w:r w:rsidR="00604A67">
        <w:rPr>
          <w:rFonts w:ascii="Arial" w:hAnsi="Arial" w:cs="Arial"/>
        </w:rPr>
        <w:t xml:space="preserve"> is </w:t>
      </w:r>
      <w:r w:rsidR="00604A67" w:rsidRPr="001822C4">
        <w:rPr>
          <w:rFonts w:ascii="Arial" w:hAnsi="Arial" w:cs="Arial"/>
        </w:rPr>
        <w:t>£</w:t>
      </w:r>
      <w:r w:rsidR="001822C4" w:rsidRPr="001822C4">
        <w:rPr>
          <w:rFonts w:ascii="Arial" w:hAnsi="Arial" w:cs="Arial"/>
        </w:rPr>
        <w:t>18.631</w:t>
      </w:r>
      <w:r w:rsidR="004743F3" w:rsidRPr="001822C4">
        <w:rPr>
          <w:rFonts w:ascii="Arial" w:hAnsi="Arial" w:cs="Arial"/>
        </w:rPr>
        <w:t>m</w:t>
      </w:r>
      <w:r w:rsidR="00604A67" w:rsidRPr="001822C4">
        <w:rPr>
          <w:rFonts w:ascii="Arial" w:hAnsi="Arial" w:cs="Arial"/>
        </w:rPr>
        <w:t>.</w:t>
      </w:r>
    </w:p>
    <w:p w:rsidR="00990216" w:rsidRPr="00375FD4" w:rsidRDefault="00990216" w:rsidP="00990216">
      <w:pPr>
        <w:spacing w:before="0" w:after="0"/>
        <w:rPr>
          <w:rFonts w:ascii="Arial" w:hAnsi="Arial" w:cs="Arial"/>
          <w:b/>
        </w:rPr>
      </w:pPr>
    </w:p>
    <w:p w:rsidR="00990216" w:rsidRPr="00112650" w:rsidRDefault="00466A40" w:rsidP="00747F9B">
      <w:pPr>
        <w:pStyle w:val="Heading1"/>
        <w:spacing w:before="0"/>
        <w:rPr>
          <w:rFonts w:ascii="Arial" w:hAnsi="Arial" w:cs="Arial"/>
          <w:color w:val="auto"/>
          <w:sz w:val="20"/>
          <w:szCs w:val="20"/>
        </w:rPr>
      </w:pPr>
      <w:r>
        <w:rPr>
          <w:rFonts w:ascii="Arial" w:hAnsi="Arial" w:cs="Arial"/>
          <w:color w:val="auto"/>
          <w:sz w:val="20"/>
          <w:szCs w:val="20"/>
        </w:rPr>
        <w:t>Note 12</w:t>
      </w:r>
      <w:r w:rsidR="00990216" w:rsidRPr="00112650">
        <w:rPr>
          <w:rFonts w:ascii="Arial" w:hAnsi="Arial" w:cs="Arial"/>
          <w:color w:val="auto"/>
          <w:sz w:val="20"/>
          <w:szCs w:val="20"/>
        </w:rPr>
        <w:t xml:space="preserve"> – External Audit Costs </w:t>
      </w:r>
    </w:p>
    <w:p w:rsidR="00990216" w:rsidRPr="00112650" w:rsidRDefault="00990216" w:rsidP="00990216">
      <w:pPr>
        <w:spacing w:before="0" w:after="0"/>
        <w:rPr>
          <w:rFonts w:ascii="Arial" w:hAnsi="Arial" w:cs="Arial"/>
          <w:b/>
        </w:rPr>
      </w:pPr>
    </w:p>
    <w:p w:rsidR="00990216" w:rsidRPr="00375FD4" w:rsidRDefault="00A9672C" w:rsidP="001F1E67">
      <w:pPr>
        <w:spacing w:before="0" w:after="0"/>
        <w:jc w:val="both"/>
        <w:rPr>
          <w:rFonts w:ascii="Arial" w:hAnsi="Arial" w:cs="Arial"/>
        </w:rPr>
      </w:pPr>
      <w:r w:rsidRPr="00112650">
        <w:rPr>
          <w:rFonts w:ascii="Arial" w:hAnsi="Arial" w:cs="Arial"/>
        </w:rPr>
        <w:t>In 2019/20</w:t>
      </w:r>
      <w:r w:rsidR="00E76272" w:rsidRPr="00112650">
        <w:rPr>
          <w:rFonts w:ascii="Arial" w:hAnsi="Arial" w:cs="Arial"/>
        </w:rPr>
        <w:t xml:space="preserve"> the c</w:t>
      </w:r>
      <w:r w:rsidR="00990216" w:rsidRPr="00112650">
        <w:rPr>
          <w:rFonts w:ascii="Arial" w:hAnsi="Arial" w:cs="Arial"/>
        </w:rPr>
        <w:t>ouncil incurred</w:t>
      </w:r>
      <w:r w:rsidR="00850F31" w:rsidRPr="00112650">
        <w:rPr>
          <w:rFonts w:ascii="Arial" w:hAnsi="Arial" w:cs="Arial"/>
        </w:rPr>
        <w:t xml:space="preserve"> £</w:t>
      </w:r>
      <w:r w:rsidR="00AC3A91">
        <w:rPr>
          <w:rFonts w:ascii="Arial" w:hAnsi="Arial" w:cs="Arial"/>
        </w:rPr>
        <w:t>0.270</w:t>
      </w:r>
      <w:r w:rsidR="00850F31" w:rsidRPr="00112650">
        <w:rPr>
          <w:rFonts w:ascii="Arial" w:hAnsi="Arial" w:cs="Arial"/>
        </w:rPr>
        <w:t>m</w:t>
      </w:r>
      <w:r w:rsidRPr="00112650">
        <w:rPr>
          <w:rFonts w:ascii="Arial" w:hAnsi="Arial" w:cs="Arial"/>
        </w:rPr>
        <w:t xml:space="preserve"> (2018/19 £0.263</w:t>
      </w:r>
      <w:r w:rsidR="00850F31" w:rsidRPr="00112650">
        <w:rPr>
          <w:rFonts w:ascii="Arial" w:hAnsi="Arial" w:cs="Arial"/>
        </w:rPr>
        <w:t xml:space="preserve">m) in respect </w:t>
      </w:r>
      <w:r w:rsidR="00C94104" w:rsidRPr="00112650">
        <w:rPr>
          <w:rFonts w:ascii="Arial" w:hAnsi="Arial" w:cs="Arial"/>
        </w:rPr>
        <w:t xml:space="preserve">of its </w:t>
      </w:r>
      <w:r w:rsidR="00990216" w:rsidRPr="00112650">
        <w:rPr>
          <w:rFonts w:ascii="Arial" w:hAnsi="Arial" w:cs="Arial"/>
        </w:rPr>
        <w:t xml:space="preserve">external audit services </w:t>
      </w:r>
      <w:r w:rsidR="00954FDD" w:rsidRPr="00112650">
        <w:rPr>
          <w:rFonts w:ascii="Arial" w:hAnsi="Arial" w:cs="Arial"/>
        </w:rPr>
        <w:t xml:space="preserve">on behalf </w:t>
      </w:r>
      <w:r w:rsidRPr="00112650">
        <w:rPr>
          <w:rFonts w:ascii="Arial" w:hAnsi="Arial" w:cs="Arial"/>
        </w:rPr>
        <w:t>of the Council and £0.002m (2018/19</w:t>
      </w:r>
      <w:r w:rsidR="00954FDD" w:rsidRPr="00112650">
        <w:rPr>
          <w:rFonts w:ascii="Arial" w:hAnsi="Arial" w:cs="Arial"/>
        </w:rPr>
        <w:t xml:space="preserve"> £0.002m) on behalf of the Trust Funds, </w:t>
      </w:r>
      <w:r w:rsidR="00990216" w:rsidRPr="00112650">
        <w:rPr>
          <w:rFonts w:ascii="Arial" w:hAnsi="Arial" w:cs="Arial"/>
        </w:rPr>
        <w:t>undertaken in accordance with the Code of Audit Pr</w:t>
      </w:r>
      <w:r w:rsidR="00A268DB" w:rsidRPr="00112650">
        <w:rPr>
          <w:rFonts w:ascii="Arial" w:hAnsi="Arial" w:cs="Arial"/>
        </w:rPr>
        <w:t>actice.</w:t>
      </w:r>
    </w:p>
    <w:p w:rsidR="00990216" w:rsidRPr="00375FD4" w:rsidRDefault="00990216" w:rsidP="00990216">
      <w:pPr>
        <w:spacing w:before="0" w:after="0"/>
        <w:rPr>
          <w:rFonts w:ascii="Arial" w:hAnsi="Arial" w:cs="Arial"/>
        </w:rPr>
      </w:pPr>
    </w:p>
    <w:p w:rsidR="003156C5" w:rsidRPr="000A3446" w:rsidRDefault="00466A40" w:rsidP="003156C5">
      <w:pPr>
        <w:pStyle w:val="Heading1"/>
        <w:spacing w:before="0"/>
        <w:rPr>
          <w:rFonts w:ascii="Arial" w:hAnsi="Arial" w:cs="Arial"/>
          <w:color w:val="auto"/>
          <w:sz w:val="20"/>
          <w:szCs w:val="20"/>
        </w:rPr>
      </w:pPr>
      <w:r>
        <w:rPr>
          <w:rFonts w:ascii="Arial" w:hAnsi="Arial" w:cs="Arial"/>
          <w:color w:val="auto"/>
          <w:sz w:val="20"/>
          <w:szCs w:val="20"/>
        </w:rPr>
        <w:t>Note 13</w:t>
      </w:r>
      <w:r w:rsidR="003156C5" w:rsidRPr="000A3446">
        <w:rPr>
          <w:rFonts w:ascii="Arial" w:hAnsi="Arial" w:cs="Arial"/>
          <w:color w:val="auto"/>
          <w:sz w:val="20"/>
          <w:szCs w:val="20"/>
        </w:rPr>
        <w:t xml:space="preserve"> – </w:t>
      </w:r>
      <w:r w:rsidR="003156C5">
        <w:rPr>
          <w:rFonts w:ascii="Arial" w:hAnsi="Arial" w:cs="Arial"/>
          <w:color w:val="auto"/>
          <w:sz w:val="20"/>
          <w:szCs w:val="20"/>
        </w:rPr>
        <w:t>Expenditure and Funding Analysis</w:t>
      </w:r>
      <w:r w:rsidR="003156C5" w:rsidRPr="000A3446">
        <w:rPr>
          <w:rFonts w:ascii="Arial" w:hAnsi="Arial" w:cs="Arial"/>
          <w:color w:val="auto"/>
          <w:sz w:val="20"/>
          <w:szCs w:val="20"/>
        </w:rPr>
        <w:t xml:space="preserve"> </w:t>
      </w:r>
    </w:p>
    <w:p w:rsidR="003156C5" w:rsidRPr="00375FD4" w:rsidRDefault="003156C5" w:rsidP="003156C5">
      <w:pPr>
        <w:spacing w:before="0" w:after="0"/>
        <w:ind w:left="720"/>
        <w:jc w:val="both"/>
        <w:rPr>
          <w:rFonts w:ascii="Arial" w:hAnsi="Arial" w:cs="Arial"/>
        </w:rPr>
      </w:pPr>
    </w:p>
    <w:p w:rsidR="003156C5" w:rsidRPr="00375FD4" w:rsidRDefault="003156C5" w:rsidP="00B30A09">
      <w:pPr>
        <w:spacing w:before="0" w:after="0"/>
        <w:jc w:val="both"/>
        <w:rPr>
          <w:rFonts w:ascii="Arial" w:hAnsi="Arial" w:cs="Arial"/>
        </w:rPr>
      </w:pPr>
      <w:r w:rsidRPr="00375FD4">
        <w:rPr>
          <w:rFonts w:ascii="Arial" w:hAnsi="Arial" w:cs="Arial"/>
        </w:rPr>
        <w:t>The analysis of in</w:t>
      </w:r>
      <w:r>
        <w:rPr>
          <w:rFonts w:ascii="Arial" w:hAnsi="Arial" w:cs="Arial"/>
        </w:rPr>
        <w:t xml:space="preserve">come and expenditure </w:t>
      </w:r>
      <w:r w:rsidRPr="00375FD4">
        <w:rPr>
          <w:rFonts w:ascii="Arial" w:hAnsi="Arial" w:cs="Arial"/>
        </w:rPr>
        <w:t>on the face of the comprehensive income and expenditure statement is that specified by the Service Reporting Code of Practice.  However decisions about resour</w:t>
      </w:r>
      <w:r w:rsidR="00E76272">
        <w:rPr>
          <w:rFonts w:ascii="Arial" w:hAnsi="Arial" w:cs="Arial"/>
        </w:rPr>
        <w:t>ce allocation are taken by the c</w:t>
      </w:r>
      <w:r w:rsidRPr="00375FD4">
        <w:rPr>
          <w:rFonts w:ascii="Arial" w:hAnsi="Arial" w:cs="Arial"/>
        </w:rPr>
        <w:t>ouncil on the basis of reports</w:t>
      </w:r>
      <w:r>
        <w:rPr>
          <w:rFonts w:ascii="Arial" w:hAnsi="Arial" w:cs="Arial"/>
        </w:rPr>
        <w:t xml:space="preserve"> that</w:t>
      </w:r>
      <w:r w:rsidRPr="00375FD4">
        <w:rPr>
          <w:rFonts w:ascii="Arial" w:hAnsi="Arial" w:cs="Arial"/>
        </w:rPr>
        <w:t xml:space="preserve"> are prepared on a different basis from the accounting polices used in the financial statements.  In particular:</w:t>
      </w:r>
    </w:p>
    <w:p w:rsidR="003156C5" w:rsidRPr="00375FD4" w:rsidRDefault="003156C5" w:rsidP="003156C5">
      <w:pPr>
        <w:spacing w:before="0" w:after="0"/>
        <w:jc w:val="both"/>
        <w:rPr>
          <w:rFonts w:ascii="Arial" w:hAnsi="Arial" w:cs="Arial"/>
        </w:rPr>
      </w:pPr>
    </w:p>
    <w:p w:rsidR="003156C5" w:rsidRDefault="003156C5" w:rsidP="00EA6E47">
      <w:pPr>
        <w:numPr>
          <w:ilvl w:val="0"/>
          <w:numId w:val="28"/>
        </w:numPr>
        <w:tabs>
          <w:tab w:val="clear" w:pos="2072"/>
          <w:tab w:val="num" w:pos="851"/>
        </w:tabs>
        <w:spacing w:before="0" w:after="0"/>
        <w:ind w:left="426"/>
        <w:jc w:val="both"/>
        <w:rPr>
          <w:rFonts w:ascii="Arial" w:hAnsi="Arial" w:cs="Arial"/>
        </w:rPr>
      </w:pPr>
      <w:r w:rsidRPr="00375FD4">
        <w:rPr>
          <w:rFonts w:ascii="Arial" w:hAnsi="Arial" w:cs="Arial"/>
        </w:rPr>
        <w:t>no charges are made in relation to capital expenditure (whereas depreciation, revaluation and impairment losses in excess of the balance on the revaluation reserve and amortisations are charged to services in the comprehensive income and expenditure statement);</w:t>
      </w:r>
      <w:r>
        <w:rPr>
          <w:rFonts w:ascii="Arial" w:hAnsi="Arial" w:cs="Arial"/>
        </w:rPr>
        <w:t xml:space="preserve"> and</w:t>
      </w:r>
    </w:p>
    <w:p w:rsidR="003156C5" w:rsidRPr="00375FD4" w:rsidRDefault="003156C5" w:rsidP="00B30A09">
      <w:pPr>
        <w:tabs>
          <w:tab w:val="num" w:pos="851"/>
        </w:tabs>
        <w:spacing w:before="0" w:after="0"/>
        <w:ind w:left="426"/>
        <w:jc w:val="both"/>
        <w:rPr>
          <w:rFonts w:ascii="Arial" w:hAnsi="Arial" w:cs="Arial"/>
        </w:rPr>
      </w:pPr>
    </w:p>
    <w:p w:rsidR="003156C5" w:rsidRDefault="003156C5" w:rsidP="00EA6E47">
      <w:pPr>
        <w:numPr>
          <w:ilvl w:val="0"/>
          <w:numId w:val="28"/>
        </w:numPr>
        <w:tabs>
          <w:tab w:val="clear" w:pos="2072"/>
          <w:tab w:val="num" w:pos="851"/>
        </w:tabs>
        <w:spacing w:before="0" w:after="0"/>
        <w:ind w:left="426"/>
        <w:jc w:val="both"/>
        <w:rPr>
          <w:rFonts w:ascii="Arial" w:hAnsi="Arial" w:cs="Arial"/>
        </w:rPr>
      </w:pPr>
      <w:r w:rsidRPr="00375FD4">
        <w:rPr>
          <w:rFonts w:ascii="Arial" w:hAnsi="Arial" w:cs="Arial"/>
        </w:rPr>
        <w:t>the cost of retirement benefits is based on cash flows (payments of employer’s pensions contributions) rather than current service cost of b</w:t>
      </w:r>
      <w:r>
        <w:rPr>
          <w:rFonts w:ascii="Arial" w:hAnsi="Arial" w:cs="Arial"/>
        </w:rPr>
        <w:t>enefits accrued in the year.</w:t>
      </w:r>
    </w:p>
    <w:p w:rsidR="003156C5" w:rsidRDefault="003156C5" w:rsidP="003156C5">
      <w:pPr>
        <w:spacing w:before="0" w:after="0"/>
        <w:jc w:val="both"/>
        <w:rPr>
          <w:rFonts w:ascii="Arial" w:hAnsi="Arial" w:cs="Arial"/>
        </w:rPr>
      </w:pPr>
    </w:p>
    <w:p w:rsidR="00E73D3C" w:rsidRDefault="00E73D3C" w:rsidP="003156C5">
      <w:pPr>
        <w:spacing w:before="0" w:after="0"/>
        <w:jc w:val="both"/>
        <w:rPr>
          <w:rFonts w:ascii="Arial" w:hAnsi="Arial" w:cs="Arial"/>
        </w:rPr>
      </w:pPr>
      <w:r>
        <w:rPr>
          <w:rFonts w:ascii="Arial" w:hAnsi="Arial" w:cs="Arial"/>
        </w:rPr>
        <w:t xml:space="preserve">The service expenditure noted as ‘net rechargeable to the General Fund and the HRA’ can also be compared to </w:t>
      </w:r>
      <w:r w:rsidR="00E76272">
        <w:rPr>
          <w:rFonts w:ascii="Arial" w:hAnsi="Arial" w:cs="Arial"/>
        </w:rPr>
        <w:t>the service spend noted in the c</w:t>
      </w:r>
      <w:r>
        <w:rPr>
          <w:rFonts w:ascii="Arial" w:hAnsi="Arial" w:cs="Arial"/>
        </w:rPr>
        <w:t>ouncil’s revenue budget monitoring table in the Management Commentary, except where there are items in the Comprehensive Income and Expenditure Statement that are reported below the net cost of service line.</w:t>
      </w:r>
    </w:p>
    <w:p w:rsidR="00E73D3C" w:rsidRDefault="00E73D3C" w:rsidP="003156C5">
      <w:pPr>
        <w:spacing w:before="0" w:after="0"/>
        <w:jc w:val="both"/>
        <w:rPr>
          <w:rFonts w:ascii="Arial" w:hAnsi="Arial" w:cs="Arial"/>
        </w:rPr>
      </w:pPr>
    </w:p>
    <w:p w:rsidR="003156C5" w:rsidRDefault="00E76272" w:rsidP="00B30A09">
      <w:pPr>
        <w:spacing w:before="0" w:after="0"/>
        <w:jc w:val="both"/>
        <w:rPr>
          <w:rFonts w:ascii="Arial" w:hAnsi="Arial" w:cs="Arial"/>
        </w:rPr>
      </w:pPr>
      <w:r>
        <w:rPr>
          <w:rFonts w:ascii="Arial" w:hAnsi="Arial" w:cs="Arial"/>
        </w:rPr>
        <w:t>The c</w:t>
      </w:r>
      <w:r w:rsidR="003156C5">
        <w:rPr>
          <w:rFonts w:ascii="Arial" w:hAnsi="Arial" w:cs="Arial"/>
        </w:rPr>
        <w:t xml:space="preserve">ouncil’s income and expenditure as noted on the </w:t>
      </w:r>
      <w:r w:rsidR="003156C5" w:rsidRPr="00375FD4">
        <w:rPr>
          <w:rFonts w:ascii="Arial" w:hAnsi="Arial" w:cs="Arial"/>
        </w:rPr>
        <w:t>comprehensive income and expenditure statement</w:t>
      </w:r>
      <w:r w:rsidR="003156C5">
        <w:rPr>
          <w:rFonts w:ascii="Arial" w:hAnsi="Arial" w:cs="Arial"/>
        </w:rPr>
        <w:t xml:space="preserve"> analysis can also be given by nature of spend and is analysed as follows:</w:t>
      </w:r>
    </w:p>
    <w:p w:rsidR="00747F9B" w:rsidRDefault="00747F9B">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3156C5" w:rsidRDefault="003156C5">
      <w:pPr>
        <w:spacing w:before="0" w:after="200" w:line="276" w:lineRule="auto"/>
        <w:rPr>
          <w:rFonts w:ascii="Arial" w:hAnsi="Arial" w:cs="Arial"/>
          <w:b/>
        </w:rPr>
      </w:pPr>
    </w:p>
    <w:p w:rsidR="00990216" w:rsidRPr="00375FD4" w:rsidRDefault="00990216" w:rsidP="00990216">
      <w:pPr>
        <w:spacing w:before="0" w:after="0"/>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rPr>
      </w:pPr>
    </w:p>
    <w:p w:rsidR="00990216" w:rsidRPr="00375FD4" w:rsidRDefault="00990216" w:rsidP="00990216">
      <w:pPr>
        <w:spacing w:before="0" w:after="0" w:line="360" w:lineRule="auto"/>
        <w:rPr>
          <w:rFonts w:ascii="Arial" w:hAnsi="Arial" w:cs="Arial"/>
          <w:b/>
        </w:rPr>
      </w:pPr>
      <w:r w:rsidRPr="00375FD4">
        <w:rPr>
          <w:rFonts w:ascii="Arial" w:hAnsi="Arial" w:cs="Arial"/>
          <w:b/>
        </w:rPr>
        <w:t>Note 1</w:t>
      </w:r>
      <w:r w:rsidR="00466A40">
        <w:rPr>
          <w:rFonts w:ascii="Arial" w:hAnsi="Arial" w:cs="Arial"/>
          <w:b/>
        </w:rPr>
        <w:t>3</w:t>
      </w:r>
      <w:r w:rsidRPr="00375FD4">
        <w:rPr>
          <w:rFonts w:ascii="Arial" w:hAnsi="Arial" w:cs="Arial"/>
          <w:b/>
        </w:rPr>
        <w:t xml:space="preserve"> – </w:t>
      </w:r>
      <w:r w:rsidR="00F85D53" w:rsidRPr="00F85D53">
        <w:rPr>
          <w:rFonts w:ascii="Arial" w:hAnsi="Arial" w:cs="Arial"/>
          <w:b/>
        </w:rPr>
        <w:t>Expenditure and Funding Analysis</w:t>
      </w:r>
      <w:r w:rsidR="00F85D53" w:rsidRPr="000A3446">
        <w:rPr>
          <w:rFonts w:ascii="Arial" w:hAnsi="Arial" w:cs="Arial"/>
        </w:rPr>
        <w:t xml:space="preserve"> </w:t>
      </w:r>
      <w:r w:rsidRPr="00375FD4">
        <w:rPr>
          <w:rFonts w:ascii="Arial" w:hAnsi="Arial" w:cs="Arial"/>
          <w:b/>
        </w:rPr>
        <w:t>(Cont’d)</w:t>
      </w:r>
    </w:p>
    <w:p w:rsidR="00C22253" w:rsidRDefault="00C22253" w:rsidP="00C22253">
      <w:pPr>
        <w:spacing w:before="0" w:after="0"/>
        <w:ind w:left="709"/>
        <w:jc w:val="both"/>
        <w:rPr>
          <w:rFonts w:ascii="Arial" w:hAnsi="Arial" w:cs="Arial"/>
        </w:rPr>
      </w:pPr>
    </w:p>
    <w:p w:rsidR="00684A6B" w:rsidRDefault="004A4644" w:rsidP="00990216">
      <w:pPr>
        <w:spacing w:before="0" w:after="0"/>
        <w:ind w:left="720"/>
        <w:jc w:val="both"/>
        <w:rPr>
          <w:rFonts w:ascii="Arial" w:hAnsi="Arial" w:cs="Arial"/>
        </w:rPr>
      </w:pPr>
      <w:r w:rsidRPr="004A4644">
        <w:rPr>
          <w:noProof/>
          <w:lang w:eastAsia="en-GB"/>
        </w:rPr>
        <w:drawing>
          <wp:inline distT="0" distB="0" distL="0" distR="0">
            <wp:extent cx="4699000" cy="3232150"/>
            <wp:effectExtent l="0" t="0" r="6350" b="6350"/>
            <wp:docPr id="226" name="Picture 226" descr="analysis of types of income and expenditure in 2019/20" title="expenditure and funding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699000" cy="3232150"/>
                    </a:xfrm>
                    <a:prstGeom prst="rect">
                      <a:avLst/>
                    </a:prstGeom>
                    <a:noFill/>
                    <a:ln>
                      <a:noFill/>
                    </a:ln>
                  </pic:spPr>
                </pic:pic>
              </a:graphicData>
            </a:graphic>
          </wp:inline>
        </w:drawing>
      </w:r>
      <w:r w:rsidR="006F2406">
        <w:rPr>
          <w:rFonts w:ascii="Arial" w:hAnsi="Arial" w:cs="Arial"/>
        </w:rPr>
        <w:tab/>
      </w:r>
    </w:p>
    <w:p w:rsidR="00684A6B" w:rsidRDefault="00684A6B" w:rsidP="00684A6B">
      <w:pPr>
        <w:spacing w:before="0" w:after="0"/>
        <w:ind w:left="142"/>
        <w:jc w:val="both"/>
        <w:rPr>
          <w:rFonts w:ascii="Arial" w:hAnsi="Arial" w:cs="Arial"/>
        </w:rPr>
      </w:pPr>
    </w:p>
    <w:p w:rsidR="005E4A58" w:rsidRDefault="00D90C21" w:rsidP="00684A6B">
      <w:pPr>
        <w:spacing w:before="0" w:after="0"/>
        <w:ind w:left="142"/>
        <w:jc w:val="both"/>
        <w:rPr>
          <w:rFonts w:ascii="Arial" w:hAnsi="Arial" w:cs="Arial"/>
        </w:rPr>
      </w:pPr>
      <w:r>
        <w:rPr>
          <w:rFonts w:ascii="Arial" w:hAnsi="Arial" w:cs="Arial"/>
        </w:rPr>
        <w:t>A further breakdown of fees, c</w:t>
      </w:r>
      <w:r w:rsidR="005E4A58">
        <w:rPr>
          <w:rFonts w:ascii="Arial" w:hAnsi="Arial" w:cs="Arial"/>
        </w:rPr>
        <w:t>harges and other service income by segmental analysis is noted below:</w:t>
      </w:r>
    </w:p>
    <w:p w:rsidR="005E4A58" w:rsidRDefault="005E4A58" w:rsidP="00684A6B">
      <w:pPr>
        <w:spacing w:before="0" w:after="0"/>
        <w:ind w:left="142"/>
        <w:jc w:val="both"/>
        <w:rPr>
          <w:rFonts w:ascii="Arial" w:hAnsi="Arial" w:cs="Arial"/>
        </w:rPr>
      </w:pPr>
    </w:p>
    <w:p w:rsidR="005E4A58" w:rsidRDefault="006F2406" w:rsidP="005E4A58">
      <w:pPr>
        <w:spacing w:before="0" w:after="0"/>
        <w:ind w:left="709"/>
        <w:jc w:val="both"/>
        <w:rPr>
          <w:rFonts w:ascii="Arial" w:hAnsi="Arial" w:cs="Arial"/>
        </w:rPr>
      </w:pPr>
      <w:r>
        <w:rPr>
          <w:rFonts w:ascii="Arial" w:hAnsi="Arial" w:cs="Arial"/>
        </w:rPr>
        <w:tab/>
      </w:r>
      <w:r w:rsidR="00A577B8" w:rsidRPr="00A577B8">
        <w:rPr>
          <w:noProof/>
          <w:lang w:eastAsia="en-GB"/>
        </w:rPr>
        <w:drawing>
          <wp:inline distT="0" distB="0" distL="0" distR="0">
            <wp:extent cx="5001260" cy="1849755"/>
            <wp:effectExtent l="0" t="0" r="8890" b="0"/>
            <wp:docPr id="224" name="Picture 224" descr="A further breakdown of fees, charges and other service income by segmental analysis " title="note 13 expenditure &amp; funding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001260" cy="1849755"/>
                    </a:xfrm>
                    <a:prstGeom prst="rect">
                      <a:avLst/>
                    </a:prstGeom>
                    <a:noFill/>
                    <a:ln>
                      <a:noFill/>
                    </a:ln>
                  </pic:spPr>
                </pic:pic>
              </a:graphicData>
            </a:graphic>
          </wp:inline>
        </w:drawing>
      </w:r>
    </w:p>
    <w:p w:rsidR="005E4A58" w:rsidRDefault="005E4A58" w:rsidP="00684A6B">
      <w:pPr>
        <w:spacing w:before="0" w:after="0"/>
        <w:ind w:left="142"/>
        <w:jc w:val="both"/>
        <w:rPr>
          <w:rFonts w:ascii="Arial" w:hAnsi="Arial" w:cs="Arial"/>
        </w:rPr>
      </w:pPr>
    </w:p>
    <w:p w:rsidR="005E4A58" w:rsidRPr="00375FD4" w:rsidRDefault="005E4A58" w:rsidP="00684A6B">
      <w:pPr>
        <w:spacing w:before="0" w:after="0"/>
        <w:ind w:left="142"/>
        <w:jc w:val="both"/>
        <w:rPr>
          <w:rFonts w:ascii="Arial" w:hAnsi="Arial" w:cs="Arial"/>
        </w:rPr>
      </w:pPr>
    </w:p>
    <w:p w:rsidR="00990216" w:rsidRPr="00375FD4" w:rsidRDefault="00990216" w:rsidP="00990216">
      <w:pPr>
        <w:spacing w:before="0" w:after="0"/>
        <w:jc w:val="both"/>
        <w:rPr>
          <w:rFonts w:ascii="Arial" w:hAnsi="Arial" w:cs="Arial"/>
          <w:b/>
        </w:rPr>
        <w:sectPr w:rsidR="00990216" w:rsidRPr="00375FD4" w:rsidSect="00B6622D">
          <w:pgSz w:w="11906" w:h="16838" w:code="9"/>
          <w:pgMar w:top="1440" w:right="1274" w:bottom="1440" w:left="1440" w:header="720" w:footer="720" w:gutter="0"/>
          <w:cols w:space="720"/>
          <w:titlePg/>
          <w:docGrid w:linePitch="272"/>
        </w:sectPr>
      </w:pPr>
    </w:p>
    <w:p w:rsidR="00990216" w:rsidRPr="00375FD4" w:rsidRDefault="00990216" w:rsidP="00990216">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jc w:val="both"/>
        <w:rPr>
          <w:rFonts w:ascii="Arial" w:hAnsi="Arial" w:cs="Arial"/>
        </w:rPr>
      </w:pPr>
    </w:p>
    <w:p w:rsidR="00990216" w:rsidRDefault="00466A40" w:rsidP="00990216">
      <w:pPr>
        <w:spacing w:before="0" w:after="0"/>
        <w:ind w:right="1088"/>
        <w:rPr>
          <w:rFonts w:ascii="Arial" w:hAnsi="Arial" w:cs="Arial"/>
          <w:b/>
        </w:rPr>
      </w:pPr>
      <w:r>
        <w:rPr>
          <w:rFonts w:ascii="Arial" w:hAnsi="Arial" w:cs="Arial"/>
          <w:b/>
        </w:rPr>
        <w:t>Note 13</w:t>
      </w:r>
      <w:r w:rsidR="00990216" w:rsidRPr="00375FD4">
        <w:rPr>
          <w:rFonts w:ascii="Arial" w:hAnsi="Arial" w:cs="Arial"/>
          <w:b/>
        </w:rPr>
        <w:t xml:space="preserve"> – </w:t>
      </w:r>
      <w:r w:rsidR="00684A6B" w:rsidRPr="00F85D53">
        <w:rPr>
          <w:rFonts w:ascii="Arial" w:hAnsi="Arial" w:cs="Arial"/>
          <w:b/>
        </w:rPr>
        <w:t>Expenditure and Funding Analysis</w:t>
      </w:r>
      <w:r w:rsidR="00684A6B" w:rsidRPr="000A3446">
        <w:rPr>
          <w:rFonts w:ascii="Arial" w:hAnsi="Arial" w:cs="Arial"/>
        </w:rPr>
        <w:t xml:space="preserve"> </w:t>
      </w:r>
      <w:r w:rsidR="00990216" w:rsidRPr="00375FD4">
        <w:rPr>
          <w:rFonts w:ascii="Arial" w:hAnsi="Arial" w:cs="Arial"/>
          <w:b/>
        </w:rPr>
        <w:t>(Cont’d)</w:t>
      </w:r>
    </w:p>
    <w:p w:rsidR="00F367D4" w:rsidRPr="00375FD4" w:rsidRDefault="00F367D4" w:rsidP="00990216">
      <w:pPr>
        <w:spacing w:before="0" w:after="0"/>
        <w:ind w:right="1088"/>
        <w:rPr>
          <w:rFonts w:ascii="Arial" w:hAnsi="Arial" w:cs="Arial"/>
          <w:b/>
        </w:rPr>
      </w:pPr>
    </w:p>
    <w:p w:rsidR="00990216" w:rsidRPr="00375FD4" w:rsidRDefault="00C22253" w:rsidP="00990216">
      <w:pPr>
        <w:spacing w:before="0" w:after="0"/>
        <w:jc w:val="both"/>
        <w:rPr>
          <w:rFonts w:ascii="Arial" w:hAnsi="Arial" w:cs="Arial"/>
          <w:b/>
          <w:u w:val="single"/>
        </w:rPr>
      </w:pPr>
      <w:r w:rsidRPr="00684A6B">
        <w:rPr>
          <w:rFonts w:ascii="Arial" w:hAnsi="Arial" w:cs="Arial"/>
        </w:rPr>
        <w:t>The income and</w:t>
      </w:r>
      <w:r w:rsidR="00E76272">
        <w:rPr>
          <w:rFonts w:ascii="Arial" w:hAnsi="Arial" w:cs="Arial"/>
        </w:rPr>
        <w:t xml:space="preserve"> expenditure of the c</w:t>
      </w:r>
      <w:r w:rsidRPr="00684A6B">
        <w:rPr>
          <w:rFonts w:ascii="Arial" w:hAnsi="Arial" w:cs="Arial"/>
        </w:rPr>
        <w:t>ouncil’s principal committee reporting structure recorded in the budget reports for the year is as follows:</w:t>
      </w:r>
    </w:p>
    <w:p w:rsidR="00D4427C" w:rsidRPr="00375FD4" w:rsidRDefault="00D4427C" w:rsidP="00990216">
      <w:pPr>
        <w:spacing w:before="0" w:after="0"/>
        <w:jc w:val="both"/>
        <w:rPr>
          <w:rFonts w:ascii="Arial" w:hAnsi="Arial" w:cs="Arial"/>
        </w:rPr>
      </w:pPr>
    </w:p>
    <w:p w:rsidR="00F23CFF" w:rsidRDefault="00F23CFF" w:rsidP="0052596D">
      <w:pPr>
        <w:spacing w:before="0" w:after="0"/>
        <w:ind w:left="-284"/>
        <w:jc w:val="both"/>
        <w:rPr>
          <w:rFonts w:ascii="Arial" w:hAnsi="Arial" w:cs="Arial"/>
          <w:b/>
          <w:sz w:val="24"/>
          <w:szCs w:val="24"/>
        </w:rPr>
      </w:pPr>
    </w:p>
    <w:p w:rsidR="007D708A" w:rsidRDefault="00C20BD9" w:rsidP="00990216">
      <w:pPr>
        <w:spacing w:before="0" w:after="0"/>
        <w:jc w:val="both"/>
        <w:rPr>
          <w:rFonts w:ascii="Arial" w:hAnsi="Arial" w:cs="Arial"/>
          <w:b/>
          <w:sz w:val="24"/>
          <w:szCs w:val="24"/>
        </w:rPr>
      </w:pPr>
      <w:r w:rsidRPr="00C20BD9">
        <w:rPr>
          <w:noProof/>
          <w:lang w:eastAsia="en-GB"/>
        </w:rPr>
        <w:drawing>
          <wp:inline distT="0" distB="0" distL="0" distR="0">
            <wp:extent cx="9183099" cy="3162300"/>
            <wp:effectExtent l="0" t="0" r="0" b="0"/>
            <wp:docPr id="243" name="Picture 243" descr="a breakdown of spending by serive, reconciling between the income and expenditure statement and actual costs chargeable to services" title="expenditure and funding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185231" cy="3163034"/>
                    </a:xfrm>
                    <a:prstGeom prst="rect">
                      <a:avLst/>
                    </a:prstGeom>
                    <a:noFill/>
                    <a:ln>
                      <a:noFill/>
                    </a:ln>
                  </pic:spPr>
                </pic:pic>
              </a:graphicData>
            </a:graphic>
          </wp:inline>
        </w:drawing>
      </w:r>
    </w:p>
    <w:p w:rsidR="007D708A" w:rsidRDefault="007D708A" w:rsidP="00990216">
      <w:pPr>
        <w:spacing w:before="0" w:after="0"/>
        <w:jc w:val="both"/>
        <w:rPr>
          <w:rFonts w:ascii="Arial" w:hAnsi="Arial" w:cs="Arial"/>
          <w:b/>
          <w:sz w:val="24"/>
          <w:szCs w:val="24"/>
        </w:rPr>
      </w:pPr>
    </w:p>
    <w:p w:rsidR="007D708A" w:rsidRDefault="007D708A" w:rsidP="0052596D">
      <w:pPr>
        <w:spacing w:before="0" w:after="0"/>
        <w:ind w:left="-284"/>
        <w:jc w:val="both"/>
        <w:rPr>
          <w:rFonts w:ascii="Arial" w:hAnsi="Arial" w:cs="Arial"/>
          <w:b/>
          <w:sz w:val="24"/>
          <w:szCs w:val="24"/>
        </w:rPr>
      </w:pPr>
    </w:p>
    <w:p w:rsidR="007D708A" w:rsidRDefault="007D708A" w:rsidP="00990216">
      <w:pPr>
        <w:spacing w:before="0" w:after="0"/>
        <w:jc w:val="both"/>
        <w:rPr>
          <w:rFonts w:ascii="Arial" w:hAnsi="Arial" w:cs="Arial"/>
          <w:b/>
          <w:sz w:val="24"/>
          <w:szCs w:val="24"/>
        </w:rPr>
      </w:pPr>
    </w:p>
    <w:p w:rsidR="007D708A" w:rsidRDefault="007D708A" w:rsidP="00990216">
      <w:pPr>
        <w:spacing w:before="0" w:after="0"/>
        <w:jc w:val="both"/>
        <w:rPr>
          <w:rFonts w:ascii="Arial" w:hAnsi="Arial" w:cs="Arial"/>
          <w:b/>
          <w:sz w:val="24"/>
          <w:szCs w:val="24"/>
        </w:rPr>
      </w:pPr>
    </w:p>
    <w:p w:rsidR="007D708A" w:rsidRDefault="007D708A" w:rsidP="00990216">
      <w:pPr>
        <w:spacing w:before="0" w:after="0"/>
        <w:jc w:val="both"/>
        <w:rPr>
          <w:rFonts w:ascii="Arial" w:hAnsi="Arial" w:cs="Arial"/>
          <w:b/>
          <w:sz w:val="24"/>
          <w:szCs w:val="24"/>
        </w:rPr>
      </w:pPr>
    </w:p>
    <w:p w:rsidR="00A577B8" w:rsidRDefault="00A577B8" w:rsidP="00990216">
      <w:pPr>
        <w:spacing w:before="0" w:after="0"/>
        <w:jc w:val="both"/>
        <w:rPr>
          <w:rFonts w:ascii="Arial" w:hAnsi="Arial" w:cs="Arial"/>
          <w:b/>
          <w:sz w:val="24"/>
          <w:szCs w:val="24"/>
        </w:rPr>
      </w:pPr>
    </w:p>
    <w:p w:rsidR="007D708A" w:rsidRDefault="007D708A" w:rsidP="00990216">
      <w:pPr>
        <w:spacing w:before="0" w:after="0"/>
        <w:jc w:val="both"/>
        <w:rPr>
          <w:rFonts w:ascii="Arial" w:hAnsi="Arial" w:cs="Arial"/>
          <w:b/>
          <w:sz w:val="24"/>
          <w:szCs w:val="24"/>
        </w:rPr>
      </w:pPr>
    </w:p>
    <w:p w:rsidR="00A4432D" w:rsidRDefault="00A4432D" w:rsidP="00990216">
      <w:pPr>
        <w:spacing w:before="0" w:after="0"/>
        <w:jc w:val="both"/>
        <w:rPr>
          <w:rFonts w:ascii="Arial" w:hAnsi="Arial" w:cs="Arial"/>
          <w:b/>
          <w:sz w:val="24"/>
          <w:szCs w:val="24"/>
        </w:rPr>
      </w:pPr>
    </w:p>
    <w:p w:rsidR="007D708A" w:rsidRDefault="007D708A" w:rsidP="00990216">
      <w:pPr>
        <w:spacing w:before="0" w:after="0"/>
        <w:jc w:val="both"/>
        <w:rPr>
          <w:rFonts w:ascii="Arial" w:hAnsi="Arial" w:cs="Arial"/>
          <w:b/>
          <w:sz w:val="24"/>
          <w:szCs w:val="24"/>
        </w:rPr>
      </w:pPr>
    </w:p>
    <w:p w:rsidR="00990216" w:rsidRPr="00375FD4" w:rsidRDefault="00990216" w:rsidP="00990216">
      <w:pPr>
        <w:spacing w:before="0" w:after="0"/>
        <w:jc w:val="both"/>
        <w:rPr>
          <w:rFonts w:ascii="Arial" w:hAnsi="Arial" w:cs="Arial"/>
          <w:b/>
          <w:sz w:val="24"/>
          <w:szCs w:val="24"/>
        </w:rPr>
      </w:pPr>
      <w:r w:rsidRPr="00375FD4">
        <w:rPr>
          <w:rFonts w:ascii="Arial" w:hAnsi="Arial" w:cs="Arial"/>
          <w:b/>
          <w:sz w:val="24"/>
          <w:szCs w:val="24"/>
        </w:rPr>
        <w:t>Notes to the Financial Statements (Cont’d)</w:t>
      </w:r>
    </w:p>
    <w:p w:rsidR="00990216" w:rsidRPr="00375FD4" w:rsidRDefault="00990216" w:rsidP="00990216">
      <w:pPr>
        <w:spacing w:before="0" w:after="0"/>
        <w:jc w:val="both"/>
        <w:rPr>
          <w:rFonts w:ascii="Arial" w:hAnsi="Arial" w:cs="Arial"/>
        </w:rPr>
      </w:pPr>
    </w:p>
    <w:p w:rsidR="00A268DB" w:rsidRDefault="00466A40" w:rsidP="00A268DB">
      <w:pPr>
        <w:spacing w:before="0" w:after="0"/>
        <w:ind w:right="1088"/>
        <w:rPr>
          <w:rFonts w:ascii="Arial" w:hAnsi="Arial" w:cs="Arial"/>
          <w:b/>
        </w:rPr>
      </w:pPr>
      <w:r>
        <w:rPr>
          <w:rFonts w:ascii="Arial" w:hAnsi="Arial" w:cs="Arial"/>
          <w:b/>
        </w:rPr>
        <w:t>Note 13</w:t>
      </w:r>
      <w:r w:rsidR="00990216" w:rsidRPr="00375FD4">
        <w:rPr>
          <w:rFonts w:ascii="Arial" w:hAnsi="Arial" w:cs="Arial"/>
          <w:b/>
        </w:rPr>
        <w:t xml:space="preserve"> – </w:t>
      </w:r>
      <w:r w:rsidR="00684A6B" w:rsidRPr="00F85D53">
        <w:rPr>
          <w:rFonts w:ascii="Arial" w:hAnsi="Arial" w:cs="Arial"/>
          <w:b/>
        </w:rPr>
        <w:t>Expenditure and Funding Analysis</w:t>
      </w:r>
      <w:r w:rsidR="00684A6B" w:rsidRPr="000A3446">
        <w:rPr>
          <w:rFonts w:ascii="Arial" w:hAnsi="Arial" w:cs="Arial"/>
        </w:rPr>
        <w:t xml:space="preserve"> </w:t>
      </w:r>
      <w:r w:rsidR="00990216" w:rsidRPr="00375FD4">
        <w:rPr>
          <w:rFonts w:ascii="Arial" w:hAnsi="Arial" w:cs="Arial"/>
          <w:b/>
        </w:rPr>
        <w:t>(Cont’d)</w:t>
      </w:r>
    </w:p>
    <w:p w:rsidR="009F5173" w:rsidRDefault="009F5173" w:rsidP="00A268DB">
      <w:pPr>
        <w:spacing w:before="0" w:after="0"/>
        <w:ind w:right="1088"/>
        <w:rPr>
          <w:noProof/>
          <w:lang w:eastAsia="en-GB"/>
        </w:rPr>
      </w:pPr>
    </w:p>
    <w:p w:rsidR="00F23CFF" w:rsidRDefault="00DD288A" w:rsidP="0054774D">
      <w:pPr>
        <w:tabs>
          <w:tab w:val="left" w:pos="13892"/>
        </w:tabs>
        <w:spacing w:before="0" w:after="0"/>
        <w:ind w:right="66"/>
        <w:rPr>
          <w:rFonts w:ascii="Arial" w:hAnsi="Arial" w:cs="Arial"/>
          <w:b/>
        </w:rPr>
      </w:pPr>
      <w:r w:rsidRPr="00DD288A">
        <w:rPr>
          <w:noProof/>
          <w:lang w:eastAsia="en-GB"/>
        </w:rPr>
        <w:drawing>
          <wp:inline distT="0" distB="0" distL="0" distR="0">
            <wp:extent cx="8863330" cy="2913279"/>
            <wp:effectExtent l="0" t="0" r="0" b="1905"/>
            <wp:docPr id="228" name="Picture 228" descr="breakdown of types of statutory adjustments by service area" title="expenditure and funding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863330" cy="2913279"/>
                    </a:xfrm>
                    <a:prstGeom prst="rect">
                      <a:avLst/>
                    </a:prstGeom>
                    <a:noFill/>
                    <a:ln>
                      <a:noFill/>
                    </a:ln>
                  </pic:spPr>
                </pic:pic>
              </a:graphicData>
            </a:graphic>
          </wp:inline>
        </w:drawing>
      </w:r>
    </w:p>
    <w:p w:rsidR="00091293" w:rsidRDefault="00091293" w:rsidP="0077466F">
      <w:pPr>
        <w:spacing w:before="0" w:after="0"/>
        <w:ind w:right="1088"/>
        <w:rPr>
          <w:rFonts w:ascii="Arial" w:hAnsi="Arial" w:cs="Arial"/>
        </w:rPr>
      </w:pPr>
    </w:p>
    <w:p w:rsidR="00FA1A01" w:rsidRDefault="00FA1A01" w:rsidP="0077466F">
      <w:pPr>
        <w:spacing w:before="0" w:after="0"/>
        <w:ind w:right="1088"/>
        <w:rPr>
          <w:rFonts w:ascii="Arial" w:hAnsi="Arial" w:cs="Arial"/>
        </w:rPr>
      </w:pPr>
    </w:p>
    <w:p w:rsidR="00816E85" w:rsidRDefault="00891FF5" w:rsidP="00C457DD">
      <w:pPr>
        <w:spacing w:before="0" w:after="0"/>
        <w:ind w:right="1088"/>
        <w:rPr>
          <w:rFonts w:ascii="Arial" w:hAnsi="Arial" w:cs="Arial"/>
        </w:rPr>
      </w:pPr>
      <w:r w:rsidRPr="008379EB">
        <w:rPr>
          <w:rFonts w:ascii="Arial" w:hAnsi="Arial" w:cs="Arial"/>
        </w:rPr>
        <w:t>Both the Movement in Reserv</w:t>
      </w:r>
      <w:r w:rsidR="004538A5" w:rsidRPr="008379EB">
        <w:rPr>
          <w:rFonts w:ascii="Arial" w:hAnsi="Arial" w:cs="Arial"/>
        </w:rPr>
        <w:t>es (page 37</w:t>
      </w:r>
      <w:r w:rsidR="00E87834" w:rsidRPr="008379EB">
        <w:rPr>
          <w:rFonts w:ascii="Arial" w:hAnsi="Arial" w:cs="Arial"/>
        </w:rPr>
        <w:t xml:space="preserve">) and note </w:t>
      </w:r>
      <w:r w:rsidR="00466A40">
        <w:rPr>
          <w:rFonts w:ascii="Arial" w:hAnsi="Arial" w:cs="Arial"/>
        </w:rPr>
        <w:t>3</w:t>
      </w:r>
      <w:r w:rsidR="00EB691C">
        <w:rPr>
          <w:rFonts w:ascii="Arial" w:hAnsi="Arial" w:cs="Arial"/>
        </w:rPr>
        <w:t xml:space="preserve"> (page 44</w:t>
      </w:r>
      <w:r w:rsidRPr="008379EB">
        <w:rPr>
          <w:rFonts w:ascii="Arial" w:hAnsi="Arial" w:cs="Arial"/>
        </w:rPr>
        <w:t>) total</w:t>
      </w:r>
      <w:r w:rsidR="00816E85" w:rsidRPr="008379EB">
        <w:rPr>
          <w:rFonts w:ascii="Arial" w:hAnsi="Arial" w:cs="Arial"/>
        </w:rPr>
        <w:t xml:space="preserve"> the adjustments between funding accounting basis and funding basis under regulations relating to the General Fund </w:t>
      </w:r>
      <w:r w:rsidR="008379EB" w:rsidRPr="000A5EDE">
        <w:rPr>
          <w:rFonts w:ascii="Arial" w:hAnsi="Arial" w:cs="Arial"/>
        </w:rPr>
        <w:t xml:space="preserve">balance </w:t>
      </w:r>
      <w:r w:rsidR="00A577B8">
        <w:rPr>
          <w:rFonts w:ascii="Arial" w:hAnsi="Arial" w:cs="Arial"/>
        </w:rPr>
        <w:t>(£22.616</w:t>
      </w:r>
      <w:r w:rsidR="00971CBF" w:rsidRPr="000A5EDE">
        <w:rPr>
          <w:rFonts w:ascii="Arial" w:hAnsi="Arial" w:cs="Arial"/>
        </w:rPr>
        <w:t>m net ded</w:t>
      </w:r>
      <w:r w:rsidR="001973A4">
        <w:rPr>
          <w:rFonts w:ascii="Arial" w:hAnsi="Arial" w:cs="Arial"/>
        </w:rPr>
        <w:t>uctions) and HRA balance (£</w:t>
      </w:r>
      <w:r w:rsidR="00A577B8">
        <w:rPr>
          <w:rFonts w:ascii="Arial" w:hAnsi="Arial" w:cs="Arial"/>
        </w:rPr>
        <w:t>15.516</w:t>
      </w:r>
      <w:r w:rsidR="00971CBF" w:rsidRPr="000A5EDE">
        <w:rPr>
          <w:rFonts w:ascii="Arial" w:hAnsi="Arial" w:cs="Arial"/>
        </w:rPr>
        <w:t>m net additions)</w:t>
      </w:r>
      <w:r w:rsidR="004A56FA" w:rsidRPr="000A5EDE">
        <w:rPr>
          <w:rFonts w:ascii="Arial" w:hAnsi="Arial" w:cs="Arial"/>
        </w:rPr>
        <w:t xml:space="preserve"> and this</w:t>
      </w:r>
      <w:r w:rsidR="00816E85" w:rsidRPr="000A5EDE">
        <w:rPr>
          <w:rFonts w:ascii="Arial" w:hAnsi="Arial" w:cs="Arial"/>
        </w:rPr>
        <w:t xml:space="preserve"> matches the to</w:t>
      </w:r>
      <w:r w:rsidR="00A577B8">
        <w:rPr>
          <w:rFonts w:ascii="Arial" w:hAnsi="Arial" w:cs="Arial"/>
        </w:rPr>
        <w:t>tal adjustments above of £7.100</w:t>
      </w:r>
      <w:r w:rsidR="00816E85" w:rsidRPr="000A5EDE">
        <w:rPr>
          <w:rFonts w:ascii="Arial" w:hAnsi="Arial" w:cs="Arial"/>
        </w:rPr>
        <w:t>m.</w:t>
      </w:r>
      <w:r w:rsidR="00816E85">
        <w:rPr>
          <w:rFonts w:ascii="Arial" w:hAnsi="Arial" w:cs="Arial"/>
        </w:rPr>
        <w:t xml:space="preserve"> </w:t>
      </w:r>
    </w:p>
    <w:p w:rsidR="00816E85" w:rsidRPr="0077466F" w:rsidRDefault="00816E85" w:rsidP="0077466F">
      <w:pPr>
        <w:spacing w:before="0" w:after="0"/>
        <w:ind w:right="1088"/>
        <w:rPr>
          <w:rFonts w:ascii="Arial" w:hAnsi="Arial" w:cs="Arial"/>
        </w:rPr>
      </w:pPr>
    </w:p>
    <w:p w:rsidR="00091293" w:rsidRDefault="00091293" w:rsidP="00A268DB">
      <w:pPr>
        <w:spacing w:before="0" w:after="0"/>
        <w:ind w:right="1088"/>
        <w:rPr>
          <w:rFonts w:ascii="Arial" w:hAnsi="Arial" w:cs="Arial"/>
          <w:b/>
        </w:rPr>
      </w:pPr>
    </w:p>
    <w:p w:rsidR="00091293" w:rsidRPr="00375FD4" w:rsidRDefault="00091293" w:rsidP="00A268DB">
      <w:pPr>
        <w:spacing w:before="0" w:after="0"/>
        <w:ind w:right="1088"/>
        <w:rPr>
          <w:rFonts w:ascii="Arial" w:hAnsi="Arial" w:cs="Arial"/>
          <w:b/>
        </w:rPr>
        <w:sectPr w:rsidR="00091293" w:rsidRPr="00375FD4" w:rsidSect="00990216">
          <w:pgSz w:w="16838" w:h="11906" w:orient="landscape" w:code="9"/>
          <w:pgMar w:top="1440" w:right="1440" w:bottom="1440" w:left="1440" w:header="720" w:footer="720" w:gutter="0"/>
          <w:cols w:space="720"/>
          <w:titlePg/>
          <w:docGrid w:linePitch="272"/>
        </w:sectPr>
      </w:pPr>
    </w:p>
    <w:p w:rsidR="0077466F" w:rsidRPr="00375FD4" w:rsidRDefault="0077466F" w:rsidP="0077466F">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77466F" w:rsidRPr="00375FD4" w:rsidRDefault="0077466F" w:rsidP="0077466F">
      <w:pPr>
        <w:spacing w:before="0" w:after="0"/>
        <w:jc w:val="both"/>
        <w:rPr>
          <w:rFonts w:ascii="Arial" w:hAnsi="Arial" w:cs="Arial"/>
        </w:rPr>
      </w:pPr>
    </w:p>
    <w:p w:rsidR="0077466F" w:rsidRDefault="00466A40" w:rsidP="0077466F">
      <w:pPr>
        <w:spacing w:before="0" w:after="0"/>
        <w:ind w:right="1088"/>
        <w:rPr>
          <w:rFonts w:ascii="Arial" w:hAnsi="Arial" w:cs="Arial"/>
          <w:b/>
        </w:rPr>
      </w:pPr>
      <w:r>
        <w:rPr>
          <w:rFonts w:ascii="Arial" w:hAnsi="Arial" w:cs="Arial"/>
          <w:b/>
        </w:rPr>
        <w:t>Note 13</w:t>
      </w:r>
      <w:r w:rsidR="0077466F" w:rsidRPr="00375FD4">
        <w:rPr>
          <w:rFonts w:ascii="Arial" w:hAnsi="Arial" w:cs="Arial"/>
          <w:b/>
        </w:rPr>
        <w:t xml:space="preserve"> – </w:t>
      </w:r>
      <w:r w:rsidR="0077466F" w:rsidRPr="00F85D53">
        <w:rPr>
          <w:rFonts w:ascii="Arial" w:hAnsi="Arial" w:cs="Arial"/>
          <w:b/>
        </w:rPr>
        <w:t>Expenditure and Funding Analysis</w:t>
      </w:r>
      <w:r w:rsidR="0077466F" w:rsidRPr="000A3446">
        <w:rPr>
          <w:rFonts w:ascii="Arial" w:hAnsi="Arial" w:cs="Arial"/>
        </w:rPr>
        <w:t xml:space="preserve"> </w:t>
      </w:r>
      <w:r w:rsidR="0077466F" w:rsidRPr="00375FD4">
        <w:rPr>
          <w:rFonts w:ascii="Arial" w:hAnsi="Arial" w:cs="Arial"/>
          <w:b/>
        </w:rPr>
        <w:t>(Cont’d)</w:t>
      </w:r>
    </w:p>
    <w:p w:rsidR="0077466F" w:rsidRDefault="0077466F" w:rsidP="0077466F">
      <w:pPr>
        <w:spacing w:before="0" w:after="0"/>
        <w:ind w:right="1088"/>
        <w:rPr>
          <w:rFonts w:ascii="Arial" w:hAnsi="Arial" w:cs="Arial"/>
          <w:b/>
        </w:rPr>
      </w:pPr>
    </w:p>
    <w:p w:rsidR="0077466F" w:rsidRDefault="0077466F" w:rsidP="0077466F">
      <w:pPr>
        <w:spacing w:before="0" w:after="0"/>
        <w:ind w:right="1088"/>
        <w:rPr>
          <w:rFonts w:ascii="Arial" w:hAnsi="Arial" w:cs="Arial"/>
          <w:b/>
        </w:rPr>
      </w:pPr>
      <w:r>
        <w:rPr>
          <w:rFonts w:ascii="Arial" w:hAnsi="Arial" w:cs="Arial"/>
          <w:b/>
        </w:rPr>
        <w:t>Adjustment for Capital Purposes</w:t>
      </w:r>
    </w:p>
    <w:p w:rsidR="0077466F" w:rsidRDefault="0077466F" w:rsidP="0077466F">
      <w:pPr>
        <w:spacing w:before="0" w:after="0"/>
        <w:ind w:right="1088"/>
        <w:rPr>
          <w:rFonts w:ascii="Arial" w:hAnsi="Arial" w:cs="Arial"/>
          <w:b/>
        </w:rPr>
      </w:pPr>
    </w:p>
    <w:p w:rsidR="00B807C8" w:rsidRDefault="00B807C8" w:rsidP="00B807C8">
      <w:pPr>
        <w:tabs>
          <w:tab w:val="left" w:pos="9026"/>
        </w:tabs>
        <w:spacing w:before="0" w:after="0"/>
        <w:ind w:right="1088"/>
        <w:rPr>
          <w:rFonts w:ascii="Arial" w:hAnsi="Arial" w:cs="Arial"/>
        </w:rPr>
      </w:pPr>
      <w:r>
        <w:rPr>
          <w:rFonts w:ascii="Arial" w:hAnsi="Arial" w:cs="Arial"/>
        </w:rPr>
        <w:t>This column adds in depreciation, impairment and revaluation gains and losses in the services line, and for:</w:t>
      </w:r>
    </w:p>
    <w:p w:rsidR="0077466F" w:rsidRDefault="00B807C8" w:rsidP="00EA6E47">
      <w:pPr>
        <w:pStyle w:val="ListParagraph"/>
        <w:numPr>
          <w:ilvl w:val="0"/>
          <w:numId w:val="49"/>
        </w:numPr>
        <w:spacing w:before="0" w:after="0"/>
        <w:ind w:right="95"/>
        <w:rPr>
          <w:rFonts w:ascii="Arial" w:hAnsi="Arial" w:cs="Arial"/>
        </w:rPr>
      </w:pPr>
      <w:r>
        <w:rPr>
          <w:rFonts w:ascii="Arial" w:hAnsi="Arial" w:cs="Arial"/>
        </w:rPr>
        <w:t>Other operating expenditure</w:t>
      </w:r>
      <w:r w:rsidR="003A3917">
        <w:rPr>
          <w:rFonts w:ascii="Arial" w:hAnsi="Arial" w:cs="Arial"/>
        </w:rPr>
        <w:t xml:space="preserve"> </w:t>
      </w:r>
      <w:r>
        <w:rPr>
          <w:rFonts w:ascii="Arial" w:hAnsi="Arial" w:cs="Arial"/>
        </w:rPr>
        <w:t>– adjusts for capital disposals with a transfer of income on disposal of assets and the amounts written off for those assets;</w:t>
      </w:r>
    </w:p>
    <w:p w:rsidR="00B807C8" w:rsidRDefault="00B807C8" w:rsidP="00EA6E47">
      <w:pPr>
        <w:pStyle w:val="ListParagraph"/>
        <w:numPr>
          <w:ilvl w:val="0"/>
          <w:numId w:val="49"/>
        </w:numPr>
        <w:spacing w:before="0" w:after="0"/>
        <w:ind w:right="95"/>
        <w:rPr>
          <w:rFonts w:ascii="Arial" w:hAnsi="Arial" w:cs="Arial"/>
        </w:rPr>
      </w:pPr>
      <w:r>
        <w:rPr>
          <w:rFonts w:ascii="Arial" w:hAnsi="Arial" w:cs="Arial"/>
        </w:rPr>
        <w:t>Financing and investment income and expenditure – the statutory charges for capital financing and other revenue contributions are deducted from other income and expenditure as these are not chargeable under generally accepted accounting practices; and</w:t>
      </w:r>
    </w:p>
    <w:p w:rsidR="00B807C8" w:rsidRPr="00B807C8" w:rsidRDefault="00B807C8" w:rsidP="00EA6E47">
      <w:pPr>
        <w:pStyle w:val="ListParagraph"/>
        <w:numPr>
          <w:ilvl w:val="0"/>
          <w:numId w:val="49"/>
        </w:numPr>
        <w:spacing w:before="0" w:after="0"/>
        <w:ind w:right="95"/>
        <w:rPr>
          <w:rFonts w:ascii="Arial" w:hAnsi="Arial" w:cs="Arial"/>
        </w:rPr>
      </w:pPr>
      <w:r>
        <w:rPr>
          <w:rFonts w:ascii="Arial" w:hAnsi="Arial" w:cs="Arial"/>
        </w:rPr>
        <w:t>Taxation and non-specific grant income and expenditure – capital grants are adjusted for income not chargeable under generally accepted accounting practices. Revenue grants are adjusted from those receivable in the year to those receivable without conditions or for which conditions were satisfied throughout the year. The Taxation and Non Specific Grant Income and Expenditure line is created with capital grants receivable in the year without conditions or for which conditions were satisfied in the year.</w:t>
      </w:r>
    </w:p>
    <w:p w:rsidR="0077466F" w:rsidRDefault="0077466F" w:rsidP="0077466F">
      <w:pPr>
        <w:spacing w:before="0" w:after="0"/>
        <w:ind w:right="1088"/>
        <w:rPr>
          <w:rFonts w:ascii="Arial" w:hAnsi="Arial" w:cs="Arial"/>
          <w:b/>
        </w:rPr>
      </w:pPr>
    </w:p>
    <w:p w:rsidR="0077466F" w:rsidRDefault="0077466F" w:rsidP="0077466F">
      <w:pPr>
        <w:spacing w:before="0" w:after="0"/>
        <w:ind w:right="1088"/>
        <w:rPr>
          <w:rFonts w:ascii="Arial" w:hAnsi="Arial" w:cs="Arial"/>
          <w:b/>
        </w:rPr>
      </w:pPr>
      <w:r>
        <w:rPr>
          <w:rFonts w:ascii="Arial" w:hAnsi="Arial" w:cs="Arial"/>
          <w:b/>
        </w:rPr>
        <w:t>Net Change for the Pension Adjustments</w:t>
      </w:r>
    </w:p>
    <w:p w:rsidR="0077466F" w:rsidRDefault="0077466F" w:rsidP="0077466F">
      <w:pPr>
        <w:spacing w:before="0" w:after="0"/>
        <w:ind w:right="1088"/>
        <w:rPr>
          <w:rFonts w:ascii="Arial" w:hAnsi="Arial" w:cs="Arial"/>
          <w:b/>
        </w:rPr>
      </w:pPr>
    </w:p>
    <w:p w:rsidR="0077466F" w:rsidRDefault="00B807C8" w:rsidP="00B807C8">
      <w:pPr>
        <w:tabs>
          <w:tab w:val="left" w:pos="9026"/>
        </w:tabs>
        <w:spacing w:before="0" w:after="0"/>
        <w:ind w:right="1088"/>
        <w:rPr>
          <w:rFonts w:ascii="Arial" w:hAnsi="Arial" w:cs="Arial"/>
        </w:rPr>
      </w:pPr>
      <w:r w:rsidRPr="00B807C8">
        <w:rPr>
          <w:rFonts w:ascii="Arial" w:hAnsi="Arial" w:cs="Arial"/>
        </w:rPr>
        <w:t>Net change for the removal of pension contributions and the addition of IAS19 Employee Benefits pension related expenditure</w:t>
      </w:r>
      <w:r>
        <w:rPr>
          <w:rFonts w:ascii="Arial" w:hAnsi="Arial" w:cs="Arial"/>
        </w:rPr>
        <w:t xml:space="preserve"> and income:</w:t>
      </w:r>
    </w:p>
    <w:p w:rsidR="00B807C8" w:rsidRDefault="00B807C8" w:rsidP="00B807C8">
      <w:pPr>
        <w:tabs>
          <w:tab w:val="left" w:pos="9026"/>
        </w:tabs>
        <w:spacing w:before="0" w:after="0"/>
        <w:ind w:right="1088"/>
        <w:rPr>
          <w:rFonts w:ascii="Arial" w:hAnsi="Arial" w:cs="Arial"/>
        </w:rPr>
      </w:pPr>
    </w:p>
    <w:p w:rsidR="00B807C8" w:rsidRDefault="00B807C8" w:rsidP="00EA6E47">
      <w:pPr>
        <w:pStyle w:val="ListParagraph"/>
        <w:numPr>
          <w:ilvl w:val="0"/>
          <w:numId w:val="50"/>
        </w:numPr>
        <w:tabs>
          <w:tab w:val="left" w:pos="9026"/>
        </w:tabs>
        <w:spacing w:before="0" w:after="0"/>
        <w:ind w:right="-46"/>
        <w:rPr>
          <w:rFonts w:ascii="Arial" w:hAnsi="Arial" w:cs="Arial"/>
        </w:rPr>
      </w:pPr>
      <w:r>
        <w:rPr>
          <w:rFonts w:ascii="Arial" w:hAnsi="Arial" w:cs="Arial"/>
        </w:rPr>
        <w:t xml:space="preserve">For </w:t>
      </w:r>
      <w:r w:rsidRPr="00563BB0">
        <w:rPr>
          <w:rFonts w:ascii="Arial" w:hAnsi="Arial" w:cs="Arial"/>
          <w:i/>
        </w:rPr>
        <w:t>services</w:t>
      </w:r>
      <w:r>
        <w:rPr>
          <w:rFonts w:ascii="Arial" w:hAnsi="Arial" w:cs="Arial"/>
        </w:rPr>
        <w:t>, this represents the removal of the emplo</w:t>
      </w:r>
      <w:r w:rsidR="00E76272">
        <w:rPr>
          <w:rFonts w:ascii="Arial" w:hAnsi="Arial" w:cs="Arial"/>
        </w:rPr>
        <w:t>yers contributions made by the c</w:t>
      </w:r>
      <w:r>
        <w:rPr>
          <w:rFonts w:ascii="Arial" w:hAnsi="Arial" w:cs="Arial"/>
        </w:rPr>
        <w:t>ouncil</w:t>
      </w:r>
      <w:r w:rsidR="00563BB0">
        <w:rPr>
          <w:rFonts w:ascii="Arial" w:hAnsi="Arial" w:cs="Arial"/>
        </w:rPr>
        <w:t xml:space="preserve"> as allowed by statute and the replacement with current service costs and past service costs; and</w:t>
      </w:r>
    </w:p>
    <w:p w:rsidR="00563BB0" w:rsidRPr="00B807C8" w:rsidRDefault="00563BB0" w:rsidP="00EA6E47">
      <w:pPr>
        <w:pStyle w:val="ListParagraph"/>
        <w:numPr>
          <w:ilvl w:val="0"/>
          <w:numId w:val="50"/>
        </w:numPr>
        <w:tabs>
          <w:tab w:val="left" w:pos="9026"/>
        </w:tabs>
        <w:spacing w:before="0" w:after="0"/>
        <w:ind w:right="-46"/>
        <w:rPr>
          <w:rFonts w:ascii="Arial" w:hAnsi="Arial" w:cs="Arial"/>
        </w:rPr>
      </w:pPr>
      <w:r>
        <w:rPr>
          <w:rFonts w:ascii="Arial" w:hAnsi="Arial" w:cs="Arial"/>
        </w:rPr>
        <w:t xml:space="preserve">For </w:t>
      </w:r>
      <w:r w:rsidR="0054774D">
        <w:rPr>
          <w:rFonts w:ascii="Arial" w:hAnsi="Arial" w:cs="Arial"/>
          <w:i/>
        </w:rPr>
        <w:t>f</w:t>
      </w:r>
      <w:r w:rsidRPr="00563BB0">
        <w:rPr>
          <w:rFonts w:ascii="Arial" w:hAnsi="Arial" w:cs="Arial"/>
          <w:i/>
        </w:rPr>
        <w:t>inancing and investment income and expenditure</w:t>
      </w:r>
      <w:r>
        <w:rPr>
          <w:rFonts w:ascii="Arial" w:hAnsi="Arial" w:cs="Arial"/>
        </w:rPr>
        <w:t>, the net interest on the defined benefit liability is charged to the Comprehensive Income and Expenditure Statement.</w:t>
      </w:r>
    </w:p>
    <w:p w:rsidR="0077466F" w:rsidRDefault="0077466F" w:rsidP="0077466F">
      <w:pPr>
        <w:spacing w:before="0" w:after="0"/>
        <w:ind w:right="1088"/>
        <w:rPr>
          <w:rFonts w:ascii="Arial" w:hAnsi="Arial" w:cs="Arial"/>
          <w:b/>
        </w:rPr>
      </w:pPr>
    </w:p>
    <w:p w:rsidR="0077466F" w:rsidRDefault="00563BB0" w:rsidP="0077466F">
      <w:pPr>
        <w:spacing w:before="0" w:after="0"/>
        <w:ind w:right="1088"/>
        <w:rPr>
          <w:rFonts w:ascii="Arial" w:hAnsi="Arial" w:cs="Arial"/>
          <w:b/>
        </w:rPr>
      </w:pPr>
      <w:r>
        <w:rPr>
          <w:rFonts w:ascii="Arial" w:hAnsi="Arial" w:cs="Arial"/>
          <w:b/>
        </w:rPr>
        <w:t>Other D</w:t>
      </w:r>
      <w:r w:rsidR="0077466F">
        <w:rPr>
          <w:rFonts w:ascii="Arial" w:hAnsi="Arial" w:cs="Arial"/>
          <w:b/>
        </w:rPr>
        <w:t>ifferences</w:t>
      </w:r>
    </w:p>
    <w:p w:rsidR="0077466F" w:rsidRDefault="0077466F" w:rsidP="0077466F">
      <w:pPr>
        <w:spacing w:before="0" w:after="0"/>
        <w:ind w:right="1088"/>
        <w:rPr>
          <w:rFonts w:ascii="Arial" w:hAnsi="Arial" w:cs="Arial"/>
          <w:b/>
        </w:rPr>
      </w:pPr>
    </w:p>
    <w:p w:rsidR="0077466F" w:rsidRDefault="00563BB0" w:rsidP="00563BB0">
      <w:pPr>
        <w:spacing w:before="0" w:after="0"/>
        <w:ind w:right="-46"/>
        <w:rPr>
          <w:rFonts w:ascii="Arial" w:hAnsi="Arial" w:cs="Arial"/>
        </w:rPr>
      </w:pPr>
      <w:r w:rsidRPr="00563BB0">
        <w:rPr>
          <w:rFonts w:ascii="Arial" w:hAnsi="Arial" w:cs="Arial"/>
        </w:rPr>
        <w:t>Other differences between amounts debited or credited</w:t>
      </w:r>
      <w:r>
        <w:rPr>
          <w:rFonts w:ascii="Arial" w:hAnsi="Arial" w:cs="Arial"/>
        </w:rPr>
        <w:t xml:space="preserve"> to the Comprehensive Income and Expenditure Statement and amounts payable or receivable to be recognised under statute:</w:t>
      </w:r>
    </w:p>
    <w:p w:rsidR="00563BB0" w:rsidRDefault="00563BB0" w:rsidP="00563BB0">
      <w:pPr>
        <w:spacing w:before="0" w:after="0"/>
        <w:ind w:right="-46"/>
        <w:rPr>
          <w:rFonts w:ascii="Arial" w:hAnsi="Arial" w:cs="Arial"/>
        </w:rPr>
      </w:pPr>
    </w:p>
    <w:p w:rsidR="00B53696" w:rsidRDefault="00B53696" w:rsidP="00EA6E47">
      <w:pPr>
        <w:pStyle w:val="ListParagraph"/>
        <w:numPr>
          <w:ilvl w:val="0"/>
          <w:numId w:val="51"/>
        </w:numPr>
        <w:spacing w:before="0" w:after="0"/>
        <w:ind w:right="-46"/>
        <w:rPr>
          <w:rFonts w:ascii="Arial" w:hAnsi="Arial" w:cs="Arial"/>
        </w:rPr>
      </w:pPr>
      <w:r>
        <w:rPr>
          <w:rFonts w:ascii="Arial" w:hAnsi="Arial" w:cs="Arial"/>
        </w:rPr>
        <w:t xml:space="preserve">For </w:t>
      </w:r>
      <w:r w:rsidRPr="00B53696">
        <w:rPr>
          <w:rFonts w:ascii="Arial" w:hAnsi="Arial" w:cs="Arial"/>
          <w:i/>
        </w:rPr>
        <w:t>services</w:t>
      </w:r>
      <w:r w:rsidR="00995F05">
        <w:rPr>
          <w:rFonts w:ascii="Arial" w:hAnsi="Arial" w:cs="Arial"/>
        </w:rPr>
        <w:t xml:space="preserve"> an adjustment is made for the accrual of holiday pay and other similar entitlements, this is required under generally accepted accounting principles but the impact on the General Fund and the HRA is mitigated by statute which allows the impact to be reversed out through the Movement in Reserves; and</w:t>
      </w:r>
      <w:r>
        <w:rPr>
          <w:rFonts w:ascii="Arial" w:hAnsi="Arial" w:cs="Arial"/>
        </w:rPr>
        <w:t xml:space="preserve"> </w:t>
      </w:r>
    </w:p>
    <w:p w:rsidR="00563BB0" w:rsidRPr="00B53696" w:rsidRDefault="00563BB0" w:rsidP="00EA6E47">
      <w:pPr>
        <w:pStyle w:val="ListParagraph"/>
        <w:numPr>
          <w:ilvl w:val="0"/>
          <w:numId w:val="51"/>
        </w:numPr>
        <w:spacing w:before="0" w:after="0"/>
        <w:ind w:right="-46"/>
        <w:rPr>
          <w:rFonts w:ascii="Arial" w:hAnsi="Arial" w:cs="Arial"/>
        </w:rPr>
      </w:pPr>
      <w:r>
        <w:rPr>
          <w:rFonts w:ascii="Arial" w:hAnsi="Arial" w:cs="Arial"/>
        </w:rPr>
        <w:t xml:space="preserve">For </w:t>
      </w:r>
      <w:r w:rsidRPr="00563BB0">
        <w:rPr>
          <w:rFonts w:ascii="Arial" w:hAnsi="Arial" w:cs="Arial"/>
          <w:i/>
        </w:rPr>
        <w:t>Financing and investment income and expenditure</w:t>
      </w:r>
      <w:r>
        <w:rPr>
          <w:rFonts w:ascii="Arial" w:hAnsi="Arial" w:cs="Arial"/>
        </w:rPr>
        <w:t xml:space="preserve">, the </w:t>
      </w:r>
      <w:r w:rsidR="00A523A9">
        <w:rPr>
          <w:rFonts w:ascii="Arial" w:hAnsi="Arial" w:cs="Arial"/>
        </w:rPr>
        <w:t>‘</w:t>
      </w:r>
      <w:r>
        <w:rPr>
          <w:rFonts w:ascii="Arial" w:hAnsi="Arial" w:cs="Arial"/>
        </w:rPr>
        <w:t>other</w:t>
      </w:r>
      <w:r w:rsidR="003A3917">
        <w:rPr>
          <w:rFonts w:ascii="Arial" w:hAnsi="Arial" w:cs="Arial"/>
        </w:rPr>
        <w:t xml:space="preserve"> </w:t>
      </w:r>
      <w:r>
        <w:rPr>
          <w:rFonts w:ascii="Arial" w:hAnsi="Arial" w:cs="Arial"/>
        </w:rPr>
        <w:t>differences</w:t>
      </w:r>
      <w:r w:rsidR="00A523A9">
        <w:rPr>
          <w:rFonts w:ascii="Arial" w:hAnsi="Arial" w:cs="Arial"/>
        </w:rPr>
        <w:t>’</w:t>
      </w:r>
      <w:r>
        <w:rPr>
          <w:rFonts w:ascii="Arial" w:hAnsi="Arial" w:cs="Arial"/>
        </w:rPr>
        <w:t xml:space="preserve"> column recognises adjustments to the General Fund for the timing differences for premiums and discounts</w:t>
      </w:r>
      <w:r w:rsidR="00995F05">
        <w:rPr>
          <w:rFonts w:ascii="Arial" w:hAnsi="Arial" w:cs="Arial"/>
        </w:rPr>
        <w:t>.</w:t>
      </w:r>
    </w:p>
    <w:p w:rsidR="0077466F" w:rsidRDefault="0077466F" w:rsidP="0077466F">
      <w:pPr>
        <w:spacing w:before="0" w:after="0"/>
        <w:ind w:right="1088"/>
        <w:rPr>
          <w:rFonts w:ascii="Arial" w:hAnsi="Arial" w:cs="Arial"/>
          <w:b/>
        </w:rPr>
      </w:pPr>
    </w:p>
    <w:p w:rsidR="0077466F" w:rsidRPr="00375FD4" w:rsidRDefault="0077466F" w:rsidP="0077466F">
      <w:pPr>
        <w:spacing w:before="0" w:after="0"/>
        <w:ind w:right="1088"/>
        <w:rPr>
          <w:rFonts w:ascii="Arial" w:hAnsi="Arial" w:cs="Arial"/>
          <w:b/>
        </w:rPr>
        <w:sectPr w:rsidR="0077466F" w:rsidRPr="00375FD4" w:rsidSect="0077466F">
          <w:pgSz w:w="11906" w:h="16838" w:code="9"/>
          <w:pgMar w:top="1440" w:right="1440" w:bottom="1440" w:left="1440" w:header="720" w:footer="720" w:gutter="0"/>
          <w:cols w:space="720"/>
          <w:titlePg/>
          <w:docGrid w:linePitch="272"/>
        </w:sectPr>
      </w:pPr>
    </w:p>
    <w:p w:rsidR="00990216" w:rsidRPr="00375FD4" w:rsidRDefault="00A268DB" w:rsidP="00990216">
      <w:pPr>
        <w:spacing w:before="0" w:after="0"/>
        <w:jc w:val="both"/>
        <w:rPr>
          <w:rFonts w:ascii="Arial" w:hAnsi="Arial" w:cs="Arial"/>
          <w:b/>
          <w:sz w:val="24"/>
          <w:szCs w:val="24"/>
        </w:rPr>
      </w:pPr>
      <w:r>
        <w:rPr>
          <w:rFonts w:ascii="Arial" w:hAnsi="Arial" w:cs="Arial"/>
          <w:b/>
          <w:sz w:val="24"/>
          <w:szCs w:val="24"/>
        </w:rPr>
        <w:lastRenderedPageBreak/>
        <w:t>N</w:t>
      </w:r>
      <w:r w:rsidR="00990216" w:rsidRPr="00375FD4">
        <w:rPr>
          <w:rFonts w:ascii="Arial" w:hAnsi="Arial" w:cs="Arial"/>
          <w:b/>
          <w:sz w:val="24"/>
          <w:szCs w:val="24"/>
        </w:rPr>
        <w:t>otes to the Financial Statements (Cont’d)</w:t>
      </w:r>
    </w:p>
    <w:p w:rsidR="00990216" w:rsidRPr="00375FD4" w:rsidRDefault="00990216" w:rsidP="00990216">
      <w:pPr>
        <w:spacing w:before="0" w:after="0"/>
        <w:rPr>
          <w:rFonts w:ascii="Arial" w:hAnsi="Arial" w:cs="Arial"/>
          <w:b/>
        </w:rPr>
      </w:pPr>
    </w:p>
    <w:p w:rsidR="00990216" w:rsidRPr="000A3446" w:rsidRDefault="00466A40" w:rsidP="006804EE">
      <w:pPr>
        <w:pStyle w:val="Heading1"/>
        <w:spacing w:before="0"/>
        <w:rPr>
          <w:rFonts w:ascii="Arial" w:hAnsi="Arial" w:cs="Arial"/>
          <w:color w:val="auto"/>
          <w:sz w:val="20"/>
          <w:szCs w:val="20"/>
        </w:rPr>
      </w:pPr>
      <w:r>
        <w:rPr>
          <w:rFonts w:ascii="Arial" w:hAnsi="Arial" w:cs="Arial"/>
          <w:color w:val="auto"/>
          <w:sz w:val="20"/>
          <w:szCs w:val="20"/>
        </w:rPr>
        <w:t>Note 14</w:t>
      </w:r>
      <w:r w:rsidR="00990216" w:rsidRPr="000A3446">
        <w:rPr>
          <w:rFonts w:ascii="Arial" w:hAnsi="Arial" w:cs="Arial"/>
          <w:color w:val="auto"/>
          <w:sz w:val="20"/>
          <w:szCs w:val="20"/>
        </w:rPr>
        <w:t xml:space="preserve"> – Property, Plant and Equipment</w:t>
      </w:r>
    </w:p>
    <w:p w:rsidR="00990216" w:rsidRPr="00375FD4" w:rsidRDefault="00990216" w:rsidP="00990216">
      <w:pPr>
        <w:spacing w:before="0" w:after="0"/>
        <w:rPr>
          <w:rFonts w:ascii="Arial" w:hAnsi="Arial" w:cs="Arial"/>
          <w:b/>
        </w:rPr>
      </w:pPr>
    </w:p>
    <w:p w:rsidR="00A268DB" w:rsidRPr="00A268DB" w:rsidRDefault="00FF71F5" w:rsidP="00EA6E47">
      <w:pPr>
        <w:numPr>
          <w:ilvl w:val="0"/>
          <w:numId w:val="19"/>
        </w:numPr>
        <w:tabs>
          <w:tab w:val="clear" w:pos="1440"/>
          <w:tab w:val="num" w:pos="709"/>
        </w:tabs>
        <w:spacing w:before="0" w:after="0"/>
        <w:ind w:hanging="1440"/>
        <w:rPr>
          <w:rFonts w:ascii="Arial" w:hAnsi="Arial" w:cs="Arial"/>
          <w:b/>
        </w:rPr>
      </w:pPr>
      <w:r>
        <w:rPr>
          <w:rFonts w:ascii="Arial" w:hAnsi="Arial" w:cs="Arial"/>
          <w:b/>
        </w:rPr>
        <w:t>Movements in 20</w:t>
      </w:r>
      <w:r w:rsidR="00112650">
        <w:rPr>
          <w:rFonts w:ascii="Arial" w:hAnsi="Arial" w:cs="Arial"/>
          <w:b/>
        </w:rPr>
        <w:t>19/20</w:t>
      </w:r>
    </w:p>
    <w:p w:rsidR="00990216" w:rsidRPr="00375FD4" w:rsidRDefault="00990216" w:rsidP="00B650E5">
      <w:pPr>
        <w:spacing w:before="0" w:after="0"/>
        <w:ind w:left="-426"/>
        <w:rPr>
          <w:rFonts w:ascii="Arial" w:hAnsi="Arial" w:cs="Arial"/>
          <w:b/>
        </w:rPr>
      </w:pPr>
    </w:p>
    <w:p w:rsidR="00990216" w:rsidRPr="00375FD4" w:rsidRDefault="0052517B" w:rsidP="00990216">
      <w:pPr>
        <w:spacing w:before="0" w:after="0"/>
        <w:jc w:val="both"/>
        <w:rPr>
          <w:rFonts w:ascii="Arial" w:hAnsi="Arial" w:cs="Arial"/>
          <w:b/>
          <w:sz w:val="24"/>
          <w:szCs w:val="24"/>
        </w:rPr>
      </w:pPr>
      <w:r w:rsidRPr="0052517B">
        <w:rPr>
          <w:noProof/>
          <w:lang w:eastAsia="en-GB"/>
        </w:rPr>
        <w:drawing>
          <wp:inline distT="0" distB="0" distL="0" distR="0" wp14:anchorId="5E1BF0FF" wp14:editId="70F9486A">
            <wp:extent cx="8863330" cy="4396160"/>
            <wp:effectExtent l="0" t="0" r="0" b="4445"/>
            <wp:docPr id="229" name="Picture 229" descr="detail of movement in assets 2019/20" title="note 14 property plant an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863330" cy="4396160"/>
                    </a:xfrm>
                    <a:prstGeom prst="rect">
                      <a:avLst/>
                    </a:prstGeom>
                    <a:noFill/>
                    <a:ln>
                      <a:noFill/>
                    </a:ln>
                  </pic:spPr>
                </pic:pic>
              </a:graphicData>
            </a:graphic>
          </wp:inline>
        </w:drawing>
      </w:r>
      <w:r w:rsidR="00990216" w:rsidRPr="00375FD4">
        <w:rPr>
          <w:rFonts w:ascii="Arial" w:hAnsi="Arial" w:cs="Arial"/>
          <w:b/>
        </w:rPr>
        <w:br w:type="page"/>
      </w:r>
      <w:r w:rsidR="00990216" w:rsidRPr="00375FD4">
        <w:rPr>
          <w:rFonts w:ascii="Arial" w:hAnsi="Arial" w:cs="Arial"/>
          <w:b/>
          <w:sz w:val="24"/>
          <w:szCs w:val="24"/>
        </w:rPr>
        <w:lastRenderedPageBreak/>
        <w:t>Notes to the Financial Statements (Cont’d)</w:t>
      </w:r>
    </w:p>
    <w:p w:rsidR="00990216" w:rsidRPr="00375FD4" w:rsidRDefault="00990216" w:rsidP="00990216">
      <w:pPr>
        <w:spacing w:before="0" w:after="0"/>
        <w:rPr>
          <w:rFonts w:ascii="Arial" w:hAnsi="Arial" w:cs="Arial"/>
          <w:b/>
        </w:rPr>
      </w:pPr>
    </w:p>
    <w:p w:rsidR="00990216" w:rsidRPr="00375FD4" w:rsidRDefault="00466A40" w:rsidP="00990216">
      <w:pPr>
        <w:spacing w:before="0" w:after="0"/>
        <w:rPr>
          <w:rFonts w:ascii="Arial" w:hAnsi="Arial" w:cs="Arial"/>
          <w:b/>
        </w:rPr>
      </w:pPr>
      <w:r>
        <w:rPr>
          <w:rFonts w:ascii="Arial" w:hAnsi="Arial" w:cs="Arial"/>
          <w:b/>
        </w:rPr>
        <w:t>Note 14</w:t>
      </w:r>
      <w:r w:rsidR="00990216" w:rsidRPr="00375FD4">
        <w:rPr>
          <w:rFonts w:ascii="Arial" w:hAnsi="Arial" w:cs="Arial"/>
          <w:b/>
        </w:rPr>
        <w:t xml:space="preserve"> – Property, Plant and Equipment (Cont’d)</w:t>
      </w:r>
    </w:p>
    <w:p w:rsidR="00990216" w:rsidRPr="00375FD4" w:rsidRDefault="00990216" w:rsidP="00990216">
      <w:pPr>
        <w:spacing w:before="0" w:after="0"/>
        <w:rPr>
          <w:rFonts w:ascii="Arial" w:hAnsi="Arial" w:cs="Arial"/>
          <w:b/>
        </w:rPr>
      </w:pPr>
    </w:p>
    <w:p w:rsidR="00990216" w:rsidRPr="00375FD4" w:rsidRDefault="00112650" w:rsidP="00EA6E47">
      <w:pPr>
        <w:numPr>
          <w:ilvl w:val="0"/>
          <w:numId w:val="19"/>
        </w:numPr>
        <w:tabs>
          <w:tab w:val="clear" w:pos="1440"/>
          <w:tab w:val="num" w:pos="709"/>
        </w:tabs>
        <w:spacing w:before="0" w:after="0"/>
        <w:ind w:hanging="1440"/>
        <w:rPr>
          <w:rFonts w:ascii="Arial" w:hAnsi="Arial" w:cs="Arial"/>
          <w:b/>
        </w:rPr>
      </w:pPr>
      <w:r>
        <w:rPr>
          <w:rFonts w:ascii="Arial" w:hAnsi="Arial" w:cs="Arial"/>
          <w:b/>
        </w:rPr>
        <w:t>Movements in 2018/19</w:t>
      </w:r>
      <w:r w:rsidR="00565CD8">
        <w:rPr>
          <w:rFonts w:ascii="Arial" w:hAnsi="Arial" w:cs="Arial"/>
          <w:b/>
        </w:rPr>
        <w:t xml:space="preserve"> (Revised)</w:t>
      </w:r>
    </w:p>
    <w:p w:rsidR="00990216" w:rsidRPr="00375FD4" w:rsidRDefault="00990216" w:rsidP="00990216">
      <w:pPr>
        <w:spacing w:before="0" w:after="0"/>
        <w:rPr>
          <w:rFonts w:ascii="Arial" w:hAnsi="Arial" w:cs="Arial"/>
          <w:b/>
        </w:rPr>
      </w:pPr>
    </w:p>
    <w:p w:rsidR="00990216" w:rsidRPr="00375FD4" w:rsidRDefault="00565CD8" w:rsidP="00990216">
      <w:pPr>
        <w:spacing w:before="0" w:after="0"/>
        <w:jc w:val="both"/>
        <w:rPr>
          <w:rFonts w:ascii="Arial" w:hAnsi="Arial" w:cs="Arial"/>
          <w:b/>
        </w:rPr>
        <w:sectPr w:rsidR="00990216" w:rsidRPr="00375FD4" w:rsidSect="00990216">
          <w:pgSz w:w="16838" w:h="11906" w:orient="landscape" w:code="9"/>
          <w:pgMar w:top="1440" w:right="1440" w:bottom="1440" w:left="1440" w:header="720" w:footer="720" w:gutter="0"/>
          <w:cols w:space="720"/>
          <w:titlePg/>
          <w:docGrid w:linePitch="272"/>
        </w:sectPr>
      </w:pPr>
      <w:r w:rsidRPr="00565CD8">
        <w:rPr>
          <w:noProof/>
          <w:lang w:eastAsia="en-GB"/>
        </w:rPr>
        <w:drawing>
          <wp:inline distT="0" distB="0" distL="0" distR="0" wp14:anchorId="68CAECCB" wp14:editId="4BEB1969">
            <wp:extent cx="8863330" cy="4396160"/>
            <wp:effectExtent l="0" t="0" r="0" b="4445"/>
            <wp:docPr id="139" name="Picture 139" descr="movement in assets 2018/19" title="note 14 property plant an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863330" cy="4396160"/>
                    </a:xfrm>
                    <a:prstGeom prst="rect">
                      <a:avLst/>
                    </a:prstGeom>
                    <a:noFill/>
                    <a:ln>
                      <a:noFill/>
                    </a:ln>
                  </pic:spPr>
                </pic:pic>
              </a:graphicData>
            </a:graphic>
          </wp:inline>
        </w:drawing>
      </w:r>
    </w:p>
    <w:p w:rsidR="00990216" w:rsidRPr="00375FD4" w:rsidRDefault="00990216" w:rsidP="00990216">
      <w:pPr>
        <w:spacing w:before="0" w:after="0"/>
        <w:jc w:val="both"/>
        <w:rPr>
          <w:rFonts w:ascii="Arial" w:hAnsi="Arial" w:cs="Arial"/>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line="360" w:lineRule="auto"/>
        <w:rPr>
          <w:rFonts w:ascii="Arial" w:hAnsi="Arial" w:cs="Arial"/>
          <w:b/>
        </w:rPr>
      </w:pPr>
    </w:p>
    <w:p w:rsidR="00990216" w:rsidRPr="00375FD4" w:rsidRDefault="00466A40" w:rsidP="00990216">
      <w:pPr>
        <w:spacing w:before="0" w:after="0" w:line="360" w:lineRule="auto"/>
        <w:rPr>
          <w:rFonts w:ascii="Arial" w:hAnsi="Arial" w:cs="Arial"/>
          <w:b/>
        </w:rPr>
      </w:pPr>
      <w:r>
        <w:rPr>
          <w:rFonts w:ascii="Arial" w:hAnsi="Arial" w:cs="Arial"/>
          <w:b/>
        </w:rPr>
        <w:t>Note 14</w:t>
      </w:r>
      <w:r w:rsidR="00990216" w:rsidRPr="00375FD4">
        <w:rPr>
          <w:rFonts w:ascii="Arial" w:hAnsi="Arial" w:cs="Arial"/>
          <w:b/>
        </w:rPr>
        <w:t xml:space="preserve"> – Property, Plant and Equipment (Cont’d)</w:t>
      </w:r>
    </w:p>
    <w:p w:rsidR="00990216" w:rsidRPr="00375FD4" w:rsidRDefault="00990216" w:rsidP="001F1E67">
      <w:pPr>
        <w:spacing w:before="0" w:after="0" w:line="360" w:lineRule="auto"/>
        <w:ind w:left="709" w:hanging="709"/>
        <w:jc w:val="both"/>
        <w:rPr>
          <w:rFonts w:ascii="Arial" w:hAnsi="Arial" w:cs="Arial"/>
          <w:b/>
        </w:rPr>
      </w:pPr>
      <w:r w:rsidRPr="00375FD4">
        <w:rPr>
          <w:rFonts w:ascii="Arial" w:hAnsi="Arial" w:cs="Arial"/>
          <w:b/>
        </w:rPr>
        <w:t xml:space="preserve">3)  </w:t>
      </w:r>
      <w:r w:rsidRPr="00375FD4">
        <w:rPr>
          <w:rFonts w:ascii="Arial" w:hAnsi="Arial" w:cs="Arial"/>
          <w:b/>
        </w:rPr>
        <w:tab/>
        <w:t xml:space="preserve">Capital Commitments </w:t>
      </w:r>
    </w:p>
    <w:p w:rsidR="00990216" w:rsidRPr="00375FD4" w:rsidRDefault="002607BF" w:rsidP="001F1E67">
      <w:pPr>
        <w:spacing w:before="0" w:after="0"/>
        <w:rPr>
          <w:rFonts w:ascii="Arial" w:hAnsi="Arial" w:cs="Arial"/>
        </w:rPr>
      </w:pPr>
      <w:r>
        <w:rPr>
          <w:rFonts w:ascii="Arial" w:hAnsi="Arial" w:cs="Arial"/>
        </w:rPr>
        <w:t>As at 31 M</w:t>
      </w:r>
      <w:r w:rsidR="00112650">
        <w:rPr>
          <w:rFonts w:ascii="Arial" w:hAnsi="Arial" w:cs="Arial"/>
        </w:rPr>
        <w:t>arch 2020</w:t>
      </w:r>
      <w:r w:rsidR="00E76272">
        <w:rPr>
          <w:rFonts w:ascii="Arial" w:hAnsi="Arial" w:cs="Arial"/>
        </w:rPr>
        <w:t>, the c</w:t>
      </w:r>
      <w:r w:rsidR="00990216" w:rsidRPr="00375FD4">
        <w:rPr>
          <w:rFonts w:ascii="Arial" w:hAnsi="Arial" w:cs="Arial"/>
        </w:rPr>
        <w:t xml:space="preserve">ouncil has commitments on capital contracts for the </w:t>
      </w:r>
      <w:r w:rsidR="00990216" w:rsidRPr="008C5E10">
        <w:rPr>
          <w:rFonts w:ascii="Arial" w:hAnsi="Arial" w:cs="Arial"/>
        </w:rPr>
        <w:t>construction or enhancement of property, plant and equipment for non hous</w:t>
      </w:r>
      <w:r w:rsidR="00EF5C30">
        <w:rPr>
          <w:rFonts w:ascii="Arial" w:hAnsi="Arial" w:cs="Arial"/>
        </w:rPr>
        <w:t>ing and housing projects</w:t>
      </w:r>
      <w:r w:rsidR="00A82663">
        <w:rPr>
          <w:rFonts w:ascii="Arial" w:hAnsi="Arial" w:cs="Arial"/>
        </w:rPr>
        <w:t xml:space="preserve"> in 2019/20</w:t>
      </w:r>
      <w:r w:rsidR="00D56A04" w:rsidRPr="008C5E10">
        <w:rPr>
          <w:rFonts w:ascii="Arial" w:hAnsi="Arial" w:cs="Arial"/>
        </w:rPr>
        <w:t xml:space="preserve"> budgeted to </w:t>
      </w:r>
      <w:r w:rsidR="00D56A04" w:rsidRPr="00B40044">
        <w:rPr>
          <w:rFonts w:ascii="Arial" w:hAnsi="Arial" w:cs="Arial"/>
        </w:rPr>
        <w:t>cost £</w:t>
      </w:r>
      <w:r w:rsidR="00B40044" w:rsidRPr="00B40044">
        <w:rPr>
          <w:rFonts w:ascii="Arial" w:hAnsi="Arial" w:cs="Arial"/>
        </w:rPr>
        <w:t>30.935</w:t>
      </w:r>
      <w:r w:rsidR="00684A6B" w:rsidRPr="00B40044">
        <w:rPr>
          <w:rFonts w:ascii="Arial" w:hAnsi="Arial" w:cs="Arial"/>
        </w:rPr>
        <w:t xml:space="preserve">m </w:t>
      </w:r>
      <w:r w:rsidR="00112650" w:rsidRPr="00B40044">
        <w:rPr>
          <w:rFonts w:ascii="Arial" w:hAnsi="Arial" w:cs="Arial"/>
        </w:rPr>
        <w:t>(2018/19</w:t>
      </w:r>
      <w:r w:rsidR="00EF5C30" w:rsidRPr="00B40044">
        <w:rPr>
          <w:rFonts w:ascii="Arial" w:hAnsi="Arial" w:cs="Arial"/>
        </w:rPr>
        <w:t xml:space="preserve"> £</w:t>
      </w:r>
      <w:r w:rsidR="00112650" w:rsidRPr="00B40044">
        <w:rPr>
          <w:rFonts w:ascii="Arial" w:hAnsi="Arial" w:cs="Arial"/>
        </w:rPr>
        <w:t>24.044</w:t>
      </w:r>
      <w:r w:rsidR="00D56A04" w:rsidRPr="00B40044">
        <w:rPr>
          <w:rFonts w:ascii="Arial" w:hAnsi="Arial" w:cs="Arial"/>
        </w:rPr>
        <w:t>m) and £</w:t>
      </w:r>
      <w:r w:rsidR="00B40044" w:rsidRPr="00B40044">
        <w:rPr>
          <w:rFonts w:ascii="Arial" w:hAnsi="Arial" w:cs="Arial"/>
        </w:rPr>
        <w:t>49.474</w:t>
      </w:r>
      <w:r w:rsidR="002130B9" w:rsidRPr="00B40044">
        <w:rPr>
          <w:rFonts w:ascii="Arial" w:hAnsi="Arial" w:cs="Arial"/>
        </w:rPr>
        <w:t>m</w:t>
      </w:r>
      <w:r w:rsidR="00112650" w:rsidRPr="00B40044">
        <w:rPr>
          <w:rFonts w:ascii="Arial" w:hAnsi="Arial" w:cs="Arial"/>
        </w:rPr>
        <w:t xml:space="preserve"> (2018</w:t>
      </w:r>
      <w:r w:rsidR="00112650">
        <w:rPr>
          <w:rFonts w:ascii="Arial" w:hAnsi="Arial" w:cs="Arial"/>
        </w:rPr>
        <w:t>/19</w:t>
      </w:r>
      <w:r w:rsidR="00EF5C30">
        <w:rPr>
          <w:rFonts w:ascii="Arial" w:hAnsi="Arial" w:cs="Arial"/>
        </w:rPr>
        <w:t xml:space="preserve"> £</w:t>
      </w:r>
      <w:r w:rsidR="00112650">
        <w:rPr>
          <w:rFonts w:ascii="Arial" w:hAnsi="Arial" w:cs="Arial"/>
        </w:rPr>
        <w:t>2.859</w:t>
      </w:r>
      <w:r w:rsidR="00990216" w:rsidRPr="008C5E10">
        <w:rPr>
          <w:rFonts w:ascii="Arial" w:hAnsi="Arial" w:cs="Arial"/>
        </w:rPr>
        <w:t>m) respectively.  The main commitments are:</w:t>
      </w:r>
    </w:p>
    <w:p w:rsidR="00990216" w:rsidRPr="00375FD4" w:rsidRDefault="00990216" w:rsidP="00990216">
      <w:pPr>
        <w:spacing w:before="0" w:after="0"/>
        <w:ind w:left="1440"/>
        <w:jc w:val="both"/>
        <w:rPr>
          <w:rFonts w:ascii="Arial" w:hAnsi="Arial" w:cs="Arial"/>
          <w:b/>
        </w:rPr>
      </w:pPr>
    </w:p>
    <w:p w:rsidR="0078221B" w:rsidRPr="00375FD4" w:rsidRDefault="00B40044" w:rsidP="00A20D58">
      <w:pPr>
        <w:spacing w:before="0" w:after="0"/>
        <w:ind w:left="709"/>
        <w:jc w:val="both"/>
        <w:rPr>
          <w:rFonts w:ascii="Arial" w:hAnsi="Arial" w:cs="Arial"/>
          <w:b/>
        </w:rPr>
      </w:pPr>
      <w:r w:rsidRPr="00B40044">
        <w:rPr>
          <w:noProof/>
          <w:lang w:eastAsia="en-GB"/>
        </w:rPr>
        <w:drawing>
          <wp:inline distT="0" distB="0" distL="0" distR="0">
            <wp:extent cx="4695825" cy="2114550"/>
            <wp:effectExtent l="0" t="0" r="9525" b="0"/>
            <wp:docPr id="57" name="Picture 57" descr="capital commitments s at 31 march 2020" title="note 14 property plant &amp;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695825" cy="2114550"/>
                    </a:xfrm>
                    <a:prstGeom prst="rect">
                      <a:avLst/>
                    </a:prstGeom>
                    <a:noFill/>
                    <a:ln>
                      <a:noFill/>
                    </a:ln>
                  </pic:spPr>
                </pic:pic>
              </a:graphicData>
            </a:graphic>
          </wp:inline>
        </w:drawing>
      </w:r>
    </w:p>
    <w:p w:rsidR="00990216" w:rsidRPr="00466A40" w:rsidRDefault="00990216" w:rsidP="00466A40">
      <w:pPr>
        <w:spacing w:before="0" w:after="0"/>
        <w:rPr>
          <w:rFonts w:ascii="Arial" w:hAnsi="Arial" w:cs="Arial"/>
          <w:b/>
        </w:rPr>
      </w:pPr>
    </w:p>
    <w:p w:rsidR="00990216" w:rsidRDefault="00E61D8C" w:rsidP="001F1E67">
      <w:pPr>
        <w:spacing w:before="0" w:after="0"/>
        <w:ind w:left="709" w:hanging="709"/>
        <w:jc w:val="both"/>
        <w:rPr>
          <w:rFonts w:ascii="Arial" w:hAnsi="Arial" w:cs="Arial"/>
          <w:b/>
        </w:rPr>
      </w:pPr>
      <w:r>
        <w:rPr>
          <w:rFonts w:ascii="Arial" w:hAnsi="Arial" w:cs="Arial"/>
          <w:b/>
        </w:rPr>
        <w:t>4</w:t>
      </w:r>
      <w:r w:rsidR="00990216" w:rsidRPr="00375FD4">
        <w:rPr>
          <w:rFonts w:ascii="Arial" w:hAnsi="Arial" w:cs="Arial"/>
          <w:b/>
        </w:rPr>
        <w:t>)</w:t>
      </w:r>
      <w:r w:rsidR="00990216" w:rsidRPr="00375FD4">
        <w:rPr>
          <w:rFonts w:ascii="Arial" w:hAnsi="Arial" w:cs="Arial"/>
          <w:b/>
        </w:rPr>
        <w:tab/>
        <w:t>PPP Assets Included in Property, Plant and Equipment</w:t>
      </w:r>
    </w:p>
    <w:p w:rsidR="00AF7EEC" w:rsidRPr="00375FD4" w:rsidRDefault="00AF7EEC" w:rsidP="00AF7EEC">
      <w:pPr>
        <w:spacing w:before="0" w:after="0"/>
        <w:ind w:left="1440" w:hanging="22"/>
        <w:jc w:val="both"/>
        <w:rPr>
          <w:rFonts w:ascii="Arial" w:hAnsi="Arial" w:cs="Arial"/>
        </w:rPr>
      </w:pPr>
    </w:p>
    <w:p w:rsidR="0078221B" w:rsidRPr="00375FD4" w:rsidRDefault="008A007E" w:rsidP="00AF7EEC">
      <w:pPr>
        <w:spacing w:before="0" w:after="0"/>
        <w:ind w:left="1440" w:hanging="22"/>
        <w:jc w:val="both"/>
        <w:rPr>
          <w:rFonts w:ascii="Arial" w:hAnsi="Arial" w:cs="Arial"/>
        </w:rPr>
      </w:pPr>
      <w:r w:rsidRPr="008A007E">
        <w:rPr>
          <w:noProof/>
          <w:lang w:eastAsia="en-GB"/>
        </w:rPr>
        <w:drawing>
          <wp:inline distT="0" distB="0" distL="0" distR="0">
            <wp:extent cx="4048125" cy="3086100"/>
            <wp:effectExtent l="0" t="0" r="9525" b="0"/>
            <wp:docPr id="240" name="Picture 240" descr="PPP assets included in PPE" title="note 14 property plant and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48125" cy="3086100"/>
                    </a:xfrm>
                    <a:prstGeom prst="rect">
                      <a:avLst/>
                    </a:prstGeom>
                    <a:noFill/>
                    <a:ln>
                      <a:noFill/>
                    </a:ln>
                  </pic:spPr>
                </pic:pic>
              </a:graphicData>
            </a:graphic>
          </wp:inline>
        </w:drawing>
      </w:r>
    </w:p>
    <w:p w:rsidR="0078221B" w:rsidRDefault="0078221B" w:rsidP="006521C0">
      <w:pPr>
        <w:spacing w:before="0" w:after="0"/>
        <w:jc w:val="both"/>
        <w:rPr>
          <w:rFonts w:ascii="Arial" w:hAnsi="Arial" w:cs="Arial"/>
        </w:rPr>
      </w:pPr>
    </w:p>
    <w:p w:rsidR="00B67633" w:rsidRPr="00B67633" w:rsidRDefault="00E61D8C" w:rsidP="001F1E67">
      <w:pPr>
        <w:spacing w:before="0" w:after="0"/>
        <w:ind w:left="709" w:hanging="709"/>
        <w:rPr>
          <w:rFonts w:ascii="Arial" w:hAnsi="Arial" w:cs="Arial"/>
          <w:lang w:eastAsia="en-GB"/>
        </w:rPr>
      </w:pPr>
      <w:r>
        <w:rPr>
          <w:rFonts w:ascii="Arial" w:eastAsiaTheme="minorHAnsi" w:hAnsi="Arial" w:cs="Arial"/>
          <w:b/>
        </w:rPr>
        <w:t>5</w:t>
      </w:r>
      <w:r w:rsidR="00B67633" w:rsidRPr="00B67633">
        <w:rPr>
          <w:rFonts w:ascii="Arial" w:eastAsiaTheme="minorHAnsi" w:hAnsi="Arial" w:cs="Arial"/>
          <w:b/>
        </w:rPr>
        <w:t>)</w:t>
      </w:r>
      <w:r w:rsidR="00B67633" w:rsidRPr="00B67633">
        <w:rPr>
          <w:rFonts w:ascii="Arial" w:eastAsiaTheme="minorHAnsi" w:hAnsi="Arial" w:cs="Arial"/>
        </w:rPr>
        <w:t xml:space="preserve"> </w:t>
      </w:r>
      <w:r w:rsidR="00887085" w:rsidRPr="00887085">
        <w:rPr>
          <w:rFonts w:ascii="Arial" w:eastAsiaTheme="minorHAnsi" w:hAnsi="Arial" w:cs="Arial"/>
        </w:rPr>
        <w:t xml:space="preserve"> </w:t>
      </w:r>
      <w:r w:rsidR="00887085">
        <w:rPr>
          <w:rFonts w:ascii="Arial" w:eastAsiaTheme="minorHAnsi" w:hAnsi="Arial" w:cs="Arial"/>
        </w:rPr>
        <w:tab/>
      </w:r>
      <w:r w:rsidR="00B67633" w:rsidRPr="00B67633">
        <w:rPr>
          <w:rFonts w:ascii="Arial" w:eastAsiaTheme="minorHAnsi" w:hAnsi="Arial" w:cs="Arial"/>
        </w:rPr>
        <w:t xml:space="preserve">The </w:t>
      </w:r>
      <w:r w:rsidR="00E76272">
        <w:rPr>
          <w:rFonts w:ascii="Arial" w:eastAsiaTheme="minorHAnsi" w:hAnsi="Arial" w:cs="Arial"/>
        </w:rPr>
        <w:t>c</w:t>
      </w:r>
      <w:r w:rsidR="00312456">
        <w:rPr>
          <w:rFonts w:ascii="Arial" w:eastAsiaTheme="minorHAnsi" w:hAnsi="Arial" w:cs="Arial"/>
        </w:rPr>
        <w:t>ouncil</w:t>
      </w:r>
      <w:r w:rsidR="00B67633" w:rsidRPr="00B67633">
        <w:rPr>
          <w:rFonts w:ascii="Arial" w:eastAsiaTheme="minorHAnsi" w:hAnsi="Arial" w:cs="Arial"/>
        </w:rPr>
        <w:t xml:space="preserve"> measures its surplus assets at fair value at each reporting date (the </w:t>
      </w:r>
      <w:r w:rsidR="00E76272">
        <w:rPr>
          <w:rFonts w:ascii="Arial" w:eastAsiaTheme="minorHAnsi" w:hAnsi="Arial" w:cs="Arial"/>
        </w:rPr>
        <w:t>c</w:t>
      </w:r>
      <w:r w:rsidR="00312456">
        <w:rPr>
          <w:rFonts w:ascii="Arial" w:eastAsiaTheme="minorHAnsi" w:hAnsi="Arial" w:cs="Arial"/>
        </w:rPr>
        <w:t>ouncil</w:t>
      </w:r>
      <w:r w:rsidR="00B67633" w:rsidRPr="00B67633">
        <w:rPr>
          <w:rFonts w:ascii="Arial" w:eastAsiaTheme="minorHAnsi" w:hAnsi="Arial" w:cs="Arial"/>
        </w:rPr>
        <w:t xml:space="preserve"> does not hold investment properties).  The fair value of surplus assets have been based on the market value approach using current market conditions and recent sales prices and other relevant information for similar assets in the West Dunbartonshire area together with evidence across the wider West of Scotland.  Market conditions are such that similar properties are marketed, purchased and sold actively and the level of observable inputs are sufficient, leading to the properties being categorised at Level 2 in the fair value hierarchy.</w:t>
      </w:r>
    </w:p>
    <w:p w:rsidR="00B67633" w:rsidRPr="00B67633" w:rsidRDefault="00B67633" w:rsidP="007F13D2">
      <w:pPr>
        <w:tabs>
          <w:tab w:val="left" w:pos="5700"/>
        </w:tabs>
        <w:spacing w:before="0" w:after="0"/>
        <w:ind w:left="709" w:hanging="709"/>
        <w:rPr>
          <w:rFonts w:ascii="Arial" w:hAnsi="Arial" w:cs="Arial"/>
          <w:lang w:eastAsia="en-GB"/>
        </w:rPr>
      </w:pPr>
      <w:r w:rsidRPr="00B67633">
        <w:rPr>
          <w:rFonts w:ascii="Arial" w:hAnsi="Arial" w:cs="Arial"/>
          <w:lang w:eastAsia="en-GB"/>
        </w:rPr>
        <w:tab/>
      </w:r>
      <w:r w:rsidR="00887085">
        <w:rPr>
          <w:rFonts w:ascii="Arial" w:hAnsi="Arial" w:cs="Arial"/>
          <w:lang w:eastAsia="en-GB"/>
        </w:rPr>
        <w:tab/>
      </w:r>
    </w:p>
    <w:p w:rsidR="00B67633" w:rsidRPr="00B67633" w:rsidRDefault="00B67633" w:rsidP="001F1E67">
      <w:pPr>
        <w:spacing w:before="0" w:after="0"/>
        <w:ind w:left="709"/>
        <w:rPr>
          <w:rFonts w:ascii="Arial" w:hAnsi="Arial" w:cs="Arial"/>
          <w:lang w:eastAsia="en-GB"/>
        </w:rPr>
      </w:pPr>
      <w:r w:rsidRPr="00B67633">
        <w:rPr>
          <w:rFonts w:ascii="Arial" w:hAnsi="Arial" w:cs="Arial"/>
          <w:lang w:eastAsia="en-GB"/>
        </w:rPr>
        <w:t>There were no transfers between Levels 1 and 2 during the year and there have been no changes in the valuation techniques used during the year for surplus assets</w:t>
      </w:r>
    </w:p>
    <w:p w:rsidR="00466A40" w:rsidRPr="00375FD4"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Pr="00375FD4" w:rsidRDefault="00466A40" w:rsidP="00466A40">
      <w:pPr>
        <w:spacing w:before="0" w:after="0"/>
        <w:jc w:val="both"/>
        <w:rPr>
          <w:rFonts w:ascii="Arial" w:hAnsi="Arial" w:cs="Arial"/>
          <w:b/>
        </w:rPr>
      </w:pPr>
    </w:p>
    <w:p w:rsidR="00990216" w:rsidRPr="000A3446" w:rsidRDefault="00466A40" w:rsidP="0078221B">
      <w:pPr>
        <w:pStyle w:val="Heading1"/>
        <w:spacing w:before="0"/>
        <w:rPr>
          <w:rFonts w:ascii="Arial" w:hAnsi="Arial" w:cs="Arial"/>
          <w:color w:val="auto"/>
          <w:sz w:val="20"/>
          <w:szCs w:val="20"/>
        </w:rPr>
      </w:pPr>
      <w:r>
        <w:rPr>
          <w:rFonts w:ascii="Arial" w:hAnsi="Arial" w:cs="Arial"/>
          <w:color w:val="auto"/>
          <w:sz w:val="20"/>
          <w:szCs w:val="20"/>
        </w:rPr>
        <w:t>Note 15</w:t>
      </w:r>
      <w:r w:rsidR="00990216" w:rsidRPr="000A3446">
        <w:rPr>
          <w:rFonts w:ascii="Arial" w:hAnsi="Arial" w:cs="Arial"/>
          <w:color w:val="auto"/>
          <w:sz w:val="20"/>
          <w:szCs w:val="20"/>
        </w:rPr>
        <w:t xml:space="preserve"> – Intangible Assets </w:t>
      </w:r>
    </w:p>
    <w:p w:rsidR="00990216" w:rsidRPr="00375FD4" w:rsidRDefault="00990216" w:rsidP="00990216">
      <w:pPr>
        <w:spacing w:before="0" w:after="0"/>
        <w:jc w:val="both"/>
        <w:rPr>
          <w:rFonts w:ascii="Arial" w:hAnsi="Arial" w:cs="Arial"/>
          <w:b/>
        </w:rPr>
      </w:pPr>
    </w:p>
    <w:p w:rsidR="00E505C1" w:rsidRDefault="00E505C1" w:rsidP="001F1E67">
      <w:pPr>
        <w:spacing w:before="0" w:after="0"/>
        <w:rPr>
          <w:rFonts w:ascii="Arial" w:hAnsi="Arial" w:cs="Arial"/>
        </w:rPr>
      </w:pPr>
      <w:r w:rsidRPr="00375FD4">
        <w:rPr>
          <w:rFonts w:ascii="Arial" w:hAnsi="Arial" w:cs="Arial"/>
        </w:rPr>
        <w:t>Expenditure on non-monetary assets that do not have physical substance but are controlled</w:t>
      </w:r>
      <w:r w:rsidR="00E76272">
        <w:rPr>
          <w:rFonts w:ascii="Arial" w:hAnsi="Arial" w:cs="Arial"/>
        </w:rPr>
        <w:t xml:space="preserve"> by the c</w:t>
      </w:r>
      <w:r w:rsidRPr="00375FD4">
        <w:rPr>
          <w:rFonts w:ascii="Arial" w:hAnsi="Arial" w:cs="Arial"/>
        </w:rPr>
        <w:t>ouncil as a result of past events (e.g. computer software and/or software licences) is capitalised when it is expected that future economic or service benefits w</w:t>
      </w:r>
      <w:r w:rsidR="00E76272">
        <w:rPr>
          <w:rFonts w:ascii="Arial" w:hAnsi="Arial" w:cs="Arial"/>
        </w:rPr>
        <w:t>ill flow from the asset to the c</w:t>
      </w:r>
      <w:r w:rsidRPr="00375FD4">
        <w:rPr>
          <w:rFonts w:ascii="Arial" w:hAnsi="Arial" w:cs="Arial"/>
        </w:rPr>
        <w:t>ouncil.</w:t>
      </w:r>
    </w:p>
    <w:p w:rsidR="00E505C1" w:rsidRDefault="00E505C1" w:rsidP="001F1E67">
      <w:pPr>
        <w:spacing w:before="0" w:after="0"/>
        <w:rPr>
          <w:rFonts w:ascii="Arial" w:hAnsi="Arial" w:cs="Arial"/>
        </w:rPr>
      </w:pPr>
    </w:p>
    <w:p w:rsidR="00990216" w:rsidRPr="00375FD4" w:rsidRDefault="00E76272" w:rsidP="001F1E67">
      <w:pPr>
        <w:spacing w:before="0" w:after="0"/>
        <w:rPr>
          <w:rFonts w:ascii="Arial" w:hAnsi="Arial" w:cs="Arial"/>
        </w:rPr>
      </w:pPr>
      <w:r>
        <w:rPr>
          <w:rFonts w:ascii="Arial" w:hAnsi="Arial" w:cs="Arial"/>
        </w:rPr>
        <w:t>The c</w:t>
      </w:r>
      <w:r w:rsidR="00990216" w:rsidRPr="00375FD4">
        <w:rPr>
          <w:rFonts w:ascii="Arial" w:hAnsi="Arial" w:cs="Arial"/>
        </w:rPr>
        <w:t xml:space="preserve">ouncil accounts for its software as intangible assets, to the extent that the software is not an integral part of a particular IT system and accounted for as part of the hardware item of property, plant and equipment.  The intangible assets include purchased licences. </w:t>
      </w:r>
    </w:p>
    <w:p w:rsidR="00990216" w:rsidRPr="00375FD4" w:rsidRDefault="00990216" w:rsidP="001F1E67">
      <w:pPr>
        <w:spacing w:before="0" w:after="0"/>
        <w:rPr>
          <w:rFonts w:ascii="Arial" w:hAnsi="Arial" w:cs="Arial"/>
        </w:rPr>
      </w:pPr>
    </w:p>
    <w:p w:rsidR="00990216" w:rsidRPr="00375FD4" w:rsidRDefault="00477BA3" w:rsidP="001F1E67">
      <w:pPr>
        <w:spacing w:before="0" w:after="0"/>
        <w:rPr>
          <w:rFonts w:ascii="Arial" w:hAnsi="Arial" w:cs="Arial"/>
        </w:rPr>
      </w:pPr>
      <w:r>
        <w:rPr>
          <w:rFonts w:ascii="Arial" w:hAnsi="Arial" w:cs="Arial"/>
        </w:rPr>
        <w:t>Where appropriate, t</w:t>
      </w:r>
      <w:r w:rsidR="00990216" w:rsidRPr="00375FD4">
        <w:rPr>
          <w:rFonts w:ascii="Arial" w:hAnsi="Arial" w:cs="Arial"/>
        </w:rPr>
        <w:t xml:space="preserve">he carrying amount of intangible assets is amortised on a straight line basis. The </w:t>
      </w:r>
      <w:r w:rsidR="00990216" w:rsidRPr="0059733C">
        <w:rPr>
          <w:rFonts w:ascii="Arial" w:hAnsi="Arial" w:cs="Arial"/>
        </w:rPr>
        <w:t>amortisation</w:t>
      </w:r>
      <w:r w:rsidR="00AF7EEC" w:rsidRPr="0059733C">
        <w:rPr>
          <w:rFonts w:ascii="Arial" w:hAnsi="Arial" w:cs="Arial"/>
        </w:rPr>
        <w:t xml:space="preserve"> </w:t>
      </w:r>
      <w:r w:rsidR="00AF7EEC" w:rsidRPr="002A36EB">
        <w:rPr>
          <w:rFonts w:ascii="Arial" w:hAnsi="Arial" w:cs="Arial"/>
        </w:rPr>
        <w:t>of £</w:t>
      </w:r>
      <w:r w:rsidR="002A36EB" w:rsidRPr="002A36EB">
        <w:rPr>
          <w:rFonts w:ascii="Arial" w:hAnsi="Arial" w:cs="Arial"/>
        </w:rPr>
        <w:t>0.035</w:t>
      </w:r>
      <w:r w:rsidR="00AF7EEC" w:rsidRPr="002A36EB">
        <w:rPr>
          <w:rFonts w:ascii="Arial" w:hAnsi="Arial" w:cs="Arial"/>
        </w:rPr>
        <w:t>m</w:t>
      </w:r>
      <w:r w:rsidR="00112650" w:rsidRPr="002A36EB">
        <w:rPr>
          <w:rFonts w:ascii="Arial" w:hAnsi="Arial" w:cs="Arial"/>
        </w:rPr>
        <w:t xml:space="preserve"> charged</w:t>
      </w:r>
      <w:r w:rsidR="00112650">
        <w:rPr>
          <w:rFonts w:ascii="Arial" w:hAnsi="Arial" w:cs="Arial"/>
        </w:rPr>
        <w:t xml:space="preserve"> to revenue in 2019/20</w:t>
      </w:r>
      <w:r w:rsidR="00990216" w:rsidRPr="0059733C">
        <w:rPr>
          <w:rFonts w:ascii="Arial" w:hAnsi="Arial" w:cs="Arial"/>
        </w:rPr>
        <w:t xml:space="preserve"> was charged to Information Services. The</w:t>
      </w:r>
      <w:r w:rsidR="00990216" w:rsidRPr="008C5E10">
        <w:rPr>
          <w:rFonts w:ascii="Arial" w:hAnsi="Arial" w:cs="Arial"/>
        </w:rPr>
        <w:t xml:space="preserve"> ch</w:t>
      </w:r>
      <w:r w:rsidR="008C5E10" w:rsidRPr="008C5E10">
        <w:rPr>
          <w:rFonts w:ascii="Arial" w:hAnsi="Arial" w:cs="Arial"/>
        </w:rPr>
        <w:t>arge to Information Services is</w:t>
      </w:r>
      <w:r w:rsidR="00990216" w:rsidRPr="008C5E10">
        <w:rPr>
          <w:rFonts w:ascii="Arial" w:hAnsi="Arial" w:cs="Arial"/>
        </w:rPr>
        <w:t xml:space="preserve"> then absorbed as an overhead across all the service headings in the Net Cost of services. It is not possible to quantify exactly how much of the amortisation is attributable to each service heading.</w:t>
      </w:r>
      <w:r w:rsidR="00990216" w:rsidRPr="00375FD4">
        <w:rPr>
          <w:rFonts w:ascii="Arial" w:hAnsi="Arial" w:cs="Arial"/>
        </w:rPr>
        <w:t xml:space="preserve"> </w:t>
      </w:r>
    </w:p>
    <w:p w:rsidR="00990216" w:rsidRPr="00375FD4" w:rsidRDefault="00990216" w:rsidP="001F1E67">
      <w:pPr>
        <w:spacing w:before="0" w:after="0"/>
        <w:rPr>
          <w:rFonts w:ascii="Arial" w:hAnsi="Arial" w:cs="Arial"/>
        </w:rPr>
      </w:pPr>
    </w:p>
    <w:p w:rsidR="00887085" w:rsidRDefault="00990216" w:rsidP="00466A40">
      <w:pPr>
        <w:spacing w:before="0" w:after="0"/>
        <w:rPr>
          <w:rFonts w:ascii="Arial" w:hAnsi="Arial" w:cs="Arial"/>
        </w:rPr>
      </w:pPr>
      <w:r w:rsidRPr="00375FD4">
        <w:rPr>
          <w:rFonts w:ascii="Arial" w:hAnsi="Arial" w:cs="Arial"/>
        </w:rPr>
        <w:t>The movem</w:t>
      </w:r>
      <w:r w:rsidR="00B34DD5">
        <w:rPr>
          <w:rFonts w:ascii="Arial" w:hAnsi="Arial" w:cs="Arial"/>
        </w:rPr>
        <w:t>ent on intangible a</w:t>
      </w:r>
      <w:r w:rsidR="00C84ECB">
        <w:rPr>
          <w:rFonts w:ascii="Arial" w:hAnsi="Arial" w:cs="Arial"/>
        </w:rPr>
        <w:t>sset</w:t>
      </w:r>
      <w:r w:rsidR="00B34DD5">
        <w:rPr>
          <w:rFonts w:ascii="Arial" w:hAnsi="Arial" w:cs="Arial"/>
        </w:rPr>
        <w:t xml:space="preserve"> during the year wa</w:t>
      </w:r>
      <w:r w:rsidR="00466A40">
        <w:rPr>
          <w:rFonts w:ascii="Arial" w:hAnsi="Arial" w:cs="Arial"/>
        </w:rPr>
        <w:t>s as follows:</w:t>
      </w:r>
    </w:p>
    <w:p w:rsidR="00466A40" w:rsidRPr="00375FD4" w:rsidRDefault="00466A40" w:rsidP="00466A40">
      <w:pPr>
        <w:spacing w:before="0" w:after="0"/>
        <w:rPr>
          <w:rFonts w:ascii="Arial" w:hAnsi="Arial" w:cs="Arial"/>
        </w:rPr>
      </w:pPr>
    </w:p>
    <w:p w:rsidR="00AF7EEC" w:rsidRDefault="009C78FD" w:rsidP="00754072">
      <w:pPr>
        <w:spacing w:before="0" w:after="0"/>
        <w:jc w:val="both"/>
        <w:rPr>
          <w:rFonts w:ascii="Arial" w:hAnsi="Arial" w:cs="Arial"/>
          <w:b/>
        </w:rPr>
      </w:pPr>
      <w:r w:rsidRPr="009C78FD">
        <w:rPr>
          <w:noProof/>
          <w:lang w:eastAsia="en-GB"/>
        </w:rPr>
        <w:drawing>
          <wp:inline distT="0" distB="0" distL="0" distR="0">
            <wp:extent cx="4019550" cy="2114550"/>
            <wp:effectExtent l="0" t="0" r="0" b="0"/>
            <wp:docPr id="6" name="Picture 6" descr="movement in 2019/20 of intangible assets" title="note 15 intangible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19550" cy="2114550"/>
                    </a:xfrm>
                    <a:prstGeom prst="rect">
                      <a:avLst/>
                    </a:prstGeom>
                    <a:noFill/>
                    <a:ln>
                      <a:noFill/>
                    </a:ln>
                  </pic:spPr>
                </pic:pic>
              </a:graphicData>
            </a:graphic>
          </wp:inline>
        </w:drawing>
      </w:r>
    </w:p>
    <w:p w:rsidR="009C78FD" w:rsidRPr="00375FD4" w:rsidRDefault="009C78FD" w:rsidP="00754072">
      <w:pPr>
        <w:spacing w:before="0" w:after="0"/>
        <w:jc w:val="both"/>
        <w:rPr>
          <w:rFonts w:ascii="Arial" w:hAnsi="Arial" w:cs="Arial"/>
          <w:b/>
        </w:rPr>
      </w:pPr>
    </w:p>
    <w:p w:rsidR="00990216" w:rsidRDefault="00466A40" w:rsidP="0078221B">
      <w:pPr>
        <w:pStyle w:val="Heading1"/>
        <w:spacing w:before="0"/>
        <w:rPr>
          <w:rFonts w:ascii="Arial" w:hAnsi="Arial" w:cs="Arial"/>
          <w:color w:val="auto"/>
          <w:sz w:val="20"/>
          <w:szCs w:val="20"/>
        </w:rPr>
      </w:pPr>
      <w:r>
        <w:rPr>
          <w:rFonts w:ascii="Arial" w:hAnsi="Arial" w:cs="Arial"/>
          <w:color w:val="auto"/>
          <w:sz w:val="20"/>
          <w:szCs w:val="20"/>
        </w:rPr>
        <w:t>Note 16</w:t>
      </w:r>
      <w:r w:rsidR="00990216" w:rsidRPr="000A3446">
        <w:rPr>
          <w:rFonts w:ascii="Arial" w:hAnsi="Arial" w:cs="Arial"/>
          <w:color w:val="auto"/>
          <w:sz w:val="20"/>
          <w:szCs w:val="20"/>
        </w:rPr>
        <w:t xml:space="preserve"> – Assets Held for Sale</w:t>
      </w:r>
    </w:p>
    <w:p w:rsidR="0065142F" w:rsidRDefault="0065142F" w:rsidP="0065142F"/>
    <w:p w:rsidR="00B34DD5" w:rsidRPr="00375FD4" w:rsidRDefault="00B34DD5" w:rsidP="001F1E67">
      <w:pPr>
        <w:spacing w:before="0" w:after="0"/>
        <w:rPr>
          <w:rFonts w:ascii="Arial" w:hAnsi="Arial" w:cs="Arial"/>
        </w:rPr>
      </w:pPr>
      <w:r w:rsidRPr="00375FD4">
        <w:rPr>
          <w:rFonts w:ascii="Arial" w:hAnsi="Arial" w:cs="Arial"/>
        </w:rPr>
        <w:t>Assets held for sale are those where the carrying amount will be recovered principally through a sale transaction rather than through continued use.  Before an asset can be classified as held for sale, the following conditions must be met:</w:t>
      </w:r>
    </w:p>
    <w:p w:rsidR="00B34DD5" w:rsidRPr="00375FD4" w:rsidRDefault="00B34DD5" w:rsidP="00B34DD5">
      <w:pPr>
        <w:spacing w:before="0" w:after="0"/>
        <w:ind w:left="709"/>
        <w:jc w:val="both"/>
        <w:rPr>
          <w:rFonts w:ascii="Arial" w:hAnsi="Arial" w:cs="Arial"/>
        </w:rPr>
      </w:pPr>
    </w:p>
    <w:p w:rsidR="00B34DD5" w:rsidRPr="00375FD4" w:rsidRDefault="00B34DD5" w:rsidP="00EA6E47">
      <w:pPr>
        <w:numPr>
          <w:ilvl w:val="0"/>
          <w:numId w:val="32"/>
        </w:numPr>
        <w:tabs>
          <w:tab w:val="clear" w:pos="425"/>
          <w:tab w:val="num" w:pos="851"/>
        </w:tabs>
        <w:spacing w:before="0" w:after="0"/>
        <w:ind w:left="709" w:hanging="709"/>
        <w:jc w:val="both"/>
        <w:rPr>
          <w:rFonts w:ascii="Arial" w:hAnsi="Arial" w:cs="Arial"/>
        </w:rPr>
      </w:pPr>
      <w:r w:rsidRPr="00375FD4">
        <w:rPr>
          <w:rFonts w:ascii="Arial" w:hAnsi="Arial" w:cs="Arial"/>
        </w:rPr>
        <w:t>the asset must be available for immediate sale in its present condition;</w:t>
      </w:r>
    </w:p>
    <w:p w:rsidR="00B34DD5" w:rsidRPr="00375FD4" w:rsidRDefault="00B34DD5" w:rsidP="00EA6E47">
      <w:pPr>
        <w:numPr>
          <w:ilvl w:val="0"/>
          <w:numId w:val="32"/>
        </w:numPr>
        <w:tabs>
          <w:tab w:val="clear" w:pos="425"/>
          <w:tab w:val="num" w:pos="851"/>
        </w:tabs>
        <w:spacing w:before="0" w:after="0"/>
        <w:ind w:left="709" w:hanging="709"/>
        <w:jc w:val="both"/>
        <w:rPr>
          <w:rFonts w:ascii="Arial" w:hAnsi="Arial" w:cs="Arial"/>
        </w:rPr>
      </w:pPr>
      <w:r w:rsidRPr="00375FD4">
        <w:rPr>
          <w:rFonts w:ascii="Arial" w:hAnsi="Arial" w:cs="Arial"/>
        </w:rPr>
        <w:t>the sale must be highly probable and an active programme to locate a buyer and complete the plan must have been initiated;</w:t>
      </w:r>
    </w:p>
    <w:p w:rsidR="00B34DD5" w:rsidRPr="00375FD4" w:rsidRDefault="00B34DD5" w:rsidP="00EA6E47">
      <w:pPr>
        <w:numPr>
          <w:ilvl w:val="0"/>
          <w:numId w:val="32"/>
        </w:numPr>
        <w:tabs>
          <w:tab w:val="clear" w:pos="425"/>
          <w:tab w:val="num" w:pos="851"/>
        </w:tabs>
        <w:spacing w:before="0" w:after="0"/>
        <w:ind w:left="709" w:hanging="709"/>
        <w:jc w:val="both"/>
        <w:rPr>
          <w:rFonts w:ascii="Arial" w:hAnsi="Arial" w:cs="Arial"/>
        </w:rPr>
      </w:pPr>
      <w:r w:rsidRPr="00375FD4">
        <w:rPr>
          <w:rFonts w:ascii="Arial" w:hAnsi="Arial" w:cs="Arial"/>
        </w:rPr>
        <w:t>the asset must be actively marketed for sale at a price that is reasonable in relation to its current fair value; and</w:t>
      </w:r>
    </w:p>
    <w:p w:rsidR="00B34DD5" w:rsidRPr="00B34DD5" w:rsidRDefault="00B34DD5" w:rsidP="00EA6E47">
      <w:pPr>
        <w:numPr>
          <w:ilvl w:val="0"/>
          <w:numId w:val="32"/>
        </w:numPr>
        <w:tabs>
          <w:tab w:val="clear" w:pos="425"/>
          <w:tab w:val="num" w:pos="851"/>
        </w:tabs>
        <w:spacing w:before="0" w:after="0"/>
        <w:ind w:left="709" w:hanging="709"/>
        <w:jc w:val="both"/>
        <w:rPr>
          <w:rFonts w:ascii="Arial" w:hAnsi="Arial" w:cs="Arial"/>
        </w:rPr>
      </w:pPr>
      <w:r w:rsidRPr="00375FD4">
        <w:rPr>
          <w:rFonts w:ascii="Arial" w:hAnsi="Arial" w:cs="Arial"/>
        </w:rPr>
        <w:t>the sale should be expected to qualify for recognition as a completed sale within one year of the date of classification.</w:t>
      </w:r>
    </w:p>
    <w:p w:rsidR="00B34DD5" w:rsidRDefault="00B34DD5" w:rsidP="00B34DD5">
      <w:pPr>
        <w:spacing w:before="0" w:after="0"/>
        <w:jc w:val="both"/>
        <w:rPr>
          <w:rFonts w:ascii="Arial" w:hAnsi="Arial" w:cs="Arial"/>
        </w:rPr>
      </w:pPr>
    </w:p>
    <w:p w:rsidR="000B6458" w:rsidRDefault="00E76272" w:rsidP="000B6458">
      <w:pPr>
        <w:spacing w:before="0" w:after="0"/>
        <w:rPr>
          <w:rFonts w:ascii="Arial" w:eastAsiaTheme="minorHAnsi" w:hAnsi="Arial" w:cs="Arial"/>
        </w:rPr>
      </w:pPr>
      <w:r>
        <w:rPr>
          <w:rFonts w:ascii="Arial" w:eastAsiaTheme="minorHAnsi" w:hAnsi="Arial" w:cs="Arial"/>
        </w:rPr>
        <w:t>The c</w:t>
      </w:r>
      <w:r w:rsidR="000B6458" w:rsidRPr="00887085">
        <w:rPr>
          <w:rFonts w:ascii="Arial" w:eastAsiaTheme="minorHAnsi" w:hAnsi="Arial" w:cs="Arial"/>
        </w:rPr>
        <w:t>ouncil</w:t>
      </w:r>
      <w:r w:rsidR="000B6458" w:rsidRPr="00B67633">
        <w:rPr>
          <w:rFonts w:ascii="Arial" w:eastAsiaTheme="minorHAnsi" w:hAnsi="Arial" w:cs="Arial"/>
        </w:rPr>
        <w:t xml:space="preserve"> measures its non-current assets held for sale at fair value at each reporting date.  The fair value of non-current assets held for sale have been based on the market value approach using current market conditions and recent sales prices and other relevant information for similar assets in the West Dunbartonshire area together with evidence across the wider West of Scotland.  Market conditions are such that similar properties are marketed, purchased and sold actively and the level of observable inputs are sufficient, leading to the properties being categorised at Level 2 in the fair value hierarchy.</w:t>
      </w:r>
    </w:p>
    <w:p w:rsidR="000B6458" w:rsidRDefault="000B6458" w:rsidP="000B6458">
      <w:pPr>
        <w:spacing w:before="0" w:after="0"/>
        <w:rPr>
          <w:rFonts w:ascii="Arial" w:eastAsiaTheme="minorHAnsi" w:hAnsi="Arial" w:cs="Arial"/>
        </w:rPr>
      </w:pPr>
    </w:p>
    <w:p w:rsidR="000B6458" w:rsidRPr="00375FD4" w:rsidRDefault="000B6458" w:rsidP="000B6458">
      <w:pPr>
        <w:spacing w:before="0" w:after="0"/>
        <w:jc w:val="both"/>
        <w:rPr>
          <w:rFonts w:ascii="Arial" w:hAnsi="Arial" w:cs="Arial"/>
        </w:rPr>
      </w:pPr>
      <w:r w:rsidRPr="00B67633">
        <w:rPr>
          <w:rFonts w:ascii="Arial" w:hAnsi="Arial" w:cs="Arial"/>
          <w:lang w:eastAsia="en-GB"/>
        </w:rPr>
        <w:t>There were no transfers between Levels 1 and 2 during the year and there have been no changes in the valuation techniques used during the year for non-current assets held for sale.</w:t>
      </w:r>
    </w:p>
    <w:p w:rsidR="00466A40" w:rsidRPr="00375FD4"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Default="00466A40" w:rsidP="00466A40">
      <w:pPr>
        <w:spacing w:before="0" w:after="0"/>
        <w:ind w:left="720"/>
        <w:jc w:val="both"/>
        <w:rPr>
          <w:rFonts w:ascii="Arial" w:hAnsi="Arial" w:cs="Arial"/>
        </w:rPr>
      </w:pPr>
    </w:p>
    <w:p w:rsidR="00466A40" w:rsidRDefault="00466A40" w:rsidP="00466A40">
      <w:pPr>
        <w:pStyle w:val="Heading1"/>
        <w:spacing w:before="0"/>
        <w:rPr>
          <w:rFonts w:ascii="Arial" w:hAnsi="Arial" w:cs="Arial"/>
          <w:color w:val="auto"/>
          <w:sz w:val="20"/>
          <w:szCs w:val="20"/>
        </w:rPr>
      </w:pPr>
      <w:r>
        <w:rPr>
          <w:rFonts w:ascii="Arial" w:hAnsi="Arial" w:cs="Arial"/>
          <w:color w:val="auto"/>
          <w:sz w:val="20"/>
          <w:szCs w:val="20"/>
        </w:rPr>
        <w:t>Note 16</w:t>
      </w:r>
      <w:r w:rsidRPr="000A3446">
        <w:rPr>
          <w:rFonts w:ascii="Arial" w:hAnsi="Arial" w:cs="Arial"/>
          <w:color w:val="auto"/>
          <w:sz w:val="20"/>
          <w:szCs w:val="20"/>
        </w:rPr>
        <w:t xml:space="preserve"> – Assets Held for Sale</w:t>
      </w:r>
      <w:r>
        <w:rPr>
          <w:rFonts w:ascii="Arial" w:hAnsi="Arial" w:cs="Arial"/>
          <w:color w:val="auto"/>
          <w:sz w:val="20"/>
          <w:szCs w:val="20"/>
        </w:rPr>
        <w:t xml:space="preserve"> (cont’d)</w:t>
      </w:r>
    </w:p>
    <w:p w:rsidR="000B6458" w:rsidRDefault="000B6458" w:rsidP="000B6458">
      <w:pPr>
        <w:spacing w:before="0" w:after="0"/>
        <w:jc w:val="both"/>
        <w:rPr>
          <w:rFonts w:ascii="Arial" w:hAnsi="Arial" w:cs="Arial"/>
        </w:rPr>
      </w:pPr>
    </w:p>
    <w:p w:rsidR="00B34DD5" w:rsidRDefault="00B34DD5" w:rsidP="00857E41">
      <w:pPr>
        <w:spacing w:before="0" w:after="0"/>
        <w:jc w:val="both"/>
        <w:rPr>
          <w:rFonts w:ascii="Arial" w:hAnsi="Arial" w:cs="Arial"/>
        </w:rPr>
      </w:pPr>
      <w:r>
        <w:rPr>
          <w:rFonts w:ascii="Arial" w:hAnsi="Arial" w:cs="Arial"/>
        </w:rPr>
        <w:t>The movement on a</w:t>
      </w:r>
      <w:r w:rsidRPr="00B34DD5">
        <w:rPr>
          <w:rFonts w:ascii="Arial" w:hAnsi="Arial" w:cs="Arial"/>
        </w:rPr>
        <w:t>sset</w:t>
      </w:r>
      <w:r>
        <w:rPr>
          <w:rFonts w:ascii="Arial" w:hAnsi="Arial" w:cs="Arial"/>
        </w:rPr>
        <w:t>s held for sale during the year was</w:t>
      </w:r>
      <w:r w:rsidRPr="00B34DD5">
        <w:rPr>
          <w:rFonts w:ascii="Arial" w:hAnsi="Arial" w:cs="Arial"/>
        </w:rPr>
        <w:t xml:space="preserve"> as follows:</w:t>
      </w:r>
    </w:p>
    <w:p w:rsidR="00112650" w:rsidRPr="0065142F" w:rsidRDefault="00112650" w:rsidP="00857E41">
      <w:pPr>
        <w:spacing w:before="0" w:after="0"/>
        <w:jc w:val="both"/>
      </w:pPr>
    </w:p>
    <w:p w:rsidR="0065142F" w:rsidRDefault="0052517B" w:rsidP="00AF7EEC">
      <w:pPr>
        <w:spacing w:before="0" w:after="0" w:line="360" w:lineRule="auto"/>
        <w:ind w:left="709"/>
        <w:jc w:val="both"/>
        <w:rPr>
          <w:rFonts w:ascii="Arial" w:hAnsi="Arial" w:cs="Arial"/>
          <w:sz w:val="16"/>
          <w:szCs w:val="16"/>
        </w:rPr>
      </w:pPr>
      <w:r w:rsidRPr="0052517B">
        <w:rPr>
          <w:noProof/>
          <w:lang w:eastAsia="en-GB"/>
        </w:rPr>
        <w:drawing>
          <wp:inline distT="0" distB="0" distL="0" distR="0">
            <wp:extent cx="4013835" cy="1626870"/>
            <wp:effectExtent l="0" t="0" r="5715" b="0"/>
            <wp:docPr id="237" name="Picture 237" descr="detail of movement on assets held for sale" title="note 16 assets held for s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13835" cy="1626870"/>
                    </a:xfrm>
                    <a:prstGeom prst="rect">
                      <a:avLst/>
                    </a:prstGeom>
                    <a:noFill/>
                    <a:ln>
                      <a:noFill/>
                    </a:ln>
                  </pic:spPr>
                </pic:pic>
              </a:graphicData>
            </a:graphic>
          </wp:inline>
        </w:drawing>
      </w:r>
    </w:p>
    <w:p w:rsidR="00BD14DA" w:rsidRPr="00696CFB" w:rsidRDefault="00990216" w:rsidP="00696CFB">
      <w:pPr>
        <w:spacing w:before="0" w:after="0" w:line="360" w:lineRule="auto"/>
        <w:ind w:left="709"/>
        <w:jc w:val="both"/>
        <w:rPr>
          <w:rFonts w:ascii="Arial" w:hAnsi="Arial" w:cs="Arial"/>
          <w:sz w:val="16"/>
          <w:szCs w:val="16"/>
        </w:rPr>
      </w:pPr>
      <w:r w:rsidRPr="009A6255">
        <w:rPr>
          <w:rFonts w:ascii="Arial" w:hAnsi="Arial" w:cs="Arial"/>
          <w:sz w:val="16"/>
          <w:szCs w:val="16"/>
        </w:rPr>
        <w:t>*All assets values listed are in respect o</w:t>
      </w:r>
      <w:r w:rsidR="00696CFB">
        <w:rPr>
          <w:rFonts w:ascii="Arial" w:hAnsi="Arial" w:cs="Arial"/>
          <w:sz w:val="16"/>
          <w:szCs w:val="16"/>
        </w:rPr>
        <w:t>f Property, Plant and Equipment</w:t>
      </w:r>
    </w:p>
    <w:p w:rsidR="00466A40" w:rsidRDefault="00466A40" w:rsidP="003156C5">
      <w:pPr>
        <w:pStyle w:val="Heading1"/>
        <w:spacing w:before="0"/>
        <w:rPr>
          <w:rFonts w:ascii="Arial" w:hAnsi="Arial" w:cs="Arial"/>
          <w:color w:val="auto"/>
          <w:sz w:val="20"/>
          <w:szCs w:val="20"/>
        </w:rPr>
      </w:pPr>
    </w:p>
    <w:p w:rsidR="003156C5" w:rsidRDefault="00466A40" w:rsidP="003156C5">
      <w:pPr>
        <w:pStyle w:val="Heading1"/>
        <w:spacing w:before="0"/>
        <w:rPr>
          <w:rFonts w:ascii="Arial" w:hAnsi="Arial" w:cs="Arial"/>
          <w:color w:val="auto"/>
          <w:sz w:val="20"/>
          <w:szCs w:val="20"/>
        </w:rPr>
      </w:pPr>
      <w:r>
        <w:rPr>
          <w:rFonts w:ascii="Arial" w:hAnsi="Arial" w:cs="Arial"/>
          <w:color w:val="auto"/>
          <w:sz w:val="20"/>
          <w:szCs w:val="20"/>
        </w:rPr>
        <w:t>Note 17</w:t>
      </w:r>
      <w:r w:rsidR="003156C5" w:rsidRPr="000A3446">
        <w:rPr>
          <w:rFonts w:ascii="Arial" w:hAnsi="Arial" w:cs="Arial"/>
          <w:color w:val="auto"/>
          <w:sz w:val="20"/>
          <w:szCs w:val="20"/>
        </w:rPr>
        <w:t xml:space="preserve"> - Heritage Assets</w:t>
      </w:r>
    </w:p>
    <w:p w:rsidR="003156C5" w:rsidRDefault="003156C5" w:rsidP="003156C5"/>
    <w:p w:rsidR="003156C5" w:rsidRPr="002F2BC2" w:rsidRDefault="003156C5" w:rsidP="003156C5">
      <w:pPr>
        <w:tabs>
          <w:tab w:val="left" w:pos="851"/>
          <w:tab w:val="left" w:pos="1701"/>
        </w:tabs>
        <w:spacing w:before="0" w:after="0"/>
        <w:rPr>
          <w:rFonts w:ascii="Arial" w:hAnsi="Arial" w:cs="Arial"/>
        </w:rPr>
      </w:pPr>
      <w:r w:rsidRPr="00375FD4">
        <w:rPr>
          <w:rFonts w:ascii="Arial" w:hAnsi="Arial" w:cs="Arial"/>
        </w:rPr>
        <w:t xml:space="preserve">Heritage assets are </w:t>
      </w:r>
      <w:r>
        <w:rPr>
          <w:rFonts w:ascii="Arial" w:hAnsi="Arial" w:cs="Arial"/>
        </w:rPr>
        <w:t xml:space="preserve">both </w:t>
      </w:r>
      <w:r w:rsidRPr="00375FD4">
        <w:rPr>
          <w:rFonts w:ascii="Arial" w:hAnsi="Arial" w:cs="Arial"/>
        </w:rPr>
        <w:t>tangible and intangible assets with historic, artistic, scientific, technological, geographical or environmental qualities</w:t>
      </w:r>
      <w:r>
        <w:rPr>
          <w:rFonts w:ascii="Arial" w:hAnsi="Arial" w:cs="Arial"/>
        </w:rPr>
        <w:t>, which</w:t>
      </w:r>
      <w:r w:rsidRPr="00375FD4">
        <w:rPr>
          <w:rFonts w:ascii="Arial" w:hAnsi="Arial" w:cs="Arial"/>
        </w:rPr>
        <w:t xml:space="preserve"> are held and maintained primarily for their contribution to knowledge and culture.</w:t>
      </w:r>
      <w:r w:rsidRPr="00375FD4">
        <w:rPr>
          <w:rFonts w:ascii="Arial" w:hAnsi="Arial" w:cs="Arial"/>
          <w:lang w:val="en-US"/>
        </w:rPr>
        <w:t>The authority holds heritage assets of six main types:</w:t>
      </w:r>
    </w:p>
    <w:p w:rsidR="00C60C0D" w:rsidRPr="00375FD4" w:rsidRDefault="00C60C0D" w:rsidP="00E04EE8">
      <w:pPr>
        <w:tabs>
          <w:tab w:val="left" w:pos="851"/>
          <w:tab w:val="left" w:pos="1701"/>
        </w:tabs>
        <w:autoSpaceDE w:val="0"/>
        <w:autoSpaceDN w:val="0"/>
        <w:adjustRightInd w:val="0"/>
        <w:spacing w:before="0" w:after="0"/>
        <w:ind w:left="1276" w:hanging="992"/>
        <w:rPr>
          <w:rFonts w:ascii="Arial" w:hAnsi="Arial" w:cs="Arial"/>
          <w:lang w:val="en-US"/>
        </w:rPr>
      </w:pPr>
    </w:p>
    <w:p w:rsidR="00E04EE8" w:rsidRPr="00375FD4"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Models of Ships;</w:t>
      </w:r>
    </w:p>
    <w:p w:rsidR="00E04EE8" w:rsidRPr="00375FD4"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Works of Art;</w:t>
      </w:r>
    </w:p>
    <w:p w:rsidR="00E04EE8" w:rsidRPr="00375FD4"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Silver and Commemorative Ware;</w:t>
      </w:r>
    </w:p>
    <w:p w:rsidR="00E04EE8" w:rsidRPr="00375FD4"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Civic Regalia (Robes and Chains);</w:t>
      </w:r>
    </w:p>
    <w:p w:rsidR="00E04EE8" w:rsidRPr="00375FD4"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Sewing Machine Collections;  and</w:t>
      </w:r>
    </w:p>
    <w:p w:rsidR="00E04EE8"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375FD4">
        <w:rPr>
          <w:rFonts w:ascii="Arial" w:hAnsi="Arial" w:cs="Arial"/>
          <w:lang w:val="en-US"/>
        </w:rPr>
        <w:t>Listed Buildings and Scheduled Ancient Monuments.</w:t>
      </w:r>
    </w:p>
    <w:p w:rsidR="002F2BC2" w:rsidRDefault="002F2BC2" w:rsidP="00E04EE8">
      <w:pPr>
        <w:tabs>
          <w:tab w:val="left" w:pos="851"/>
          <w:tab w:val="left" w:pos="1701"/>
        </w:tabs>
        <w:autoSpaceDE w:val="0"/>
        <w:autoSpaceDN w:val="0"/>
        <w:adjustRightInd w:val="0"/>
        <w:spacing w:before="0" w:after="0"/>
        <w:ind w:left="709"/>
        <w:jc w:val="both"/>
        <w:rPr>
          <w:rFonts w:ascii="Arial" w:hAnsi="Arial" w:cs="Arial"/>
          <w:lang w:val="en-US"/>
        </w:rPr>
      </w:pPr>
    </w:p>
    <w:p w:rsidR="00F43795" w:rsidRDefault="00F43795" w:rsidP="001F1E67">
      <w:pPr>
        <w:tabs>
          <w:tab w:val="left" w:pos="851"/>
          <w:tab w:val="left" w:pos="1701"/>
        </w:tabs>
        <w:autoSpaceDE w:val="0"/>
        <w:autoSpaceDN w:val="0"/>
        <w:adjustRightInd w:val="0"/>
        <w:spacing w:before="0" w:after="0"/>
        <w:jc w:val="both"/>
        <w:rPr>
          <w:rFonts w:ascii="Arial" w:hAnsi="Arial" w:cs="Arial"/>
          <w:lang w:val="en-US"/>
        </w:rPr>
      </w:pPr>
      <w:r>
        <w:rPr>
          <w:rFonts w:ascii="Arial" w:hAnsi="Arial" w:cs="Arial"/>
          <w:lang w:val="en-US"/>
        </w:rPr>
        <w:t>The valuati</w:t>
      </w:r>
      <w:r w:rsidR="00DD6B67">
        <w:rPr>
          <w:rFonts w:ascii="Arial" w:hAnsi="Arial" w:cs="Arial"/>
          <w:lang w:val="en-US"/>
        </w:rPr>
        <w:t>on of these assets held on the balance sheet as detailed below:</w:t>
      </w:r>
    </w:p>
    <w:p w:rsidR="00F43795" w:rsidRDefault="00F43795" w:rsidP="00E04EE8">
      <w:pPr>
        <w:tabs>
          <w:tab w:val="left" w:pos="851"/>
          <w:tab w:val="left" w:pos="1701"/>
        </w:tabs>
        <w:autoSpaceDE w:val="0"/>
        <w:autoSpaceDN w:val="0"/>
        <w:adjustRightInd w:val="0"/>
        <w:spacing w:before="0" w:after="0"/>
        <w:ind w:left="709"/>
        <w:jc w:val="both"/>
        <w:rPr>
          <w:rFonts w:ascii="Arial" w:hAnsi="Arial" w:cs="Arial"/>
          <w:lang w:val="en-US"/>
        </w:rPr>
      </w:pPr>
    </w:p>
    <w:p w:rsidR="00F43795" w:rsidRDefault="009C78FD" w:rsidP="009C78FD">
      <w:pPr>
        <w:tabs>
          <w:tab w:val="left" w:pos="851"/>
          <w:tab w:val="left" w:pos="1701"/>
        </w:tabs>
        <w:autoSpaceDE w:val="0"/>
        <w:autoSpaceDN w:val="0"/>
        <w:adjustRightInd w:val="0"/>
        <w:spacing w:before="0" w:after="0"/>
        <w:ind w:left="709"/>
        <w:jc w:val="both"/>
        <w:rPr>
          <w:rFonts w:ascii="Arial" w:hAnsi="Arial" w:cs="Arial"/>
          <w:lang w:val="en-US"/>
        </w:rPr>
      </w:pPr>
      <w:r w:rsidRPr="009C78FD">
        <w:rPr>
          <w:noProof/>
          <w:lang w:eastAsia="en-GB"/>
        </w:rPr>
        <w:drawing>
          <wp:inline distT="0" distB="0" distL="0" distR="0" wp14:anchorId="59307AA4" wp14:editId="33DDCF14">
            <wp:extent cx="4238625" cy="819150"/>
            <wp:effectExtent l="0" t="0" r="9525" b="0"/>
            <wp:docPr id="7" name="Picture 7" descr="movement in heritage assets" title="note 17 heritage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238625" cy="819150"/>
                    </a:xfrm>
                    <a:prstGeom prst="rect">
                      <a:avLst/>
                    </a:prstGeom>
                    <a:noFill/>
                    <a:ln>
                      <a:noFill/>
                    </a:ln>
                  </pic:spPr>
                </pic:pic>
              </a:graphicData>
            </a:graphic>
          </wp:inline>
        </w:drawing>
      </w:r>
    </w:p>
    <w:p w:rsidR="00F43795" w:rsidRDefault="00F43795" w:rsidP="00E04EE8">
      <w:pPr>
        <w:tabs>
          <w:tab w:val="left" w:pos="851"/>
          <w:tab w:val="left" w:pos="1701"/>
        </w:tabs>
        <w:autoSpaceDE w:val="0"/>
        <w:autoSpaceDN w:val="0"/>
        <w:adjustRightInd w:val="0"/>
        <w:spacing w:before="0" w:after="0"/>
        <w:ind w:left="709"/>
        <w:jc w:val="both"/>
        <w:rPr>
          <w:rFonts w:ascii="Arial" w:hAnsi="Arial" w:cs="Arial"/>
          <w:lang w:val="en-US"/>
        </w:rPr>
      </w:pPr>
    </w:p>
    <w:p w:rsidR="00E04EE8" w:rsidRPr="00375FD4" w:rsidRDefault="002F2BC2" w:rsidP="001F1E67">
      <w:pPr>
        <w:tabs>
          <w:tab w:val="left" w:pos="851"/>
          <w:tab w:val="left" w:pos="1701"/>
        </w:tabs>
        <w:autoSpaceDE w:val="0"/>
        <w:autoSpaceDN w:val="0"/>
        <w:adjustRightInd w:val="0"/>
        <w:spacing w:before="0" w:after="0"/>
        <w:rPr>
          <w:rFonts w:ascii="Arial" w:hAnsi="Arial" w:cs="Arial"/>
          <w:lang w:val="en-US"/>
        </w:rPr>
      </w:pPr>
      <w:r w:rsidRPr="003B287E">
        <w:rPr>
          <w:rFonts w:ascii="Arial" w:hAnsi="Arial" w:cs="Arial"/>
          <w:lang w:val="en-US"/>
        </w:rPr>
        <w:t>The models</w:t>
      </w:r>
      <w:r w:rsidR="00E04EE8" w:rsidRPr="003B287E">
        <w:rPr>
          <w:rFonts w:ascii="Arial" w:hAnsi="Arial" w:cs="Arial"/>
          <w:lang w:val="en-US"/>
        </w:rPr>
        <w:t xml:space="preserve"> of ships, works of art, silver and</w:t>
      </w:r>
      <w:r w:rsidR="00452480" w:rsidRPr="003B287E">
        <w:rPr>
          <w:rFonts w:ascii="Arial" w:hAnsi="Arial" w:cs="Arial"/>
          <w:lang w:val="en-US"/>
        </w:rPr>
        <w:t xml:space="preserve"> commemorative ware, civic regalia</w:t>
      </w:r>
      <w:r w:rsidR="00E04EE8" w:rsidRPr="003B287E">
        <w:rPr>
          <w:rFonts w:ascii="Arial" w:hAnsi="Arial" w:cs="Arial"/>
          <w:lang w:val="en-US"/>
        </w:rPr>
        <w:t xml:space="preserve"> and sewing machine</w:t>
      </w:r>
      <w:r w:rsidR="00E04EE8" w:rsidRPr="00375FD4">
        <w:rPr>
          <w:rFonts w:ascii="Arial" w:hAnsi="Arial" w:cs="Arial"/>
          <w:lang w:val="en-US"/>
        </w:rPr>
        <w:t xml:space="preserve"> collections are the responsibility of </w:t>
      </w:r>
      <w:r>
        <w:rPr>
          <w:rFonts w:ascii="Arial" w:hAnsi="Arial" w:cs="Arial"/>
          <w:lang w:val="en-US"/>
        </w:rPr>
        <w:t xml:space="preserve">the </w:t>
      </w:r>
      <w:r w:rsidR="00E04EE8" w:rsidRPr="00375FD4">
        <w:rPr>
          <w:rFonts w:ascii="Arial" w:hAnsi="Arial" w:cs="Arial"/>
          <w:lang w:val="en-US"/>
        </w:rPr>
        <w:t>Libraries and Museums</w:t>
      </w:r>
      <w:r>
        <w:rPr>
          <w:rFonts w:ascii="Arial" w:hAnsi="Arial" w:cs="Arial"/>
          <w:lang w:val="en-US"/>
        </w:rPr>
        <w:t xml:space="preserve"> Service</w:t>
      </w:r>
      <w:r w:rsidR="00E04EE8" w:rsidRPr="00375FD4">
        <w:rPr>
          <w:rFonts w:ascii="Arial" w:hAnsi="Arial" w:cs="Arial"/>
          <w:lang w:val="en-US"/>
        </w:rPr>
        <w:t xml:space="preserve"> and accounts for approximately 90% of the overall collection with the remaining 10% being </w:t>
      </w:r>
      <w:r w:rsidR="00E04EE8" w:rsidRPr="00375FD4">
        <w:rPr>
          <w:rFonts w:ascii="Arial" w:hAnsi="Arial" w:cs="Arial"/>
        </w:rPr>
        <w:t>recorded and accessioned into the collection on a regular basis in line with museum accreditation</w:t>
      </w:r>
      <w:r w:rsidR="00E04EE8" w:rsidRPr="00375FD4">
        <w:rPr>
          <w:rFonts w:ascii="Arial" w:hAnsi="Arial" w:cs="Arial"/>
          <w:lang w:val="en-US"/>
        </w:rPr>
        <w:t>.  These works are held at the following locations:</w:t>
      </w:r>
    </w:p>
    <w:p w:rsidR="00E04EE8" w:rsidRPr="00375FD4" w:rsidRDefault="00E04EE8" w:rsidP="00E04EE8">
      <w:pPr>
        <w:tabs>
          <w:tab w:val="left" w:pos="851"/>
          <w:tab w:val="left" w:pos="1701"/>
        </w:tabs>
        <w:autoSpaceDE w:val="0"/>
        <w:autoSpaceDN w:val="0"/>
        <w:adjustRightInd w:val="0"/>
        <w:spacing w:before="0" w:after="0"/>
        <w:ind w:left="1276" w:hanging="992"/>
        <w:jc w:val="both"/>
        <w:rPr>
          <w:rFonts w:ascii="Arial" w:hAnsi="Arial" w:cs="Arial"/>
          <w:lang w:val="en-US"/>
        </w:rPr>
      </w:pPr>
    </w:p>
    <w:p w:rsidR="00E04EE8" w:rsidRPr="00E14045"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E14045">
        <w:rPr>
          <w:rFonts w:ascii="Arial" w:hAnsi="Arial" w:cs="Arial"/>
          <w:lang w:val="en-US"/>
        </w:rPr>
        <w:t>Collections Store, Poplar Road</w:t>
      </w:r>
    </w:p>
    <w:p w:rsidR="00E04EE8" w:rsidRPr="00E14045"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E14045">
        <w:rPr>
          <w:rFonts w:ascii="Arial" w:hAnsi="Arial" w:cs="Arial"/>
          <w:lang w:val="en-US"/>
        </w:rPr>
        <w:t>Collections Store, Stanford Street</w:t>
      </w:r>
      <w:r w:rsidR="00452480">
        <w:rPr>
          <w:rFonts w:ascii="Arial" w:hAnsi="Arial" w:cs="Arial"/>
          <w:lang w:val="en-US"/>
        </w:rPr>
        <w:t>; and</w:t>
      </w:r>
    </w:p>
    <w:p w:rsidR="00E04EE8" w:rsidRPr="00E14045" w:rsidRDefault="00E04EE8" w:rsidP="00EA6E47">
      <w:pPr>
        <w:numPr>
          <w:ilvl w:val="0"/>
          <w:numId w:val="33"/>
        </w:numPr>
        <w:tabs>
          <w:tab w:val="clear" w:pos="720"/>
          <w:tab w:val="num" w:pos="-2552"/>
        </w:tabs>
        <w:autoSpaceDE w:val="0"/>
        <w:autoSpaceDN w:val="0"/>
        <w:adjustRightInd w:val="0"/>
        <w:spacing w:before="0" w:after="0"/>
        <w:ind w:left="709" w:hanging="709"/>
        <w:rPr>
          <w:rFonts w:ascii="Arial" w:hAnsi="Arial" w:cs="Arial"/>
          <w:lang w:val="en-US"/>
        </w:rPr>
      </w:pPr>
      <w:r w:rsidRPr="00E14045">
        <w:rPr>
          <w:rFonts w:ascii="Arial" w:hAnsi="Arial" w:cs="Arial"/>
          <w:lang w:val="en-US"/>
        </w:rPr>
        <w:t>Clydebank Town Hall.</w:t>
      </w:r>
    </w:p>
    <w:p w:rsidR="00455763" w:rsidRDefault="00455763" w:rsidP="00452480">
      <w:pPr>
        <w:autoSpaceDE w:val="0"/>
        <w:autoSpaceDN w:val="0"/>
        <w:adjustRightInd w:val="0"/>
        <w:spacing w:before="0" w:after="0"/>
        <w:jc w:val="both"/>
        <w:rPr>
          <w:rFonts w:ascii="Arial" w:hAnsi="Arial" w:cs="Arial"/>
          <w:lang w:val="en-US"/>
        </w:rPr>
      </w:pPr>
    </w:p>
    <w:p w:rsidR="00455763" w:rsidRPr="00304627" w:rsidRDefault="00BF3E12" w:rsidP="001F1E67">
      <w:pPr>
        <w:spacing w:before="0" w:after="0"/>
        <w:jc w:val="both"/>
        <w:rPr>
          <w:rFonts w:ascii="Arial" w:hAnsi="Arial" w:cs="Arial"/>
          <w:b/>
        </w:rPr>
      </w:pPr>
      <w:r w:rsidRPr="00304627">
        <w:rPr>
          <w:rFonts w:ascii="Arial" w:hAnsi="Arial" w:cs="Arial"/>
          <w:b/>
        </w:rPr>
        <w:t xml:space="preserve">Models of Ships - </w:t>
      </w:r>
      <w:r w:rsidR="00455763" w:rsidRPr="00304627">
        <w:rPr>
          <w:rFonts w:ascii="Arial" w:hAnsi="Arial" w:cs="Arial"/>
          <w:lang w:val="en-US"/>
        </w:rPr>
        <w:t xml:space="preserve">include MV Rangitane, MV Essex and HMS Vanguard.  </w:t>
      </w:r>
    </w:p>
    <w:p w:rsidR="00455763" w:rsidRPr="00304627" w:rsidRDefault="00455763" w:rsidP="00455763">
      <w:pPr>
        <w:autoSpaceDE w:val="0"/>
        <w:autoSpaceDN w:val="0"/>
        <w:adjustRightInd w:val="0"/>
        <w:spacing w:before="0" w:after="0"/>
        <w:ind w:left="709"/>
        <w:jc w:val="both"/>
        <w:rPr>
          <w:rFonts w:ascii="Arial" w:hAnsi="Arial" w:cs="Arial"/>
          <w:lang w:val="en-US"/>
        </w:rPr>
      </w:pPr>
    </w:p>
    <w:p w:rsidR="00455763" w:rsidRPr="00304627" w:rsidRDefault="00BF3E12" w:rsidP="001F1E67">
      <w:pPr>
        <w:autoSpaceDE w:val="0"/>
        <w:autoSpaceDN w:val="0"/>
        <w:adjustRightInd w:val="0"/>
        <w:spacing w:before="0" w:after="0"/>
        <w:jc w:val="both"/>
        <w:rPr>
          <w:rFonts w:ascii="Arial" w:hAnsi="Arial" w:cs="Arial"/>
          <w:lang w:val="en-US"/>
        </w:rPr>
      </w:pPr>
      <w:r w:rsidRPr="00304627">
        <w:rPr>
          <w:rFonts w:ascii="Arial" w:hAnsi="Arial" w:cs="Arial"/>
          <w:b/>
          <w:lang w:val="en-US"/>
        </w:rPr>
        <w:t xml:space="preserve">Works of Art - </w:t>
      </w:r>
      <w:r w:rsidRPr="00304627">
        <w:rPr>
          <w:rFonts w:ascii="Arial" w:hAnsi="Arial" w:cs="Arial"/>
          <w:lang w:val="en-US"/>
        </w:rPr>
        <w:t>t</w:t>
      </w:r>
      <w:r w:rsidR="00455763" w:rsidRPr="00304627">
        <w:rPr>
          <w:rFonts w:ascii="Arial" w:hAnsi="Arial" w:cs="Arial"/>
          <w:lang w:val="en-US"/>
        </w:rPr>
        <w:t xml:space="preserve">here are </w:t>
      </w:r>
      <w:r w:rsidR="00D82AF4" w:rsidRPr="00304627">
        <w:rPr>
          <w:rFonts w:ascii="Arial" w:hAnsi="Arial" w:cs="Arial"/>
          <w:lang w:val="en-US"/>
        </w:rPr>
        <w:t>474</w:t>
      </w:r>
      <w:r w:rsidR="00455763" w:rsidRPr="00304627">
        <w:rPr>
          <w:rFonts w:ascii="Arial" w:hAnsi="Arial" w:cs="Arial"/>
          <w:lang w:val="en-US"/>
        </w:rPr>
        <w:t xml:space="preserve"> paintings within the works of art collection.  </w:t>
      </w:r>
    </w:p>
    <w:p w:rsidR="00455763" w:rsidRPr="00304627" w:rsidRDefault="00455763" w:rsidP="00E722A4">
      <w:pPr>
        <w:autoSpaceDE w:val="0"/>
        <w:autoSpaceDN w:val="0"/>
        <w:adjustRightInd w:val="0"/>
        <w:spacing w:before="0" w:after="0"/>
        <w:jc w:val="both"/>
        <w:rPr>
          <w:rFonts w:ascii="Arial" w:hAnsi="Arial" w:cs="Arial"/>
          <w:lang w:val="en-US"/>
        </w:rPr>
      </w:pPr>
    </w:p>
    <w:p w:rsidR="00455763" w:rsidRPr="00304627" w:rsidRDefault="00452480" w:rsidP="001F1E67">
      <w:pPr>
        <w:autoSpaceDE w:val="0"/>
        <w:autoSpaceDN w:val="0"/>
        <w:adjustRightInd w:val="0"/>
        <w:spacing w:before="0" w:after="0"/>
        <w:jc w:val="both"/>
        <w:rPr>
          <w:rFonts w:ascii="Arial" w:hAnsi="Arial" w:cs="Arial"/>
          <w:lang w:val="en-US"/>
        </w:rPr>
      </w:pPr>
      <w:r w:rsidRPr="00304627">
        <w:rPr>
          <w:rFonts w:ascii="Arial" w:hAnsi="Arial" w:cs="Arial"/>
          <w:b/>
          <w:lang w:val="en-US"/>
        </w:rPr>
        <w:t>Civic Regalia -</w:t>
      </w:r>
      <w:r w:rsidR="00455763" w:rsidRPr="00304627">
        <w:rPr>
          <w:rFonts w:ascii="Arial" w:hAnsi="Arial" w:cs="Arial"/>
          <w:lang w:val="en-US"/>
        </w:rPr>
        <w:t xml:space="preserve"> predominately relates to the collection of provost robes and chains of office.  It would be relatively rare for the authority to purchase, or dispose of, items of civic regalia.</w:t>
      </w:r>
    </w:p>
    <w:p w:rsidR="00455763" w:rsidRPr="00304627" w:rsidRDefault="00455763" w:rsidP="00455763">
      <w:pPr>
        <w:autoSpaceDE w:val="0"/>
        <w:autoSpaceDN w:val="0"/>
        <w:adjustRightInd w:val="0"/>
        <w:spacing w:before="0" w:after="0"/>
        <w:ind w:left="709"/>
        <w:jc w:val="both"/>
        <w:rPr>
          <w:rFonts w:ascii="Arial" w:hAnsi="Arial" w:cs="Arial"/>
          <w:lang w:val="en-US"/>
        </w:rPr>
      </w:pPr>
    </w:p>
    <w:p w:rsidR="00466A40" w:rsidRDefault="00466A40" w:rsidP="001F1E67">
      <w:pPr>
        <w:autoSpaceDE w:val="0"/>
        <w:autoSpaceDN w:val="0"/>
        <w:adjustRightInd w:val="0"/>
        <w:spacing w:before="0" w:after="0"/>
        <w:jc w:val="both"/>
        <w:rPr>
          <w:rFonts w:ascii="Arial" w:hAnsi="Arial" w:cs="Arial"/>
          <w:b/>
          <w:lang w:val="en-US"/>
        </w:rPr>
      </w:pPr>
    </w:p>
    <w:p w:rsidR="00466A40" w:rsidRPr="00375FD4"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Default="00466A40" w:rsidP="001F1E67">
      <w:pPr>
        <w:autoSpaceDE w:val="0"/>
        <w:autoSpaceDN w:val="0"/>
        <w:adjustRightInd w:val="0"/>
        <w:spacing w:before="0" w:after="0"/>
        <w:jc w:val="both"/>
        <w:rPr>
          <w:rFonts w:ascii="Arial" w:hAnsi="Arial" w:cs="Arial"/>
          <w:b/>
        </w:rPr>
      </w:pPr>
    </w:p>
    <w:p w:rsidR="00466A40" w:rsidRDefault="00466A40" w:rsidP="00466A40">
      <w:pPr>
        <w:pStyle w:val="Heading1"/>
        <w:spacing w:before="0"/>
        <w:rPr>
          <w:rFonts w:ascii="Arial" w:hAnsi="Arial" w:cs="Arial"/>
          <w:color w:val="auto"/>
          <w:sz w:val="20"/>
          <w:szCs w:val="20"/>
        </w:rPr>
      </w:pPr>
      <w:r>
        <w:rPr>
          <w:rFonts w:ascii="Arial" w:hAnsi="Arial" w:cs="Arial"/>
          <w:color w:val="auto"/>
          <w:sz w:val="20"/>
          <w:szCs w:val="20"/>
        </w:rPr>
        <w:t>Note 17</w:t>
      </w:r>
      <w:r w:rsidRPr="000A3446">
        <w:rPr>
          <w:rFonts w:ascii="Arial" w:hAnsi="Arial" w:cs="Arial"/>
          <w:color w:val="auto"/>
          <w:sz w:val="20"/>
          <w:szCs w:val="20"/>
        </w:rPr>
        <w:t xml:space="preserve"> - Heritage Assets</w:t>
      </w:r>
      <w:r>
        <w:rPr>
          <w:rFonts w:ascii="Arial" w:hAnsi="Arial" w:cs="Arial"/>
          <w:color w:val="auto"/>
          <w:sz w:val="20"/>
          <w:szCs w:val="20"/>
        </w:rPr>
        <w:t xml:space="preserve"> (cont’d)</w:t>
      </w:r>
    </w:p>
    <w:p w:rsidR="00466A40" w:rsidRPr="00466A40" w:rsidRDefault="00466A40" w:rsidP="001F1E67">
      <w:pPr>
        <w:autoSpaceDE w:val="0"/>
        <w:autoSpaceDN w:val="0"/>
        <w:adjustRightInd w:val="0"/>
        <w:spacing w:before="0" w:after="0"/>
        <w:jc w:val="both"/>
        <w:rPr>
          <w:rFonts w:ascii="Arial" w:hAnsi="Arial" w:cs="Arial"/>
          <w:b/>
        </w:rPr>
      </w:pPr>
    </w:p>
    <w:p w:rsidR="00455763" w:rsidRPr="00452480" w:rsidRDefault="00455763" w:rsidP="001F1E67">
      <w:pPr>
        <w:autoSpaceDE w:val="0"/>
        <w:autoSpaceDN w:val="0"/>
        <w:adjustRightInd w:val="0"/>
        <w:spacing w:before="0" w:after="0"/>
        <w:jc w:val="both"/>
        <w:rPr>
          <w:rFonts w:ascii="Arial" w:hAnsi="Arial" w:cs="Arial"/>
          <w:b/>
          <w:lang w:val="en-US"/>
        </w:rPr>
      </w:pPr>
      <w:r w:rsidRPr="00304627">
        <w:rPr>
          <w:rFonts w:ascii="Arial" w:hAnsi="Arial" w:cs="Arial"/>
          <w:b/>
          <w:lang w:val="en-US"/>
        </w:rPr>
        <w:t>Sewing Machine Collect</w:t>
      </w:r>
      <w:r w:rsidR="00452480" w:rsidRPr="00304627">
        <w:rPr>
          <w:rFonts w:ascii="Arial" w:hAnsi="Arial" w:cs="Arial"/>
          <w:b/>
          <w:lang w:val="en-US"/>
        </w:rPr>
        <w:t xml:space="preserve">ion - </w:t>
      </w:r>
      <w:r w:rsidR="00452480" w:rsidRPr="00304627">
        <w:rPr>
          <w:rFonts w:ascii="Arial" w:hAnsi="Arial" w:cs="Arial"/>
          <w:lang w:val="en-US"/>
        </w:rPr>
        <w:t>t</w:t>
      </w:r>
      <w:r w:rsidRPr="00304627">
        <w:rPr>
          <w:rFonts w:ascii="Arial" w:hAnsi="Arial" w:cs="Arial"/>
          <w:lang w:val="en-US"/>
        </w:rPr>
        <w:t xml:space="preserve">here are </w:t>
      </w:r>
      <w:r w:rsidR="00D82AF4" w:rsidRPr="00304627">
        <w:rPr>
          <w:rFonts w:ascii="Arial" w:hAnsi="Arial" w:cs="Arial"/>
          <w:lang w:val="en-US"/>
        </w:rPr>
        <w:t>813</w:t>
      </w:r>
      <w:r w:rsidRPr="00304627">
        <w:rPr>
          <w:rFonts w:ascii="Arial" w:hAnsi="Arial" w:cs="Arial"/>
          <w:lang w:val="en-US"/>
        </w:rPr>
        <w:t xml:space="preserve"> sewing machines (of various models) included within the</w:t>
      </w:r>
      <w:r w:rsidRPr="00D82AF4">
        <w:rPr>
          <w:rFonts w:ascii="Arial" w:hAnsi="Arial" w:cs="Arial"/>
          <w:lang w:val="en-US"/>
        </w:rPr>
        <w:t xml:space="preserve"> sewing machine collection.</w:t>
      </w:r>
      <w:r w:rsidRPr="00CB1952">
        <w:rPr>
          <w:rFonts w:ascii="Arial" w:hAnsi="Arial" w:cs="Arial"/>
          <w:lang w:val="en-US"/>
        </w:rPr>
        <w:t xml:space="preserve">  </w:t>
      </w:r>
    </w:p>
    <w:p w:rsidR="00455763" w:rsidRPr="00CB1952" w:rsidRDefault="00455763" w:rsidP="00455763">
      <w:pPr>
        <w:autoSpaceDE w:val="0"/>
        <w:autoSpaceDN w:val="0"/>
        <w:adjustRightInd w:val="0"/>
        <w:spacing w:before="0" w:after="0"/>
        <w:ind w:left="709"/>
        <w:jc w:val="both"/>
        <w:rPr>
          <w:rFonts w:ascii="Arial" w:hAnsi="Arial" w:cs="Arial"/>
          <w:lang w:val="en-US"/>
        </w:rPr>
      </w:pPr>
    </w:p>
    <w:p w:rsidR="00455763" w:rsidRPr="00391A23" w:rsidRDefault="00455763" w:rsidP="001F1E67">
      <w:pPr>
        <w:autoSpaceDE w:val="0"/>
        <w:autoSpaceDN w:val="0"/>
        <w:adjustRightInd w:val="0"/>
        <w:spacing w:before="0" w:after="0"/>
        <w:jc w:val="both"/>
        <w:rPr>
          <w:rFonts w:ascii="Arial" w:hAnsi="Arial" w:cs="Arial"/>
          <w:lang w:val="en-US"/>
        </w:rPr>
      </w:pPr>
      <w:r w:rsidRPr="00CB1952">
        <w:rPr>
          <w:rFonts w:ascii="Arial" w:hAnsi="Arial" w:cs="Arial"/>
          <w:b/>
          <w:lang w:val="en-US"/>
        </w:rPr>
        <w:t xml:space="preserve">Listed Buildings </w:t>
      </w:r>
      <w:r w:rsidR="00452480">
        <w:rPr>
          <w:rFonts w:ascii="Arial" w:hAnsi="Arial" w:cs="Arial"/>
          <w:b/>
          <w:lang w:val="en-US"/>
        </w:rPr>
        <w:t xml:space="preserve">and Scheduled Ancient Monuments - </w:t>
      </w:r>
      <w:r w:rsidR="00E76272">
        <w:rPr>
          <w:rFonts w:ascii="Arial" w:hAnsi="Arial" w:cs="Arial"/>
          <w:lang w:val="en-US"/>
        </w:rPr>
        <w:t>the c</w:t>
      </w:r>
      <w:r w:rsidR="00452480">
        <w:rPr>
          <w:rFonts w:ascii="Arial" w:hAnsi="Arial" w:cs="Arial"/>
          <w:lang w:val="en-US"/>
        </w:rPr>
        <w:t>ouncil</w:t>
      </w:r>
      <w:r w:rsidRPr="00CB1952">
        <w:rPr>
          <w:rFonts w:ascii="Arial" w:hAnsi="Arial" w:cs="Arial"/>
          <w:lang w:val="en-US"/>
        </w:rPr>
        <w:t xml:space="preserve"> holds and maintains listed buildings and ancient monuments of historic significance, many of which are tributes to </w:t>
      </w:r>
      <w:r w:rsidRPr="00F43795">
        <w:rPr>
          <w:rFonts w:ascii="Arial" w:hAnsi="Arial" w:cs="Arial"/>
          <w:lang w:val="en-US"/>
        </w:rPr>
        <w:t xml:space="preserve">the war dead. </w:t>
      </w:r>
      <w:r w:rsidR="00452480" w:rsidRPr="00F43795">
        <w:rPr>
          <w:rFonts w:ascii="Arial" w:hAnsi="Arial" w:cs="Arial"/>
          <w:lang w:val="en-US"/>
        </w:rPr>
        <w:t>As well as memorial</w:t>
      </w:r>
      <w:r w:rsidR="00E76272">
        <w:rPr>
          <w:rFonts w:ascii="Arial" w:hAnsi="Arial" w:cs="Arial"/>
          <w:lang w:val="en-US"/>
        </w:rPr>
        <w:t xml:space="preserve"> structures and buildings, </w:t>
      </w:r>
      <w:r w:rsidR="00BF3B11">
        <w:rPr>
          <w:rFonts w:ascii="Arial" w:hAnsi="Arial" w:cs="Arial"/>
          <w:lang w:val="en-US"/>
        </w:rPr>
        <w:t>the</w:t>
      </w:r>
      <w:r w:rsidR="00E76272">
        <w:rPr>
          <w:rFonts w:ascii="Arial" w:hAnsi="Arial" w:cs="Arial"/>
          <w:lang w:val="en-US"/>
        </w:rPr>
        <w:t xml:space="preserve"> c</w:t>
      </w:r>
      <w:r w:rsidR="00452480" w:rsidRPr="00F43795">
        <w:rPr>
          <w:rFonts w:ascii="Arial" w:hAnsi="Arial" w:cs="Arial"/>
          <w:lang w:val="en-US"/>
        </w:rPr>
        <w:t>ouncil maintains statues and fountains.</w:t>
      </w:r>
      <w:r w:rsidRPr="00CB1952">
        <w:rPr>
          <w:rFonts w:ascii="Arial" w:hAnsi="Arial" w:cs="Arial"/>
          <w:lang w:val="en-US"/>
        </w:rPr>
        <w:t xml:space="preserve"> </w:t>
      </w:r>
    </w:p>
    <w:p w:rsidR="009C7B2F" w:rsidRPr="00375FD4" w:rsidRDefault="009C7B2F" w:rsidP="00C60C0D">
      <w:pPr>
        <w:tabs>
          <w:tab w:val="left" w:pos="3615"/>
        </w:tabs>
        <w:spacing w:before="0" w:after="0"/>
        <w:rPr>
          <w:rFonts w:ascii="Arial" w:hAnsi="Arial" w:cs="Arial"/>
          <w:b/>
        </w:rPr>
      </w:pPr>
    </w:p>
    <w:p w:rsidR="00990216" w:rsidRPr="000A3446" w:rsidRDefault="00466A40" w:rsidP="00BD14DA">
      <w:pPr>
        <w:pStyle w:val="Heading1"/>
        <w:spacing w:before="0"/>
        <w:rPr>
          <w:rFonts w:ascii="Arial" w:hAnsi="Arial" w:cs="Arial"/>
          <w:color w:val="auto"/>
          <w:sz w:val="20"/>
          <w:szCs w:val="20"/>
        </w:rPr>
      </w:pPr>
      <w:r>
        <w:rPr>
          <w:rFonts w:ascii="Arial" w:hAnsi="Arial" w:cs="Arial"/>
          <w:color w:val="auto"/>
          <w:sz w:val="20"/>
          <w:szCs w:val="20"/>
        </w:rPr>
        <w:t>Note 18</w:t>
      </w:r>
      <w:r w:rsidR="00990216" w:rsidRPr="000A3446">
        <w:rPr>
          <w:rFonts w:ascii="Arial" w:hAnsi="Arial" w:cs="Arial"/>
          <w:color w:val="auto"/>
          <w:sz w:val="20"/>
          <w:szCs w:val="20"/>
        </w:rPr>
        <w:t xml:space="preserve"> – Capital Expenditure and Capital Financing </w:t>
      </w:r>
    </w:p>
    <w:p w:rsidR="00990216" w:rsidRPr="00375FD4" w:rsidRDefault="00990216" w:rsidP="00990216">
      <w:pPr>
        <w:spacing w:before="0" w:after="0"/>
        <w:rPr>
          <w:rFonts w:ascii="Arial" w:hAnsi="Arial" w:cs="Arial"/>
          <w:b/>
        </w:rPr>
      </w:pPr>
    </w:p>
    <w:p w:rsidR="00990216" w:rsidRDefault="00990216" w:rsidP="001F1E67">
      <w:pPr>
        <w:spacing w:before="0" w:after="0"/>
        <w:rPr>
          <w:rFonts w:ascii="Arial" w:hAnsi="Arial" w:cs="Arial"/>
        </w:rPr>
      </w:pPr>
      <w:r w:rsidRPr="00375FD4">
        <w:rPr>
          <w:rFonts w:ascii="Arial" w:hAnsi="Arial" w:cs="Arial"/>
        </w:rPr>
        <w:t>The total amount of capital expenditure incurred in the year is shown in the following table (including the value of assets acquired under finance leases and PPP contracts), together with the resources that have been used to finance it.  Where capital expenditure is to be financed in future years by charges to rev</w:t>
      </w:r>
      <w:r w:rsidR="00E76272">
        <w:rPr>
          <w:rFonts w:ascii="Arial" w:hAnsi="Arial" w:cs="Arial"/>
        </w:rPr>
        <w:t>enue as assets are used by the c</w:t>
      </w:r>
      <w:r w:rsidRPr="00375FD4">
        <w:rPr>
          <w:rFonts w:ascii="Arial" w:hAnsi="Arial" w:cs="Arial"/>
        </w:rPr>
        <w:t xml:space="preserve">ouncil, the expenditure results in an increase in the capital financing requirement (CFR), a measure of the capital expenditure incurred historically by the </w:t>
      </w:r>
      <w:r w:rsidR="00E76272">
        <w:rPr>
          <w:rFonts w:ascii="Arial" w:hAnsi="Arial" w:cs="Arial"/>
        </w:rPr>
        <w:t>c</w:t>
      </w:r>
      <w:r w:rsidR="00312456">
        <w:rPr>
          <w:rFonts w:ascii="Arial" w:hAnsi="Arial" w:cs="Arial"/>
        </w:rPr>
        <w:t>ouncil</w:t>
      </w:r>
      <w:r w:rsidRPr="00375FD4">
        <w:rPr>
          <w:rFonts w:ascii="Arial" w:hAnsi="Arial" w:cs="Arial"/>
        </w:rPr>
        <w:t xml:space="preserve"> that has yet to be financed.  The CFR is analysed in the second part of this note.</w:t>
      </w:r>
    </w:p>
    <w:p w:rsidR="00990216" w:rsidRPr="00375FD4" w:rsidRDefault="00990216" w:rsidP="00990216">
      <w:pPr>
        <w:spacing w:before="0" w:after="0"/>
        <w:jc w:val="both"/>
        <w:rPr>
          <w:rFonts w:ascii="Arial" w:hAnsi="Arial" w:cs="Arial"/>
        </w:rPr>
      </w:pPr>
    </w:p>
    <w:p w:rsidR="00BD14DA" w:rsidRDefault="008847B8" w:rsidP="00AF7EEC">
      <w:pPr>
        <w:spacing w:before="0" w:after="0"/>
        <w:ind w:left="709"/>
        <w:jc w:val="both"/>
        <w:rPr>
          <w:noProof/>
          <w:lang w:eastAsia="en-GB"/>
        </w:rPr>
      </w:pPr>
      <w:r>
        <w:rPr>
          <w:noProof/>
          <w:lang w:eastAsia="en-GB"/>
        </w:rPr>
        <w:tab/>
      </w:r>
      <w:r w:rsidR="00BE3CC9" w:rsidRPr="00BE3CC9">
        <w:rPr>
          <w:noProof/>
          <w:lang w:eastAsia="en-GB"/>
        </w:rPr>
        <w:drawing>
          <wp:inline distT="0" distB="0" distL="0" distR="0">
            <wp:extent cx="4698365" cy="3088005"/>
            <wp:effectExtent l="0" t="0" r="6985" b="0"/>
            <wp:docPr id="245" name="Picture 245" descr="detail of movement in capital financing requirement" title="noge 18 capital expenditure and fin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98365" cy="3088005"/>
                    </a:xfrm>
                    <a:prstGeom prst="rect">
                      <a:avLst/>
                    </a:prstGeom>
                    <a:noFill/>
                    <a:ln>
                      <a:noFill/>
                    </a:ln>
                  </pic:spPr>
                </pic:pic>
              </a:graphicData>
            </a:graphic>
          </wp:inline>
        </w:drawing>
      </w:r>
    </w:p>
    <w:p w:rsidR="00581177" w:rsidRDefault="00581177" w:rsidP="00AF7EEC">
      <w:pPr>
        <w:spacing w:before="0" w:after="0"/>
        <w:ind w:left="709"/>
        <w:jc w:val="both"/>
        <w:rPr>
          <w:rFonts w:ascii="Arial" w:hAnsi="Arial" w:cs="Arial"/>
        </w:rPr>
      </w:pPr>
    </w:p>
    <w:p w:rsidR="00AF7EEC" w:rsidRPr="00375FD4" w:rsidRDefault="00AF7EEC" w:rsidP="00AF7EEC">
      <w:pPr>
        <w:spacing w:before="0" w:after="0"/>
        <w:ind w:left="709"/>
        <w:jc w:val="both"/>
        <w:rPr>
          <w:rFonts w:ascii="Arial" w:hAnsi="Arial" w:cs="Arial"/>
        </w:rPr>
      </w:pPr>
    </w:p>
    <w:p w:rsidR="00990216" w:rsidRPr="000A3446" w:rsidRDefault="00466A40" w:rsidP="00BD14DA">
      <w:pPr>
        <w:pStyle w:val="Heading1"/>
        <w:spacing w:before="0"/>
        <w:rPr>
          <w:rFonts w:ascii="Arial" w:hAnsi="Arial" w:cs="Arial"/>
          <w:color w:val="auto"/>
          <w:sz w:val="20"/>
          <w:szCs w:val="20"/>
        </w:rPr>
      </w:pPr>
      <w:r>
        <w:rPr>
          <w:rFonts w:ascii="Arial" w:hAnsi="Arial" w:cs="Arial"/>
          <w:color w:val="auto"/>
          <w:sz w:val="20"/>
          <w:szCs w:val="20"/>
        </w:rPr>
        <w:t>Note 19</w:t>
      </w:r>
      <w:r w:rsidR="00990216" w:rsidRPr="000A3446">
        <w:rPr>
          <w:rFonts w:ascii="Arial" w:hAnsi="Arial" w:cs="Arial"/>
          <w:color w:val="auto"/>
          <w:sz w:val="20"/>
          <w:szCs w:val="20"/>
        </w:rPr>
        <w:t xml:space="preserve"> – Impairment Losses</w:t>
      </w:r>
    </w:p>
    <w:p w:rsidR="00990216" w:rsidRPr="00375FD4" w:rsidRDefault="00990216" w:rsidP="00990216">
      <w:pPr>
        <w:spacing w:before="0" w:after="0"/>
        <w:rPr>
          <w:rFonts w:ascii="Arial" w:hAnsi="Arial" w:cs="Arial"/>
          <w:b/>
        </w:rPr>
      </w:pPr>
    </w:p>
    <w:p w:rsidR="00EE711E" w:rsidRPr="00375FD4" w:rsidRDefault="00EE711E" w:rsidP="00EE711E">
      <w:pPr>
        <w:spacing w:before="0" w:after="0"/>
        <w:jc w:val="both"/>
        <w:rPr>
          <w:rFonts w:ascii="Arial" w:hAnsi="Arial" w:cs="Arial"/>
        </w:rPr>
      </w:pPr>
      <w:r w:rsidRPr="00375FD4">
        <w:rPr>
          <w:rFonts w:ascii="Arial" w:hAnsi="Arial" w:cs="Arial"/>
        </w:rPr>
        <w:t>Assets are assessed at the end of each financial year for evidence in impairment or a reduction in value. Where indications exist and any possible differences are estimated to be material, the recoverable amount on the asset is estimated and where this is less than the carrying amount of the asset, an impairment loss is recognised for the shortfall.</w:t>
      </w:r>
    </w:p>
    <w:p w:rsidR="00EE711E" w:rsidRDefault="00EE711E" w:rsidP="001F1E67">
      <w:pPr>
        <w:spacing w:before="0" w:after="0"/>
        <w:rPr>
          <w:rFonts w:ascii="Arial" w:hAnsi="Arial" w:cs="Arial"/>
        </w:rPr>
      </w:pPr>
    </w:p>
    <w:p w:rsidR="00990216" w:rsidRPr="00375FD4" w:rsidRDefault="00990216" w:rsidP="009C78FD">
      <w:pPr>
        <w:spacing w:before="0" w:after="0"/>
        <w:rPr>
          <w:rFonts w:ascii="Arial" w:hAnsi="Arial" w:cs="Arial"/>
        </w:rPr>
      </w:pPr>
      <w:r w:rsidRPr="00E9126B">
        <w:rPr>
          <w:rFonts w:ascii="Arial" w:hAnsi="Arial" w:cs="Arial"/>
        </w:rPr>
        <w:t xml:space="preserve">During </w:t>
      </w:r>
      <w:r w:rsidR="00823DB5">
        <w:rPr>
          <w:rFonts w:ascii="Arial" w:hAnsi="Arial" w:cs="Arial"/>
        </w:rPr>
        <w:t>2019/20</w:t>
      </w:r>
      <w:r w:rsidR="00E76272" w:rsidRPr="00E9126B">
        <w:rPr>
          <w:rFonts w:ascii="Arial" w:hAnsi="Arial" w:cs="Arial"/>
        </w:rPr>
        <w:t>, the c</w:t>
      </w:r>
      <w:r w:rsidRPr="00E9126B">
        <w:rPr>
          <w:rFonts w:ascii="Arial" w:hAnsi="Arial" w:cs="Arial"/>
        </w:rPr>
        <w:t>ouncil has recognised impairment los</w:t>
      </w:r>
      <w:r w:rsidR="00EF3B96" w:rsidRPr="00E9126B">
        <w:rPr>
          <w:rFonts w:ascii="Arial" w:hAnsi="Arial" w:cs="Arial"/>
        </w:rPr>
        <w:t xml:space="preserve">ses of </w:t>
      </w:r>
      <w:r w:rsidR="00EF3B96" w:rsidRPr="000A0CE9">
        <w:rPr>
          <w:rFonts w:ascii="Arial" w:hAnsi="Arial" w:cs="Arial"/>
        </w:rPr>
        <w:t>£</w:t>
      </w:r>
      <w:r w:rsidR="000A0CE9" w:rsidRPr="000A0CE9">
        <w:rPr>
          <w:rFonts w:ascii="Arial" w:hAnsi="Arial" w:cs="Arial"/>
        </w:rPr>
        <w:t>8.400</w:t>
      </w:r>
      <w:r w:rsidR="00EF3B96" w:rsidRPr="000A0CE9">
        <w:rPr>
          <w:rFonts w:ascii="Arial" w:hAnsi="Arial" w:cs="Arial"/>
        </w:rPr>
        <w:t>m (</w:t>
      </w:r>
      <w:r w:rsidR="00EF3B96" w:rsidRPr="00E9126B">
        <w:rPr>
          <w:rFonts w:ascii="Arial" w:hAnsi="Arial" w:cs="Arial"/>
        </w:rPr>
        <w:t>201</w:t>
      </w:r>
      <w:r w:rsidR="00823DB5">
        <w:rPr>
          <w:rFonts w:ascii="Arial" w:hAnsi="Arial" w:cs="Arial"/>
        </w:rPr>
        <w:t>8/19</w:t>
      </w:r>
      <w:r w:rsidR="00AF7EEC" w:rsidRPr="00E9126B">
        <w:rPr>
          <w:rFonts w:ascii="Arial" w:hAnsi="Arial" w:cs="Arial"/>
        </w:rPr>
        <w:t xml:space="preserve"> £</w:t>
      </w:r>
      <w:r w:rsidR="00823DB5">
        <w:rPr>
          <w:rFonts w:ascii="Arial" w:hAnsi="Arial" w:cs="Arial"/>
        </w:rPr>
        <w:t>18.249</w:t>
      </w:r>
      <w:r w:rsidRPr="00E9126B">
        <w:rPr>
          <w:rFonts w:ascii="Arial" w:hAnsi="Arial" w:cs="Arial"/>
        </w:rPr>
        <w:t>m)</w:t>
      </w:r>
      <w:r w:rsidRPr="00375FD4">
        <w:rPr>
          <w:rFonts w:ascii="Arial" w:hAnsi="Arial" w:cs="Arial"/>
        </w:rPr>
        <w:t xml:space="preserve"> relating to no</w:t>
      </w:r>
      <w:r w:rsidR="000852F7">
        <w:rPr>
          <w:rFonts w:ascii="Arial" w:hAnsi="Arial" w:cs="Arial"/>
        </w:rPr>
        <w:t>n-</w:t>
      </w:r>
      <w:r w:rsidRPr="00375FD4">
        <w:rPr>
          <w:rFonts w:ascii="Arial" w:hAnsi="Arial" w:cs="Arial"/>
        </w:rPr>
        <w:t>value adding enhancement of various assets. These impairment losses have been charged as appropriate within the Comprehensive Income and Expenditure Statement and the Revaluation Reserve.</w:t>
      </w:r>
    </w:p>
    <w:p w:rsidR="00990216" w:rsidRDefault="00990216" w:rsidP="00990216">
      <w:pPr>
        <w:spacing w:before="0" w:after="0"/>
        <w:jc w:val="both"/>
        <w:rPr>
          <w:rFonts w:ascii="Arial" w:hAnsi="Arial" w:cs="Arial"/>
        </w:rPr>
      </w:pPr>
    </w:p>
    <w:p w:rsidR="00466A40" w:rsidRDefault="00466A40" w:rsidP="00990216">
      <w:pPr>
        <w:spacing w:before="0" w:after="0"/>
        <w:jc w:val="both"/>
        <w:rPr>
          <w:rFonts w:ascii="Arial" w:hAnsi="Arial" w:cs="Arial"/>
        </w:rPr>
      </w:pPr>
    </w:p>
    <w:p w:rsidR="00466A40" w:rsidRDefault="00466A40" w:rsidP="00990216">
      <w:pPr>
        <w:spacing w:before="0" w:after="0"/>
        <w:jc w:val="both"/>
        <w:rPr>
          <w:rFonts w:ascii="Arial" w:hAnsi="Arial" w:cs="Arial"/>
        </w:rPr>
      </w:pPr>
    </w:p>
    <w:p w:rsidR="00466A40" w:rsidRDefault="00466A40" w:rsidP="00990216">
      <w:pPr>
        <w:spacing w:before="0" w:after="0"/>
        <w:jc w:val="both"/>
        <w:rPr>
          <w:rFonts w:ascii="Arial" w:hAnsi="Arial" w:cs="Arial"/>
        </w:rPr>
      </w:pPr>
    </w:p>
    <w:p w:rsidR="00581177" w:rsidRDefault="00581177" w:rsidP="00990216">
      <w:pPr>
        <w:spacing w:before="0" w:after="0"/>
        <w:jc w:val="both"/>
        <w:rPr>
          <w:rFonts w:ascii="Arial" w:hAnsi="Arial" w:cs="Arial"/>
        </w:rPr>
      </w:pPr>
    </w:p>
    <w:p w:rsidR="00466A40" w:rsidRPr="00375FD4" w:rsidRDefault="00466A40" w:rsidP="00990216">
      <w:pPr>
        <w:spacing w:before="0" w:after="0"/>
        <w:jc w:val="both"/>
        <w:rPr>
          <w:rFonts w:ascii="Arial" w:hAnsi="Arial" w:cs="Arial"/>
        </w:rPr>
      </w:pPr>
    </w:p>
    <w:p w:rsidR="00466A40"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w:t>
      </w:r>
      <w:r>
        <w:rPr>
          <w:rFonts w:ascii="Arial" w:hAnsi="Arial" w:cs="Arial"/>
          <w:b/>
          <w:sz w:val="24"/>
          <w:szCs w:val="24"/>
        </w:rPr>
        <w:t>e Financial Statements (Cont’d)</w:t>
      </w:r>
    </w:p>
    <w:p w:rsidR="00466A40" w:rsidRDefault="00466A40" w:rsidP="00BD14DA">
      <w:pPr>
        <w:pStyle w:val="Heading1"/>
        <w:spacing w:before="0"/>
        <w:rPr>
          <w:rFonts w:ascii="Arial" w:hAnsi="Arial" w:cs="Arial"/>
          <w:color w:val="auto"/>
          <w:sz w:val="20"/>
          <w:szCs w:val="20"/>
        </w:rPr>
      </w:pPr>
    </w:p>
    <w:p w:rsidR="00990216" w:rsidRPr="000A3446" w:rsidRDefault="00466A40" w:rsidP="00BD14DA">
      <w:pPr>
        <w:pStyle w:val="Heading1"/>
        <w:spacing w:before="0"/>
        <w:rPr>
          <w:rFonts w:ascii="Arial" w:hAnsi="Arial" w:cs="Arial"/>
          <w:color w:val="auto"/>
          <w:sz w:val="20"/>
          <w:szCs w:val="20"/>
        </w:rPr>
      </w:pPr>
      <w:r>
        <w:rPr>
          <w:rFonts w:ascii="Arial" w:hAnsi="Arial" w:cs="Arial"/>
          <w:color w:val="auto"/>
          <w:sz w:val="20"/>
          <w:szCs w:val="20"/>
        </w:rPr>
        <w:t>Note 20</w:t>
      </w:r>
      <w:r w:rsidR="00990216" w:rsidRPr="000A3446">
        <w:rPr>
          <w:rFonts w:ascii="Arial" w:hAnsi="Arial" w:cs="Arial"/>
          <w:color w:val="auto"/>
          <w:sz w:val="20"/>
          <w:szCs w:val="20"/>
        </w:rPr>
        <w:t xml:space="preserve"> – Private Finance Initiatives and Similar Contracts </w:t>
      </w:r>
    </w:p>
    <w:p w:rsidR="00990216" w:rsidRPr="00375FD4" w:rsidRDefault="00990216" w:rsidP="00990216">
      <w:pPr>
        <w:spacing w:before="0" w:after="0"/>
        <w:rPr>
          <w:rFonts w:ascii="Arial" w:hAnsi="Arial" w:cs="Arial"/>
          <w:b/>
        </w:rPr>
      </w:pPr>
    </w:p>
    <w:p w:rsidR="003E3A92" w:rsidRPr="00375FD4" w:rsidRDefault="00990216" w:rsidP="003E3A92">
      <w:pPr>
        <w:spacing w:before="0" w:after="0"/>
        <w:jc w:val="both"/>
        <w:rPr>
          <w:rFonts w:ascii="Arial" w:hAnsi="Arial" w:cs="Arial"/>
          <w:b/>
        </w:rPr>
      </w:pPr>
      <w:r w:rsidRPr="00375FD4">
        <w:rPr>
          <w:rFonts w:ascii="Arial" w:hAnsi="Arial" w:cs="Arial"/>
          <w:b/>
        </w:rPr>
        <w:t>Schools PPP Scheme</w:t>
      </w:r>
      <w:r w:rsidR="003E3A92">
        <w:rPr>
          <w:rFonts w:ascii="Arial" w:hAnsi="Arial" w:cs="Arial"/>
          <w:b/>
        </w:rPr>
        <w:t xml:space="preserve"> and Long Term Liability (Design, Build, Finance and Maintain (DBFM)</w:t>
      </w:r>
      <w:r w:rsidR="003E3A92" w:rsidRPr="00375FD4">
        <w:rPr>
          <w:rFonts w:ascii="Arial" w:hAnsi="Arial" w:cs="Arial"/>
          <w:b/>
        </w:rPr>
        <w:t xml:space="preserve"> Scheme</w:t>
      </w:r>
      <w:r w:rsidR="003E3A92">
        <w:rPr>
          <w:rFonts w:ascii="Arial" w:hAnsi="Arial" w:cs="Arial"/>
          <w:b/>
        </w:rPr>
        <w:t>)</w:t>
      </w:r>
    </w:p>
    <w:p w:rsidR="00990216" w:rsidRPr="00375FD4" w:rsidRDefault="00990216" w:rsidP="00990216">
      <w:pPr>
        <w:spacing w:before="0" w:after="0"/>
        <w:ind w:left="540" w:hanging="540"/>
        <w:jc w:val="both"/>
        <w:rPr>
          <w:rFonts w:ascii="Arial" w:hAnsi="Arial" w:cs="Arial"/>
        </w:rPr>
      </w:pPr>
    </w:p>
    <w:p w:rsidR="003E3A92" w:rsidRPr="00375FD4" w:rsidRDefault="00823DB5" w:rsidP="00B7703A">
      <w:pPr>
        <w:spacing w:before="0" w:after="0"/>
        <w:rPr>
          <w:rFonts w:ascii="Arial" w:hAnsi="Arial" w:cs="Arial"/>
        </w:rPr>
      </w:pPr>
      <w:r>
        <w:rPr>
          <w:rFonts w:ascii="Arial" w:hAnsi="Arial" w:cs="Arial"/>
        </w:rPr>
        <w:t>2019/20</w:t>
      </w:r>
      <w:r w:rsidR="00AF7EEC">
        <w:rPr>
          <w:rFonts w:ascii="Arial" w:hAnsi="Arial" w:cs="Arial"/>
        </w:rPr>
        <w:t xml:space="preserve"> was the </w:t>
      </w:r>
      <w:r>
        <w:rPr>
          <w:rFonts w:ascii="Arial" w:hAnsi="Arial" w:cs="Arial"/>
        </w:rPr>
        <w:t>eleven</w:t>
      </w:r>
      <w:r w:rsidR="00D56A04">
        <w:rPr>
          <w:rFonts w:ascii="Arial" w:hAnsi="Arial" w:cs="Arial"/>
        </w:rPr>
        <w:t>th</w:t>
      </w:r>
      <w:r w:rsidR="00990216" w:rsidRPr="00375FD4">
        <w:rPr>
          <w:rFonts w:ascii="Arial" w:hAnsi="Arial" w:cs="Arial"/>
        </w:rPr>
        <w:t xml:space="preserve"> year of a thirty year public private partnership for provision of three secondary schools and one primary school in Clydebank and Alexandria.  </w:t>
      </w:r>
      <w:r>
        <w:rPr>
          <w:rFonts w:ascii="Arial" w:hAnsi="Arial" w:cs="Arial"/>
        </w:rPr>
        <w:t>2019/20 was the third</w:t>
      </w:r>
      <w:r w:rsidR="003E3A92">
        <w:rPr>
          <w:rFonts w:ascii="Arial" w:hAnsi="Arial" w:cs="Arial"/>
        </w:rPr>
        <w:t xml:space="preserve"> year of a twenty-five year DBFM partnership for the provision of one secondary school in Dumbarton.</w:t>
      </w:r>
    </w:p>
    <w:p w:rsidR="00990216" w:rsidRPr="00375FD4" w:rsidRDefault="00990216" w:rsidP="001F1E67">
      <w:pPr>
        <w:spacing w:before="0" w:after="0"/>
        <w:ind w:left="540" w:hanging="540"/>
        <w:rPr>
          <w:rFonts w:ascii="Arial" w:hAnsi="Arial" w:cs="Arial"/>
        </w:rPr>
      </w:pPr>
    </w:p>
    <w:p w:rsidR="00990216" w:rsidRPr="009A6255" w:rsidRDefault="00E76272" w:rsidP="001F1E67">
      <w:pPr>
        <w:spacing w:before="0" w:after="0"/>
        <w:rPr>
          <w:rFonts w:ascii="Arial" w:hAnsi="Arial" w:cs="Arial"/>
          <w:b/>
        </w:rPr>
      </w:pPr>
      <w:r>
        <w:rPr>
          <w:rFonts w:ascii="Arial" w:hAnsi="Arial" w:cs="Arial"/>
        </w:rPr>
        <w:t>The c</w:t>
      </w:r>
      <w:r w:rsidR="00990216" w:rsidRPr="00375FD4">
        <w:rPr>
          <w:rFonts w:ascii="Arial" w:hAnsi="Arial" w:cs="Arial"/>
        </w:rPr>
        <w:t xml:space="preserve">ouncil has rights to use the schools for core </w:t>
      </w:r>
      <w:r w:rsidR="001D3FFE">
        <w:rPr>
          <w:rFonts w:ascii="Arial" w:hAnsi="Arial" w:cs="Arial"/>
        </w:rPr>
        <w:t>educational purposes between agreed</w:t>
      </w:r>
      <w:r w:rsidR="00990216" w:rsidRPr="00375FD4">
        <w:rPr>
          <w:rFonts w:ascii="Arial" w:hAnsi="Arial" w:cs="Arial"/>
        </w:rPr>
        <w:t xml:space="preserve"> hours.</w:t>
      </w:r>
      <w:r w:rsidR="009A6255">
        <w:rPr>
          <w:rFonts w:ascii="Arial" w:hAnsi="Arial" w:cs="Arial"/>
          <w:b/>
        </w:rPr>
        <w:t xml:space="preserve"> </w:t>
      </w:r>
      <w:r w:rsidR="00990216" w:rsidRPr="00375FD4">
        <w:rPr>
          <w:rFonts w:ascii="Arial" w:hAnsi="Arial" w:cs="Arial"/>
        </w:rPr>
        <w:t xml:space="preserve">The contract specifies minimum standards for the services to be provided by the contractor, with deductions from the fee payable being made if facilities are unavailable or performance is below the minimum standards.   </w:t>
      </w:r>
    </w:p>
    <w:p w:rsidR="00990216" w:rsidRPr="00375FD4" w:rsidRDefault="00990216" w:rsidP="00990216">
      <w:pPr>
        <w:spacing w:before="0" w:after="0"/>
        <w:ind w:left="540"/>
        <w:jc w:val="both"/>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The partnership agreement was for the design, build, finance and operation of the schools which means that the contractor took on the obligation to construct the schools and maintain them in a minimum acceptable condition and to procure and maintain the plant and equipment need to operate the schools.  When the agreement ends, after thirty years, unrestricted use and operation of the buildi</w:t>
      </w:r>
      <w:r w:rsidR="00C920DD">
        <w:rPr>
          <w:rFonts w:ascii="Arial" w:hAnsi="Arial" w:cs="Arial"/>
        </w:rPr>
        <w:t>ngs will be hande</w:t>
      </w:r>
      <w:r w:rsidR="00E76272">
        <w:rPr>
          <w:rFonts w:ascii="Arial" w:hAnsi="Arial" w:cs="Arial"/>
        </w:rPr>
        <w:t>d back to the c</w:t>
      </w:r>
      <w:r w:rsidRPr="00375FD4">
        <w:rPr>
          <w:rFonts w:ascii="Arial" w:hAnsi="Arial" w:cs="Arial"/>
        </w:rPr>
        <w:t>ouncil at nil cost.</w:t>
      </w:r>
    </w:p>
    <w:p w:rsidR="00210F02" w:rsidRPr="00375FD4" w:rsidRDefault="00210F02" w:rsidP="001F1E67">
      <w:pPr>
        <w:spacing w:before="0" w:after="0"/>
        <w:rPr>
          <w:rFonts w:ascii="Arial" w:hAnsi="Arial" w:cs="Arial"/>
        </w:rPr>
      </w:pPr>
    </w:p>
    <w:p w:rsidR="003E3A92" w:rsidRPr="00466A40" w:rsidRDefault="00990216" w:rsidP="00466A40">
      <w:pPr>
        <w:spacing w:before="0" w:after="0"/>
        <w:rPr>
          <w:rFonts w:ascii="Arial" w:hAnsi="Arial" w:cs="Arial"/>
        </w:rPr>
      </w:pPr>
      <w:r w:rsidRPr="00375FD4">
        <w:rPr>
          <w:rFonts w:ascii="Arial" w:hAnsi="Arial" w:cs="Arial"/>
        </w:rPr>
        <w:t>The Termination rights are in line with the market norms reflected in the Scottish Standard Schools Contract, as approved by the Scottish Govern</w:t>
      </w:r>
      <w:r w:rsidR="00466A40">
        <w:rPr>
          <w:rFonts w:ascii="Arial" w:hAnsi="Arial" w:cs="Arial"/>
        </w:rPr>
        <w:t>ment, prior to financial close.</w:t>
      </w:r>
    </w:p>
    <w:p w:rsidR="003E3A92" w:rsidRDefault="003E3A92" w:rsidP="001F1E67">
      <w:pPr>
        <w:spacing w:before="0" w:after="0"/>
        <w:rPr>
          <w:rFonts w:ascii="Arial" w:hAnsi="Arial" w:cs="Arial"/>
          <w:b/>
        </w:rPr>
      </w:pPr>
    </w:p>
    <w:p w:rsidR="00990216" w:rsidRPr="00375FD4" w:rsidRDefault="00990216" w:rsidP="001F1E67">
      <w:pPr>
        <w:spacing w:before="0" w:after="0"/>
        <w:rPr>
          <w:rFonts w:ascii="Arial" w:hAnsi="Arial" w:cs="Arial"/>
          <w:b/>
        </w:rPr>
      </w:pPr>
      <w:r w:rsidRPr="00375FD4">
        <w:rPr>
          <w:rFonts w:ascii="Arial" w:hAnsi="Arial" w:cs="Arial"/>
          <w:b/>
        </w:rPr>
        <w:t>Property, Plant and Equipment</w:t>
      </w:r>
    </w:p>
    <w:p w:rsidR="00990216" w:rsidRPr="00375FD4" w:rsidRDefault="00990216" w:rsidP="001F1E67">
      <w:pPr>
        <w:spacing w:before="0" w:after="0"/>
        <w:ind w:left="540"/>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The school b</w:t>
      </w:r>
      <w:r w:rsidR="00E76272">
        <w:rPr>
          <w:rFonts w:ascii="Arial" w:hAnsi="Arial" w:cs="Arial"/>
        </w:rPr>
        <w:t>uildings are recognised on the c</w:t>
      </w:r>
      <w:r w:rsidRPr="00375FD4">
        <w:rPr>
          <w:rFonts w:ascii="Arial" w:hAnsi="Arial" w:cs="Arial"/>
        </w:rPr>
        <w:t xml:space="preserve">ouncil’s balance sheet within property, plant and equipment balance.  Movements in their value over the year are detailed in the analysis of the </w:t>
      </w:r>
      <w:r w:rsidRPr="00E61D8C">
        <w:rPr>
          <w:rFonts w:ascii="Arial" w:hAnsi="Arial" w:cs="Arial"/>
        </w:rPr>
        <w:t xml:space="preserve">movement on the Property, Plant </w:t>
      </w:r>
      <w:r w:rsidR="007620E7" w:rsidRPr="00E61D8C">
        <w:rPr>
          <w:rFonts w:ascii="Arial" w:hAnsi="Arial" w:cs="Arial"/>
        </w:rPr>
        <w:t>and Equipment balance in note 1</w:t>
      </w:r>
      <w:r w:rsidR="00565CD8">
        <w:rPr>
          <w:rFonts w:ascii="Arial" w:hAnsi="Arial" w:cs="Arial"/>
        </w:rPr>
        <w:t>4</w:t>
      </w:r>
      <w:r w:rsidRPr="00E61D8C">
        <w:rPr>
          <w:rFonts w:ascii="Arial" w:hAnsi="Arial" w:cs="Arial"/>
        </w:rPr>
        <w:t>.</w:t>
      </w:r>
    </w:p>
    <w:p w:rsidR="00C60C0D" w:rsidRDefault="00C60C0D" w:rsidP="003E3A92">
      <w:pPr>
        <w:spacing w:before="0" w:after="0"/>
        <w:jc w:val="both"/>
        <w:rPr>
          <w:rFonts w:ascii="Arial" w:hAnsi="Arial" w:cs="Arial"/>
          <w:b/>
        </w:rPr>
      </w:pPr>
    </w:p>
    <w:p w:rsidR="00990216" w:rsidRPr="00375FD4" w:rsidRDefault="000852F7" w:rsidP="001F1E67">
      <w:pPr>
        <w:spacing w:before="0" w:after="0"/>
        <w:jc w:val="both"/>
        <w:rPr>
          <w:rFonts w:ascii="Arial" w:hAnsi="Arial" w:cs="Arial"/>
          <w:b/>
        </w:rPr>
      </w:pPr>
      <w:r>
        <w:rPr>
          <w:rFonts w:ascii="Arial" w:hAnsi="Arial" w:cs="Arial"/>
          <w:b/>
        </w:rPr>
        <w:t>P</w:t>
      </w:r>
      <w:r w:rsidR="00990216" w:rsidRPr="00375FD4">
        <w:rPr>
          <w:rFonts w:ascii="Arial" w:hAnsi="Arial" w:cs="Arial"/>
          <w:b/>
        </w:rPr>
        <w:t>ayments</w:t>
      </w:r>
    </w:p>
    <w:p w:rsidR="00990216" w:rsidRDefault="00990216" w:rsidP="00990216">
      <w:pPr>
        <w:spacing w:before="0" w:after="0"/>
        <w:ind w:left="540"/>
        <w:jc w:val="both"/>
        <w:rPr>
          <w:rFonts w:ascii="Arial" w:hAnsi="Arial" w:cs="Arial"/>
          <w:b/>
        </w:rPr>
      </w:pPr>
    </w:p>
    <w:p w:rsidR="00045E08" w:rsidRPr="001F1E67" w:rsidRDefault="00045E08" w:rsidP="001F1E67">
      <w:pPr>
        <w:spacing w:before="0" w:after="0"/>
        <w:jc w:val="both"/>
        <w:rPr>
          <w:rFonts w:ascii="Arial" w:hAnsi="Arial" w:cs="Arial"/>
        </w:rPr>
      </w:pPr>
      <w:r w:rsidRPr="001F1E67">
        <w:rPr>
          <w:rFonts w:ascii="Arial" w:hAnsi="Arial" w:cs="Arial"/>
        </w:rPr>
        <w:t>The amounts payable to the PPP</w:t>
      </w:r>
      <w:r w:rsidR="003E3A92">
        <w:rPr>
          <w:rFonts w:ascii="Arial" w:hAnsi="Arial" w:cs="Arial"/>
        </w:rPr>
        <w:t xml:space="preserve"> and DBFM</w:t>
      </w:r>
      <w:r w:rsidRPr="001F1E67">
        <w:rPr>
          <w:rFonts w:ascii="Arial" w:hAnsi="Arial" w:cs="Arial"/>
        </w:rPr>
        <w:t xml:space="preserve"> operators each year is analysed into five elements:</w:t>
      </w:r>
    </w:p>
    <w:p w:rsidR="00045E08" w:rsidRPr="00375FD4" w:rsidRDefault="00045E08" w:rsidP="00045E08">
      <w:pPr>
        <w:pStyle w:val="ListParagraph"/>
        <w:spacing w:before="0" w:after="0"/>
        <w:jc w:val="both"/>
        <w:rPr>
          <w:rFonts w:ascii="Arial" w:hAnsi="Arial" w:cs="Arial"/>
        </w:rPr>
      </w:pPr>
    </w:p>
    <w:p w:rsidR="00045E08" w:rsidRPr="00BE57CF" w:rsidRDefault="00045E08" w:rsidP="00EA6E47">
      <w:pPr>
        <w:pStyle w:val="ListParagraph"/>
        <w:numPr>
          <w:ilvl w:val="0"/>
          <w:numId w:val="15"/>
        </w:numPr>
        <w:spacing w:before="0" w:after="0"/>
        <w:ind w:left="709" w:hanging="709"/>
        <w:contextualSpacing w:val="0"/>
        <w:jc w:val="both"/>
        <w:rPr>
          <w:rFonts w:ascii="Arial" w:hAnsi="Arial" w:cs="Arial"/>
        </w:rPr>
      </w:pPr>
      <w:r w:rsidRPr="00375FD4">
        <w:rPr>
          <w:rFonts w:ascii="Arial" w:hAnsi="Arial" w:cs="Arial"/>
        </w:rPr>
        <w:t>fair value of the services received during the year;</w:t>
      </w:r>
    </w:p>
    <w:p w:rsidR="00045E08" w:rsidRPr="00BE57CF" w:rsidRDefault="00045E08" w:rsidP="00EA6E47">
      <w:pPr>
        <w:pStyle w:val="ListParagraph"/>
        <w:numPr>
          <w:ilvl w:val="0"/>
          <w:numId w:val="15"/>
        </w:numPr>
        <w:spacing w:before="0" w:after="0"/>
        <w:ind w:left="709" w:hanging="709"/>
        <w:contextualSpacing w:val="0"/>
        <w:jc w:val="both"/>
        <w:rPr>
          <w:rFonts w:ascii="Arial" w:hAnsi="Arial" w:cs="Arial"/>
        </w:rPr>
      </w:pPr>
      <w:r w:rsidRPr="00375FD4">
        <w:rPr>
          <w:rFonts w:ascii="Arial" w:hAnsi="Arial" w:cs="Arial"/>
        </w:rPr>
        <w:t>finance cost – an interest charge on the outstanding Balance Sheet liability;</w:t>
      </w:r>
    </w:p>
    <w:p w:rsidR="00045E08" w:rsidRPr="00BE57CF" w:rsidRDefault="00045E08" w:rsidP="00EA6E47">
      <w:pPr>
        <w:pStyle w:val="ListParagraph"/>
        <w:numPr>
          <w:ilvl w:val="0"/>
          <w:numId w:val="15"/>
        </w:numPr>
        <w:spacing w:before="0" w:after="0"/>
        <w:ind w:left="709" w:hanging="709"/>
        <w:contextualSpacing w:val="0"/>
        <w:jc w:val="both"/>
        <w:rPr>
          <w:rFonts w:ascii="Arial" w:hAnsi="Arial" w:cs="Arial"/>
        </w:rPr>
      </w:pPr>
      <w:r w:rsidRPr="00375FD4">
        <w:rPr>
          <w:rFonts w:ascii="Arial" w:hAnsi="Arial" w:cs="Arial"/>
        </w:rPr>
        <w:t>contingent rent – increases in the amount to be paid for the property arising during contract;</w:t>
      </w:r>
    </w:p>
    <w:p w:rsidR="00045E08" w:rsidRPr="00BE57CF" w:rsidRDefault="00045E08" w:rsidP="00EA6E47">
      <w:pPr>
        <w:pStyle w:val="ListParagraph"/>
        <w:numPr>
          <w:ilvl w:val="0"/>
          <w:numId w:val="15"/>
        </w:numPr>
        <w:spacing w:before="0" w:after="0"/>
        <w:ind w:left="709" w:hanging="709"/>
        <w:contextualSpacing w:val="0"/>
        <w:jc w:val="both"/>
        <w:rPr>
          <w:rFonts w:ascii="Arial" w:hAnsi="Arial" w:cs="Arial"/>
        </w:rPr>
      </w:pPr>
      <w:r w:rsidRPr="00375FD4">
        <w:rPr>
          <w:rFonts w:ascii="Arial" w:hAnsi="Arial" w:cs="Arial"/>
        </w:rPr>
        <w:t>payment towards the liability – applied to write down the Balance Sheet liability towards the PPP contractor; and</w:t>
      </w:r>
    </w:p>
    <w:p w:rsidR="00045E08" w:rsidRPr="00045E08" w:rsidRDefault="00045E08" w:rsidP="00EA6E47">
      <w:pPr>
        <w:pStyle w:val="ListParagraph"/>
        <w:numPr>
          <w:ilvl w:val="0"/>
          <w:numId w:val="15"/>
        </w:numPr>
        <w:spacing w:before="0" w:after="0"/>
        <w:ind w:left="709" w:hanging="709"/>
        <w:rPr>
          <w:rFonts w:ascii="Arial" w:hAnsi="Arial" w:cs="Arial"/>
          <w:b/>
        </w:rPr>
      </w:pPr>
      <w:r w:rsidRPr="00045E08">
        <w:rPr>
          <w:rFonts w:ascii="Arial" w:hAnsi="Arial" w:cs="Arial"/>
        </w:rPr>
        <w:t>lifecycle replacement costs – proportion of the amounts payable posted to the Balance Sheet as a prepayment and then recognised as additions to property, plant and equipment when the relevant work is carried out.</w:t>
      </w:r>
    </w:p>
    <w:p w:rsidR="00045E08" w:rsidRPr="00375FD4" w:rsidRDefault="00045E08" w:rsidP="001F1E67">
      <w:pPr>
        <w:spacing w:before="0" w:after="0"/>
        <w:ind w:left="540"/>
        <w:rPr>
          <w:rFonts w:ascii="Arial" w:hAnsi="Arial" w:cs="Arial"/>
          <w:b/>
        </w:rPr>
      </w:pPr>
    </w:p>
    <w:p w:rsidR="00990216" w:rsidRDefault="00990216" w:rsidP="007D6DAB">
      <w:pPr>
        <w:spacing w:before="0" w:after="0"/>
        <w:rPr>
          <w:rFonts w:ascii="Arial" w:hAnsi="Arial" w:cs="Arial"/>
        </w:rPr>
      </w:pPr>
      <w:r w:rsidRPr="00375FD4">
        <w:rPr>
          <w:rFonts w:ascii="Arial" w:hAnsi="Arial" w:cs="Arial"/>
        </w:rPr>
        <w:t>Payments remaining to be made under t</w:t>
      </w:r>
      <w:r w:rsidR="003E3A92">
        <w:rPr>
          <w:rFonts w:ascii="Arial" w:hAnsi="Arial" w:cs="Arial"/>
        </w:rPr>
        <w:t xml:space="preserve">he PPP and DBFM </w:t>
      </w:r>
      <w:r w:rsidR="00AF7EEC">
        <w:rPr>
          <w:rFonts w:ascii="Arial" w:hAnsi="Arial" w:cs="Arial"/>
        </w:rPr>
        <w:t>contract</w:t>
      </w:r>
      <w:r w:rsidR="003E3A92">
        <w:rPr>
          <w:rFonts w:ascii="Arial" w:hAnsi="Arial" w:cs="Arial"/>
        </w:rPr>
        <w:t>s</w:t>
      </w:r>
      <w:r w:rsidR="00DB69C3">
        <w:rPr>
          <w:rFonts w:ascii="Arial" w:hAnsi="Arial" w:cs="Arial"/>
        </w:rPr>
        <w:t xml:space="preserve"> at 31 March 2020</w:t>
      </w:r>
      <w:r w:rsidRPr="00375FD4">
        <w:rPr>
          <w:rFonts w:ascii="Arial" w:hAnsi="Arial" w:cs="Arial"/>
        </w:rPr>
        <w:t xml:space="preserve"> (excluding any estimation of inflation and availability/performance deductions) are as follows:</w:t>
      </w:r>
      <w:r w:rsidR="008F6AE7">
        <w:rPr>
          <w:rFonts w:ascii="Arial" w:hAnsi="Arial" w:cs="Arial"/>
        </w:rPr>
        <w:t xml:space="preserve"> </w:t>
      </w:r>
    </w:p>
    <w:p w:rsidR="00D56A04" w:rsidRPr="00375FD4" w:rsidRDefault="00D56A04" w:rsidP="00990216">
      <w:pPr>
        <w:spacing w:before="0" w:after="0"/>
        <w:ind w:left="540"/>
        <w:jc w:val="both"/>
        <w:rPr>
          <w:rFonts w:ascii="Arial" w:hAnsi="Arial" w:cs="Arial"/>
        </w:rPr>
      </w:pPr>
    </w:p>
    <w:p w:rsidR="00210F02" w:rsidRDefault="00C85D12" w:rsidP="00823DB5">
      <w:pPr>
        <w:spacing w:before="0" w:after="0"/>
        <w:jc w:val="both"/>
        <w:rPr>
          <w:rFonts w:ascii="Arial" w:hAnsi="Arial" w:cs="Arial"/>
        </w:rPr>
      </w:pPr>
      <w:r w:rsidRPr="00C85D12">
        <w:rPr>
          <w:noProof/>
          <w:lang w:eastAsia="en-GB"/>
        </w:rPr>
        <w:drawing>
          <wp:inline distT="0" distB="0" distL="0" distR="0" wp14:anchorId="37F2599A" wp14:editId="6764349F">
            <wp:extent cx="5731510" cy="1899220"/>
            <wp:effectExtent l="0" t="0" r="2540" b="6350"/>
            <wp:docPr id="130" name="Picture 130" descr="Payments remaining to be made under the PPP and DBFM contracts at 31 March 2020 (excluding any estimation of inflation and availability/performance deductions) " title="Note 20 – Private Finance Initiatives and Similar Contra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731510" cy="1899220"/>
                    </a:xfrm>
                    <a:prstGeom prst="rect">
                      <a:avLst/>
                    </a:prstGeom>
                    <a:noFill/>
                    <a:ln>
                      <a:noFill/>
                    </a:ln>
                  </pic:spPr>
                </pic:pic>
              </a:graphicData>
            </a:graphic>
          </wp:inline>
        </w:drawing>
      </w:r>
    </w:p>
    <w:p w:rsidR="00466A40" w:rsidRPr="00FB7345" w:rsidRDefault="00466A40" w:rsidP="00466A40">
      <w:pPr>
        <w:spacing w:before="0" w:after="0" w:line="360" w:lineRule="auto"/>
        <w:jc w:val="both"/>
        <w:rPr>
          <w:rFonts w:ascii="Arial" w:hAnsi="Arial" w:cs="Arial"/>
          <w:b/>
        </w:rPr>
      </w:pPr>
      <w:r w:rsidRPr="00375FD4">
        <w:rPr>
          <w:rFonts w:ascii="Arial" w:hAnsi="Arial" w:cs="Arial"/>
          <w:b/>
          <w:sz w:val="24"/>
          <w:szCs w:val="24"/>
        </w:rPr>
        <w:lastRenderedPageBreak/>
        <w:t>Notes to the Financial Statements (Cont’d)</w:t>
      </w:r>
    </w:p>
    <w:p w:rsidR="00823DB5" w:rsidRDefault="00823DB5" w:rsidP="00CD1583">
      <w:pPr>
        <w:spacing w:before="0" w:after="0"/>
        <w:ind w:left="540"/>
        <w:jc w:val="both"/>
        <w:rPr>
          <w:rFonts w:ascii="Arial" w:hAnsi="Arial" w:cs="Arial"/>
        </w:rPr>
      </w:pPr>
    </w:p>
    <w:p w:rsidR="00466A40" w:rsidRPr="000A3446" w:rsidRDefault="00466A40" w:rsidP="00466A40">
      <w:pPr>
        <w:pStyle w:val="Heading1"/>
        <w:spacing w:before="0"/>
        <w:rPr>
          <w:rFonts w:ascii="Arial" w:hAnsi="Arial" w:cs="Arial"/>
          <w:color w:val="auto"/>
          <w:sz w:val="20"/>
          <w:szCs w:val="20"/>
        </w:rPr>
      </w:pPr>
      <w:r>
        <w:rPr>
          <w:rFonts w:ascii="Arial" w:hAnsi="Arial" w:cs="Arial"/>
          <w:color w:val="auto"/>
          <w:sz w:val="20"/>
          <w:szCs w:val="20"/>
        </w:rPr>
        <w:t>Note 20</w:t>
      </w:r>
      <w:r w:rsidRPr="000A3446">
        <w:rPr>
          <w:rFonts w:ascii="Arial" w:hAnsi="Arial" w:cs="Arial"/>
          <w:color w:val="auto"/>
          <w:sz w:val="20"/>
          <w:szCs w:val="20"/>
        </w:rPr>
        <w:t xml:space="preserve"> – Private Finance Initiatives and Similar Contracts </w:t>
      </w:r>
      <w:r>
        <w:rPr>
          <w:rFonts w:ascii="Arial" w:hAnsi="Arial" w:cs="Arial"/>
          <w:color w:val="auto"/>
          <w:sz w:val="20"/>
          <w:szCs w:val="20"/>
        </w:rPr>
        <w:t>(cont’d)</w:t>
      </w:r>
    </w:p>
    <w:p w:rsidR="00466A40" w:rsidRDefault="00466A40" w:rsidP="00CD1583">
      <w:pPr>
        <w:spacing w:before="0" w:after="0"/>
        <w:ind w:left="540"/>
        <w:jc w:val="both"/>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Although the payments made to the contractor are described as unitary charge payments, they have been calculated to compensate the contractor for the fair value of the services they provide, the capital expenditure incurred and interest payable whilst the capital expendi</w:t>
      </w:r>
      <w:r w:rsidR="00045E08">
        <w:rPr>
          <w:rFonts w:ascii="Arial" w:hAnsi="Arial" w:cs="Arial"/>
        </w:rPr>
        <w:t xml:space="preserve">ture remains to be reimbursed. </w:t>
      </w:r>
      <w:r w:rsidRPr="00375FD4">
        <w:rPr>
          <w:rFonts w:ascii="Arial" w:hAnsi="Arial" w:cs="Arial"/>
        </w:rPr>
        <w:t>The liability outstanding to be paid to the contractor for capital expe</w:t>
      </w:r>
      <w:r w:rsidR="00CD1583" w:rsidRPr="00375FD4">
        <w:rPr>
          <w:rFonts w:ascii="Arial" w:hAnsi="Arial" w:cs="Arial"/>
        </w:rPr>
        <w:t>nditure incurred is as follows:</w:t>
      </w:r>
    </w:p>
    <w:p w:rsidR="00CD1583" w:rsidRPr="00375FD4" w:rsidRDefault="00CD1583" w:rsidP="00CD1583">
      <w:pPr>
        <w:spacing w:before="0" w:after="0"/>
        <w:ind w:left="540"/>
        <w:jc w:val="both"/>
        <w:rPr>
          <w:rFonts w:ascii="Arial" w:hAnsi="Arial" w:cs="Arial"/>
        </w:rPr>
      </w:pPr>
    </w:p>
    <w:p w:rsidR="00CD1583" w:rsidRPr="00375FD4" w:rsidRDefault="00C85D12" w:rsidP="00CD1583">
      <w:pPr>
        <w:spacing w:before="0" w:after="0"/>
        <w:ind w:left="540"/>
        <w:jc w:val="both"/>
        <w:rPr>
          <w:rFonts w:ascii="Arial" w:hAnsi="Arial" w:cs="Arial"/>
        </w:rPr>
      </w:pPr>
      <w:r w:rsidRPr="00C85D12">
        <w:rPr>
          <w:noProof/>
          <w:lang w:eastAsia="en-GB"/>
        </w:rPr>
        <w:drawing>
          <wp:inline distT="0" distB="0" distL="0" distR="0">
            <wp:extent cx="4001770" cy="985520"/>
            <wp:effectExtent l="0" t="0" r="0" b="5080"/>
            <wp:docPr id="133" name="Picture 133" descr="The liability outstanding to be paid to the contractor for capital expenditure incurred " title="Note 20 – Private Finance Initiatives and Similar Cont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01770" cy="985520"/>
                    </a:xfrm>
                    <a:prstGeom prst="rect">
                      <a:avLst/>
                    </a:prstGeom>
                    <a:noFill/>
                    <a:ln>
                      <a:noFill/>
                    </a:ln>
                  </pic:spPr>
                </pic:pic>
              </a:graphicData>
            </a:graphic>
          </wp:inline>
        </w:drawing>
      </w:r>
    </w:p>
    <w:p w:rsidR="00CD1583" w:rsidRPr="00375FD4" w:rsidRDefault="00CD1583" w:rsidP="00CD1583">
      <w:pPr>
        <w:spacing w:before="0" w:after="0"/>
        <w:ind w:left="540"/>
        <w:jc w:val="both"/>
        <w:rPr>
          <w:rFonts w:ascii="Arial" w:hAnsi="Arial" w:cs="Arial"/>
        </w:rPr>
      </w:pPr>
    </w:p>
    <w:p w:rsidR="00990216" w:rsidRPr="000A3446" w:rsidRDefault="00466A40" w:rsidP="00CD1583">
      <w:pPr>
        <w:pStyle w:val="Heading1"/>
        <w:spacing w:before="0"/>
        <w:rPr>
          <w:rFonts w:ascii="Arial" w:hAnsi="Arial" w:cs="Arial"/>
          <w:color w:val="auto"/>
          <w:sz w:val="20"/>
          <w:szCs w:val="20"/>
        </w:rPr>
      </w:pPr>
      <w:r>
        <w:rPr>
          <w:rFonts w:ascii="Arial" w:hAnsi="Arial" w:cs="Arial"/>
          <w:color w:val="auto"/>
          <w:sz w:val="20"/>
          <w:szCs w:val="20"/>
        </w:rPr>
        <w:t>Note 21</w:t>
      </w:r>
      <w:r w:rsidR="00990216" w:rsidRPr="000A3446">
        <w:rPr>
          <w:rFonts w:ascii="Arial" w:hAnsi="Arial" w:cs="Arial"/>
          <w:color w:val="auto"/>
          <w:sz w:val="20"/>
          <w:szCs w:val="20"/>
        </w:rPr>
        <w:t xml:space="preserve"> – Debtors </w:t>
      </w:r>
    </w:p>
    <w:p w:rsidR="00990216" w:rsidRPr="00375FD4" w:rsidRDefault="00990216" w:rsidP="00990216">
      <w:pPr>
        <w:spacing w:before="0" w:after="0"/>
        <w:rPr>
          <w:rFonts w:ascii="Arial" w:hAnsi="Arial" w:cs="Arial"/>
          <w:b/>
        </w:rPr>
      </w:pPr>
    </w:p>
    <w:p w:rsidR="00245D9B" w:rsidRDefault="00A13577" w:rsidP="00A8763D">
      <w:pPr>
        <w:spacing w:before="0" w:after="0"/>
        <w:rPr>
          <w:noProof/>
          <w:lang w:eastAsia="en-GB"/>
        </w:rPr>
      </w:pPr>
      <w:r w:rsidRPr="00A13577">
        <w:rPr>
          <w:noProof/>
          <w:lang w:eastAsia="en-GB"/>
        </w:rPr>
        <w:drawing>
          <wp:inline distT="0" distB="0" distL="0" distR="0">
            <wp:extent cx="4927600" cy="2101850"/>
            <wp:effectExtent l="0" t="0" r="6350" b="0"/>
            <wp:docPr id="227" name="Picture 227" descr="detailed breakdown of debtors as at 31 march 2020" title="note 21 deb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927600" cy="2101850"/>
                    </a:xfrm>
                    <a:prstGeom prst="rect">
                      <a:avLst/>
                    </a:prstGeom>
                    <a:noFill/>
                    <a:ln>
                      <a:noFill/>
                    </a:ln>
                  </pic:spPr>
                </pic:pic>
              </a:graphicData>
            </a:graphic>
          </wp:inline>
        </w:drawing>
      </w:r>
    </w:p>
    <w:p w:rsidR="00A8763D" w:rsidRDefault="00A8763D" w:rsidP="00A8763D">
      <w:pPr>
        <w:spacing w:before="0" w:after="0"/>
        <w:rPr>
          <w:noProof/>
          <w:lang w:eastAsia="en-GB"/>
        </w:rPr>
      </w:pPr>
    </w:p>
    <w:p w:rsidR="009C5915" w:rsidRPr="009C5915" w:rsidRDefault="00466A40" w:rsidP="009C5915">
      <w:pPr>
        <w:pStyle w:val="Heading1"/>
        <w:spacing w:before="0"/>
        <w:rPr>
          <w:rFonts w:ascii="Arial" w:hAnsi="Arial" w:cs="Arial"/>
          <w:color w:val="auto"/>
          <w:sz w:val="20"/>
          <w:szCs w:val="20"/>
        </w:rPr>
      </w:pPr>
      <w:r>
        <w:rPr>
          <w:rFonts w:ascii="Arial" w:hAnsi="Arial" w:cs="Arial"/>
          <w:color w:val="auto"/>
          <w:sz w:val="20"/>
          <w:szCs w:val="20"/>
        </w:rPr>
        <w:t>Note 22</w:t>
      </w:r>
      <w:r w:rsidR="009C5915">
        <w:rPr>
          <w:rFonts w:ascii="Arial" w:hAnsi="Arial" w:cs="Arial"/>
          <w:color w:val="auto"/>
          <w:sz w:val="20"/>
          <w:szCs w:val="20"/>
        </w:rPr>
        <w:t xml:space="preserve"> - </w:t>
      </w:r>
      <w:r w:rsidR="009C5915" w:rsidRPr="009C5915">
        <w:rPr>
          <w:rFonts w:ascii="Arial" w:hAnsi="Arial" w:cs="Arial"/>
          <w:color w:val="auto"/>
          <w:sz w:val="20"/>
          <w:szCs w:val="20"/>
        </w:rPr>
        <w:t>Common Good Fund</w:t>
      </w:r>
    </w:p>
    <w:p w:rsidR="009C5915" w:rsidRPr="00375FD4" w:rsidRDefault="009C5915" w:rsidP="009C5915">
      <w:pPr>
        <w:spacing w:before="0" w:after="0"/>
        <w:rPr>
          <w:rFonts w:ascii="Arial" w:hAnsi="Arial" w:cs="Arial"/>
        </w:rPr>
      </w:pPr>
    </w:p>
    <w:p w:rsidR="009C5915" w:rsidRPr="00375FD4" w:rsidRDefault="009C5915" w:rsidP="009C5915">
      <w:pPr>
        <w:pStyle w:val="BodyText"/>
        <w:spacing w:before="0" w:after="0"/>
        <w:jc w:val="left"/>
        <w:rPr>
          <w:rFonts w:ascii="Arial" w:hAnsi="Arial" w:cs="Arial"/>
        </w:rPr>
      </w:pPr>
      <w:r>
        <w:rPr>
          <w:rFonts w:ascii="Arial" w:hAnsi="Arial" w:cs="Arial"/>
        </w:rPr>
        <w:t>The c</w:t>
      </w:r>
      <w:r w:rsidRPr="00375FD4">
        <w:rPr>
          <w:rFonts w:ascii="Arial" w:hAnsi="Arial" w:cs="Arial"/>
        </w:rPr>
        <w:t>ouncil administers the Dumbarton Common Good Fund Account. The Fund is applied for the benefit of the people of Dumbarton. The figures below summarise the income and expenditure for the year as well as the assets and</w:t>
      </w:r>
      <w:r>
        <w:rPr>
          <w:rFonts w:ascii="Arial" w:hAnsi="Arial" w:cs="Arial"/>
        </w:rPr>
        <w:t xml:space="preserve"> lia</w:t>
      </w:r>
      <w:r w:rsidR="00823DB5">
        <w:rPr>
          <w:rFonts w:ascii="Arial" w:hAnsi="Arial" w:cs="Arial"/>
        </w:rPr>
        <w:t>bilities as at 31 March 2020</w:t>
      </w:r>
      <w:r>
        <w:rPr>
          <w:rFonts w:ascii="Arial" w:hAnsi="Arial" w:cs="Arial"/>
        </w:rPr>
        <w:t xml:space="preserve">. </w:t>
      </w:r>
      <w:r w:rsidRPr="00375FD4">
        <w:rPr>
          <w:rFonts w:ascii="Arial" w:hAnsi="Arial" w:cs="Arial"/>
        </w:rPr>
        <w:t>The fund do</w:t>
      </w:r>
      <w:r>
        <w:rPr>
          <w:rFonts w:ascii="Arial" w:hAnsi="Arial" w:cs="Arial"/>
        </w:rPr>
        <w:t>es not represent assets of the c</w:t>
      </w:r>
      <w:r w:rsidRPr="00375FD4">
        <w:rPr>
          <w:rFonts w:ascii="Arial" w:hAnsi="Arial" w:cs="Arial"/>
        </w:rPr>
        <w:t>ouncil and has not been included wit</w:t>
      </w:r>
      <w:r w:rsidR="004538A5">
        <w:rPr>
          <w:rFonts w:ascii="Arial" w:hAnsi="Arial" w:cs="Arial"/>
        </w:rPr>
        <w:t>hin the Balance Sheet on page 38</w:t>
      </w:r>
      <w:r w:rsidRPr="00375FD4">
        <w:rPr>
          <w:rFonts w:ascii="Arial" w:hAnsi="Arial" w:cs="Arial"/>
        </w:rPr>
        <w:t>.</w:t>
      </w:r>
    </w:p>
    <w:p w:rsidR="009C5915" w:rsidRDefault="009C5915"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Default="00466A40" w:rsidP="009C5915">
      <w:pPr>
        <w:pStyle w:val="BodyText"/>
        <w:spacing w:before="0" w:after="0"/>
        <w:rPr>
          <w:rFonts w:ascii="Arial" w:hAnsi="Arial" w:cs="Arial"/>
        </w:rPr>
      </w:pPr>
    </w:p>
    <w:p w:rsidR="00466A40" w:rsidRPr="00375FD4"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Default="00466A40" w:rsidP="00466A40">
      <w:pPr>
        <w:spacing w:before="0" w:after="0" w:line="360" w:lineRule="auto"/>
        <w:jc w:val="both"/>
        <w:rPr>
          <w:rFonts w:ascii="Arial" w:hAnsi="Arial" w:cs="Arial"/>
          <w:b/>
        </w:rPr>
      </w:pPr>
    </w:p>
    <w:p w:rsidR="00466A40" w:rsidRPr="009C5915" w:rsidRDefault="00466A40" w:rsidP="00466A40">
      <w:pPr>
        <w:pStyle w:val="Heading1"/>
        <w:spacing w:before="0"/>
        <w:rPr>
          <w:rFonts w:ascii="Arial" w:hAnsi="Arial" w:cs="Arial"/>
          <w:color w:val="auto"/>
          <w:sz w:val="20"/>
          <w:szCs w:val="20"/>
        </w:rPr>
      </w:pPr>
      <w:r>
        <w:rPr>
          <w:rFonts w:ascii="Arial" w:hAnsi="Arial" w:cs="Arial"/>
          <w:color w:val="auto"/>
          <w:sz w:val="20"/>
          <w:szCs w:val="20"/>
        </w:rPr>
        <w:t xml:space="preserve">Note 22 - </w:t>
      </w:r>
      <w:r w:rsidRPr="009C5915">
        <w:rPr>
          <w:rFonts w:ascii="Arial" w:hAnsi="Arial" w:cs="Arial"/>
          <w:color w:val="auto"/>
          <w:sz w:val="20"/>
          <w:szCs w:val="20"/>
        </w:rPr>
        <w:t>Common Good Fund</w:t>
      </w:r>
      <w:r>
        <w:rPr>
          <w:rFonts w:ascii="Arial" w:hAnsi="Arial" w:cs="Arial"/>
          <w:color w:val="auto"/>
          <w:sz w:val="20"/>
          <w:szCs w:val="20"/>
        </w:rPr>
        <w:t xml:space="preserve"> (Cont’d)</w:t>
      </w:r>
    </w:p>
    <w:p w:rsidR="00466A40" w:rsidRDefault="00466A40" w:rsidP="00466A40">
      <w:pPr>
        <w:spacing w:before="0" w:after="0" w:line="360" w:lineRule="auto"/>
        <w:jc w:val="both"/>
        <w:rPr>
          <w:rFonts w:ascii="Arial" w:hAnsi="Arial" w:cs="Arial"/>
          <w:b/>
        </w:rPr>
      </w:pPr>
    </w:p>
    <w:p w:rsidR="009C5915" w:rsidRPr="0053065E" w:rsidRDefault="009C5915" w:rsidP="009C5915">
      <w:pPr>
        <w:pStyle w:val="BodyText"/>
        <w:spacing w:before="0" w:after="0"/>
        <w:rPr>
          <w:rFonts w:ascii="Arial" w:hAnsi="Arial" w:cs="Arial"/>
          <w:b/>
        </w:rPr>
      </w:pPr>
      <w:r w:rsidRPr="00375FD4">
        <w:rPr>
          <w:rFonts w:ascii="Arial" w:hAnsi="Arial" w:cs="Arial"/>
          <w:b/>
        </w:rPr>
        <w:t>Income and Expenditure Account</w:t>
      </w:r>
    </w:p>
    <w:p w:rsidR="009C5915" w:rsidRDefault="009C5915" w:rsidP="009C5915">
      <w:pPr>
        <w:spacing w:before="0" w:after="0"/>
      </w:pPr>
    </w:p>
    <w:p w:rsidR="009C5915" w:rsidRDefault="00565CD8" w:rsidP="009C5915">
      <w:pPr>
        <w:spacing w:before="0" w:after="0" w:line="360" w:lineRule="auto"/>
        <w:jc w:val="both"/>
        <w:rPr>
          <w:rFonts w:ascii="Arial" w:hAnsi="Arial" w:cs="Arial"/>
          <w:b/>
        </w:rPr>
      </w:pPr>
      <w:r w:rsidRPr="00565CD8">
        <w:rPr>
          <w:noProof/>
          <w:lang w:eastAsia="en-GB"/>
        </w:rPr>
        <w:drawing>
          <wp:inline distT="0" distB="0" distL="0" distR="0">
            <wp:extent cx="3776345" cy="3788410"/>
            <wp:effectExtent l="0" t="0" r="0" b="2540"/>
            <wp:docPr id="140" name="Picture 140" descr="income &amp; expenditure statement for the common good account" title="note 22 common good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776345" cy="3788410"/>
                    </a:xfrm>
                    <a:prstGeom prst="rect">
                      <a:avLst/>
                    </a:prstGeom>
                    <a:noFill/>
                    <a:ln>
                      <a:noFill/>
                    </a:ln>
                  </pic:spPr>
                </pic:pic>
              </a:graphicData>
            </a:graphic>
          </wp:inline>
        </w:drawing>
      </w:r>
    </w:p>
    <w:p w:rsidR="00466A40" w:rsidRDefault="00466A40" w:rsidP="009C5915">
      <w:pPr>
        <w:spacing w:before="0" w:after="0" w:line="360" w:lineRule="auto"/>
        <w:jc w:val="both"/>
        <w:rPr>
          <w:rFonts w:ascii="Arial" w:hAnsi="Arial" w:cs="Arial"/>
          <w:b/>
        </w:rPr>
      </w:pPr>
    </w:p>
    <w:p w:rsidR="009C5915" w:rsidRDefault="009C5915" w:rsidP="009C5915">
      <w:pPr>
        <w:spacing w:before="0" w:after="0" w:line="360" w:lineRule="auto"/>
        <w:jc w:val="both"/>
        <w:rPr>
          <w:rFonts w:ascii="Arial" w:hAnsi="Arial" w:cs="Arial"/>
          <w:b/>
        </w:rPr>
      </w:pPr>
      <w:r w:rsidRPr="00375FD4">
        <w:rPr>
          <w:rFonts w:ascii="Arial" w:hAnsi="Arial" w:cs="Arial"/>
          <w:b/>
        </w:rPr>
        <w:t>B</w:t>
      </w:r>
      <w:r>
        <w:rPr>
          <w:rFonts w:ascii="Arial" w:hAnsi="Arial" w:cs="Arial"/>
          <w:b/>
        </w:rPr>
        <w:t>alance Sheet as at 31 Marc</w:t>
      </w:r>
      <w:r w:rsidR="00823DB5">
        <w:rPr>
          <w:rFonts w:ascii="Arial" w:hAnsi="Arial" w:cs="Arial"/>
          <w:b/>
        </w:rPr>
        <w:t>h 2020</w:t>
      </w:r>
    </w:p>
    <w:p w:rsidR="00E61AC7" w:rsidRPr="008A0EF5" w:rsidRDefault="000A5EDE" w:rsidP="009C5915">
      <w:pPr>
        <w:spacing w:before="0" w:after="0" w:line="360" w:lineRule="auto"/>
        <w:jc w:val="both"/>
        <w:rPr>
          <w:rFonts w:ascii="Arial" w:hAnsi="Arial" w:cs="Arial"/>
          <w:b/>
        </w:rPr>
      </w:pPr>
      <w:r w:rsidRPr="000A5EDE">
        <w:rPr>
          <w:noProof/>
          <w:lang w:eastAsia="en-GB"/>
        </w:rPr>
        <w:drawing>
          <wp:inline distT="0" distB="0" distL="0" distR="0">
            <wp:extent cx="3776345" cy="2113915"/>
            <wp:effectExtent l="0" t="0" r="0" b="635"/>
            <wp:docPr id="63" name="Picture 63" descr="balance sheet of the common good account as at 31 march 2020" title="note 22 common good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776345" cy="2113915"/>
                    </a:xfrm>
                    <a:prstGeom prst="rect">
                      <a:avLst/>
                    </a:prstGeom>
                    <a:noFill/>
                    <a:ln>
                      <a:noFill/>
                    </a:ln>
                  </pic:spPr>
                </pic:pic>
              </a:graphicData>
            </a:graphic>
          </wp:inline>
        </w:drawing>
      </w:r>
    </w:p>
    <w:p w:rsidR="00E61AC7" w:rsidRDefault="00E61AC7" w:rsidP="009C5915">
      <w:pPr>
        <w:spacing w:before="0" w:after="0"/>
        <w:jc w:val="both"/>
        <w:rPr>
          <w:rFonts w:ascii="Arial" w:hAnsi="Arial" w:cs="Arial"/>
        </w:rPr>
      </w:pPr>
    </w:p>
    <w:p w:rsidR="00466A40" w:rsidRDefault="00466A40" w:rsidP="00466A40">
      <w:pPr>
        <w:spacing w:before="0" w:after="0"/>
        <w:jc w:val="both"/>
        <w:rPr>
          <w:rFonts w:ascii="Arial" w:hAnsi="Arial" w:cs="Arial"/>
          <w:b/>
          <w:sz w:val="24"/>
          <w:szCs w:val="24"/>
        </w:rPr>
      </w:pPr>
    </w:p>
    <w:p w:rsidR="00466A40" w:rsidRDefault="00466A40" w:rsidP="00466A40">
      <w:pPr>
        <w:spacing w:before="0" w:after="0"/>
        <w:jc w:val="both"/>
        <w:rPr>
          <w:rFonts w:ascii="Arial" w:hAnsi="Arial" w:cs="Arial"/>
          <w:b/>
          <w:sz w:val="24"/>
          <w:szCs w:val="24"/>
        </w:rPr>
      </w:pPr>
    </w:p>
    <w:p w:rsidR="00466A40" w:rsidRDefault="00466A40" w:rsidP="00466A40">
      <w:pPr>
        <w:spacing w:before="0" w:after="0"/>
        <w:jc w:val="both"/>
        <w:rPr>
          <w:rFonts w:ascii="Arial" w:hAnsi="Arial" w:cs="Arial"/>
          <w:b/>
          <w:sz w:val="24"/>
          <w:szCs w:val="24"/>
        </w:rPr>
      </w:pPr>
    </w:p>
    <w:p w:rsidR="00466A40" w:rsidRDefault="00466A40" w:rsidP="00466A40">
      <w:pPr>
        <w:spacing w:before="0" w:after="0"/>
        <w:jc w:val="both"/>
        <w:rPr>
          <w:rFonts w:ascii="Arial" w:hAnsi="Arial" w:cs="Arial"/>
          <w:b/>
          <w:sz w:val="24"/>
          <w:szCs w:val="24"/>
        </w:rPr>
      </w:pPr>
    </w:p>
    <w:p w:rsidR="00BE3CC9" w:rsidRDefault="00BE3CC9" w:rsidP="00466A40">
      <w:pPr>
        <w:spacing w:before="0" w:after="0"/>
        <w:jc w:val="both"/>
        <w:rPr>
          <w:rFonts w:ascii="Arial" w:hAnsi="Arial" w:cs="Arial"/>
          <w:b/>
          <w:sz w:val="24"/>
          <w:szCs w:val="24"/>
        </w:rPr>
      </w:pPr>
    </w:p>
    <w:p w:rsidR="00466A40" w:rsidRDefault="00466A40" w:rsidP="00466A40">
      <w:pPr>
        <w:spacing w:before="0" w:after="0"/>
        <w:jc w:val="both"/>
        <w:rPr>
          <w:rFonts w:ascii="Arial" w:hAnsi="Arial" w:cs="Arial"/>
          <w:b/>
          <w:sz w:val="24"/>
          <w:szCs w:val="24"/>
        </w:rPr>
      </w:pPr>
    </w:p>
    <w:p w:rsidR="00466A40" w:rsidRPr="00375FD4"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Default="00466A40" w:rsidP="00466A40">
      <w:pPr>
        <w:spacing w:before="0" w:after="0"/>
        <w:jc w:val="both"/>
        <w:rPr>
          <w:rFonts w:ascii="Arial" w:hAnsi="Arial" w:cs="Arial"/>
          <w:b/>
        </w:rPr>
      </w:pPr>
    </w:p>
    <w:p w:rsidR="009C5915" w:rsidRPr="009C5915" w:rsidRDefault="00466A40" w:rsidP="009C5915">
      <w:pPr>
        <w:pStyle w:val="Heading1"/>
        <w:spacing w:before="0"/>
        <w:rPr>
          <w:rFonts w:ascii="Arial" w:hAnsi="Arial" w:cs="Arial"/>
          <w:color w:val="auto"/>
          <w:sz w:val="20"/>
          <w:szCs w:val="20"/>
        </w:rPr>
      </w:pPr>
      <w:r>
        <w:rPr>
          <w:rFonts w:ascii="Arial" w:hAnsi="Arial" w:cs="Arial"/>
          <w:color w:val="auto"/>
          <w:sz w:val="20"/>
          <w:szCs w:val="20"/>
        </w:rPr>
        <w:t>Note 23</w:t>
      </w:r>
      <w:r w:rsidR="009C5915">
        <w:rPr>
          <w:rFonts w:ascii="Arial" w:hAnsi="Arial" w:cs="Arial"/>
          <w:color w:val="auto"/>
          <w:sz w:val="20"/>
          <w:szCs w:val="20"/>
        </w:rPr>
        <w:t xml:space="preserve"> – Trust</w:t>
      </w:r>
      <w:r w:rsidR="009C5915" w:rsidRPr="009C5915">
        <w:rPr>
          <w:rFonts w:ascii="Arial" w:hAnsi="Arial" w:cs="Arial"/>
          <w:color w:val="auto"/>
          <w:sz w:val="20"/>
          <w:szCs w:val="20"/>
        </w:rPr>
        <w:t xml:space="preserve"> Fund</w:t>
      </w:r>
      <w:r w:rsidR="006C0C9A">
        <w:rPr>
          <w:rFonts w:ascii="Arial" w:hAnsi="Arial" w:cs="Arial"/>
          <w:color w:val="auto"/>
          <w:sz w:val="20"/>
          <w:szCs w:val="20"/>
        </w:rPr>
        <w:t>s</w:t>
      </w:r>
    </w:p>
    <w:p w:rsidR="009C5915" w:rsidRPr="00375FD4" w:rsidRDefault="009C5915" w:rsidP="009C5915">
      <w:pPr>
        <w:pStyle w:val="Heading1"/>
        <w:spacing w:before="0"/>
        <w:rPr>
          <w:rFonts w:ascii="Arial" w:hAnsi="Arial" w:cs="Arial"/>
        </w:rPr>
      </w:pPr>
    </w:p>
    <w:p w:rsidR="009C5915" w:rsidRPr="00375FD4" w:rsidRDefault="009C5915" w:rsidP="009C5915">
      <w:pPr>
        <w:pStyle w:val="NormalWeb"/>
        <w:spacing w:before="0" w:beforeAutospacing="0" w:after="0" w:afterAutospacing="0"/>
        <w:rPr>
          <w:rFonts w:ascii="Arial" w:hAnsi="Arial" w:cs="Arial"/>
          <w:sz w:val="20"/>
          <w:szCs w:val="20"/>
        </w:rPr>
      </w:pPr>
      <w:r>
        <w:rPr>
          <w:rFonts w:ascii="Arial" w:hAnsi="Arial" w:cs="Arial"/>
          <w:sz w:val="20"/>
          <w:szCs w:val="20"/>
        </w:rPr>
        <w:t>The c</w:t>
      </w:r>
      <w:r w:rsidRPr="00375FD4">
        <w:rPr>
          <w:rFonts w:ascii="Arial" w:hAnsi="Arial" w:cs="Arial"/>
          <w:sz w:val="20"/>
          <w:szCs w:val="20"/>
        </w:rPr>
        <w:t>ouncil acts as sole or custodian trustee for a number of trust funds, which may be used for various purposes depending on the terms of the Trust.   In all cases, the funds do not rep</w:t>
      </w:r>
      <w:r>
        <w:rPr>
          <w:rFonts w:ascii="Arial" w:hAnsi="Arial" w:cs="Arial"/>
          <w:sz w:val="20"/>
          <w:szCs w:val="20"/>
        </w:rPr>
        <w:t>resent assets of the c</w:t>
      </w:r>
      <w:r w:rsidRPr="00375FD4">
        <w:rPr>
          <w:rFonts w:ascii="Arial" w:hAnsi="Arial" w:cs="Arial"/>
          <w:sz w:val="20"/>
          <w:szCs w:val="20"/>
        </w:rPr>
        <w:t>ouncil and they have not been included wit</w:t>
      </w:r>
      <w:r w:rsidR="004538A5">
        <w:rPr>
          <w:rFonts w:ascii="Arial" w:hAnsi="Arial" w:cs="Arial"/>
          <w:sz w:val="20"/>
          <w:szCs w:val="20"/>
        </w:rPr>
        <w:t>hin the Balance Sheet on page 38</w:t>
      </w:r>
      <w:r w:rsidRPr="00375FD4">
        <w:rPr>
          <w:rFonts w:ascii="Arial" w:hAnsi="Arial" w:cs="Arial"/>
          <w:sz w:val="20"/>
          <w:szCs w:val="20"/>
        </w:rPr>
        <w:t xml:space="preserve">. Under the provisions of the “2005 Act” and the “Accounts Regulations” above, all registered charities in Scotland are required to prepare financial statements which </w:t>
      </w:r>
      <w:r>
        <w:rPr>
          <w:rFonts w:ascii="Arial" w:hAnsi="Arial" w:cs="Arial"/>
          <w:sz w:val="20"/>
          <w:szCs w:val="20"/>
        </w:rPr>
        <w:t>must be externally scrutinised.</w:t>
      </w:r>
      <w:r w:rsidRPr="00375FD4">
        <w:rPr>
          <w:rFonts w:ascii="Arial" w:hAnsi="Arial" w:cs="Arial"/>
          <w:sz w:val="20"/>
          <w:szCs w:val="20"/>
        </w:rPr>
        <w:t xml:space="preserve"> The trust funds below are registered, under one registration, with the Office of the Scottish Charity Regulator. Management has reviewed the current arrangements for the trust funds to ensure the current arrangements </w:t>
      </w:r>
      <w:r>
        <w:rPr>
          <w:rFonts w:ascii="Arial" w:hAnsi="Arial" w:cs="Arial"/>
          <w:sz w:val="20"/>
          <w:szCs w:val="20"/>
        </w:rPr>
        <w:t>reflect the needs of the c</w:t>
      </w:r>
      <w:r w:rsidRPr="00375FD4">
        <w:rPr>
          <w:rFonts w:ascii="Arial" w:hAnsi="Arial" w:cs="Arial"/>
          <w:sz w:val="20"/>
          <w:szCs w:val="20"/>
        </w:rPr>
        <w:t>ouncil and ensure that all obligations are met.  Responsibility for the compliance w</w:t>
      </w:r>
      <w:r>
        <w:rPr>
          <w:rFonts w:ascii="Arial" w:hAnsi="Arial" w:cs="Arial"/>
          <w:sz w:val="20"/>
          <w:szCs w:val="20"/>
        </w:rPr>
        <w:t>ith the new regulations was delegated to the Strategic Lead -</w:t>
      </w:r>
      <w:r w:rsidRPr="00375FD4">
        <w:rPr>
          <w:rFonts w:ascii="Arial" w:hAnsi="Arial" w:cs="Arial"/>
          <w:sz w:val="20"/>
          <w:szCs w:val="20"/>
        </w:rPr>
        <w:t xml:space="preserve"> Resources.</w:t>
      </w:r>
    </w:p>
    <w:p w:rsidR="009C5915" w:rsidRPr="00375FD4" w:rsidRDefault="009C5915" w:rsidP="009C5915">
      <w:pPr>
        <w:spacing w:before="0" w:after="0"/>
        <w:jc w:val="both"/>
        <w:rPr>
          <w:rFonts w:ascii="Arial" w:hAnsi="Arial" w:cs="Arial"/>
        </w:rPr>
      </w:pPr>
    </w:p>
    <w:p w:rsidR="009C5915" w:rsidRPr="00375FD4" w:rsidRDefault="009C5915" w:rsidP="009C5915">
      <w:pPr>
        <w:spacing w:before="0" w:after="0"/>
        <w:jc w:val="both"/>
        <w:rPr>
          <w:rFonts w:ascii="Arial" w:hAnsi="Arial" w:cs="Arial"/>
        </w:rPr>
      </w:pPr>
      <w:r w:rsidRPr="00375FD4">
        <w:rPr>
          <w:rFonts w:ascii="Arial" w:hAnsi="Arial" w:cs="Arial"/>
          <w:b/>
        </w:rPr>
        <w:t>Receipts and Payments Account</w:t>
      </w:r>
    </w:p>
    <w:p w:rsidR="009C5915" w:rsidRPr="00375FD4" w:rsidRDefault="009C5915" w:rsidP="009C5915">
      <w:pPr>
        <w:spacing w:before="0" w:after="0"/>
        <w:jc w:val="both"/>
        <w:rPr>
          <w:rFonts w:ascii="Arial" w:hAnsi="Arial" w:cs="Arial"/>
        </w:rPr>
      </w:pPr>
    </w:p>
    <w:p w:rsidR="009C5915" w:rsidRPr="00375FD4" w:rsidRDefault="00BA218A" w:rsidP="009C5915">
      <w:pPr>
        <w:spacing w:before="0" w:after="0"/>
        <w:jc w:val="both"/>
        <w:rPr>
          <w:rFonts w:ascii="Arial" w:hAnsi="Arial" w:cs="Arial"/>
        </w:rPr>
      </w:pPr>
      <w:r w:rsidRPr="00BA218A">
        <w:rPr>
          <w:noProof/>
          <w:lang w:eastAsia="en-GB"/>
        </w:rPr>
        <w:drawing>
          <wp:inline distT="0" distB="0" distL="0" distR="0" wp14:anchorId="4C5248A7" wp14:editId="0BBA1194">
            <wp:extent cx="5731510" cy="2103972"/>
            <wp:effectExtent l="0" t="0" r="2540" b="0"/>
            <wp:docPr id="4" name="Picture 4" descr="receipts and payments for the trust funds 2019/20" title="note 23 trust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731510" cy="2103972"/>
                    </a:xfrm>
                    <a:prstGeom prst="rect">
                      <a:avLst/>
                    </a:prstGeom>
                    <a:noFill/>
                    <a:ln>
                      <a:noFill/>
                    </a:ln>
                  </pic:spPr>
                </pic:pic>
              </a:graphicData>
            </a:graphic>
          </wp:inline>
        </w:drawing>
      </w:r>
    </w:p>
    <w:p w:rsidR="009C5915" w:rsidRPr="00375FD4" w:rsidRDefault="009C5915" w:rsidP="009C5915">
      <w:pPr>
        <w:spacing w:before="0" w:after="0"/>
        <w:jc w:val="both"/>
        <w:rPr>
          <w:rFonts w:ascii="Arial" w:hAnsi="Arial" w:cs="Arial"/>
          <w:b/>
        </w:rPr>
      </w:pPr>
    </w:p>
    <w:p w:rsidR="009C5915" w:rsidRDefault="009C5915" w:rsidP="009C5915">
      <w:pPr>
        <w:spacing w:before="0" w:after="0"/>
        <w:jc w:val="both"/>
        <w:rPr>
          <w:noProof/>
          <w:lang w:eastAsia="en-GB"/>
        </w:rPr>
      </w:pPr>
      <w:r w:rsidRPr="00375FD4">
        <w:rPr>
          <w:rFonts w:ascii="Arial" w:hAnsi="Arial" w:cs="Arial"/>
          <w:b/>
        </w:rPr>
        <w:t>Statement</w:t>
      </w:r>
      <w:r w:rsidR="00823DB5">
        <w:rPr>
          <w:rFonts w:ascii="Arial" w:hAnsi="Arial" w:cs="Arial"/>
          <w:b/>
        </w:rPr>
        <w:t xml:space="preserve"> of Balances as at 31 March 2020</w:t>
      </w:r>
    </w:p>
    <w:p w:rsidR="009C5915" w:rsidRDefault="009C5915" w:rsidP="009C5915">
      <w:pPr>
        <w:spacing w:before="0" w:after="0"/>
        <w:rPr>
          <w:rFonts w:ascii="Arial" w:hAnsi="Arial" w:cs="Arial"/>
          <w:b/>
        </w:rPr>
      </w:pPr>
    </w:p>
    <w:p w:rsidR="00823DB5" w:rsidRPr="00375FD4" w:rsidRDefault="00BA218A" w:rsidP="009C5915">
      <w:pPr>
        <w:spacing w:before="0" w:after="0"/>
        <w:rPr>
          <w:rFonts w:ascii="Arial" w:hAnsi="Arial" w:cs="Arial"/>
          <w:b/>
        </w:rPr>
      </w:pPr>
      <w:r w:rsidRPr="00BA218A">
        <w:rPr>
          <w:noProof/>
          <w:lang w:eastAsia="en-GB"/>
        </w:rPr>
        <w:drawing>
          <wp:inline distT="0" distB="0" distL="0" distR="0" wp14:anchorId="5597EB81" wp14:editId="4032932C">
            <wp:extent cx="5731510" cy="1715802"/>
            <wp:effectExtent l="0" t="0" r="2540" b="0"/>
            <wp:docPr id="5" name="Picture 5" descr="balance of reserves of trust funds as at 31 march 2020" title="note 23 trust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31510" cy="1715802"/>
                    </a:xfrm>
                    <a:prstGeom prst="rect">
                      <a:avLst/>
                    </a:prstGeom>
                    <a:noFill/>
                    <a:ln>
                      <a:noFill/>
                    </a:ln>
                  </pic:spPr>
                </pic:pic>
              </a:graphicData>
            </a:graphic>
          </wp:inline>
        </w:drawing>
      </w:r>
    </w:p>
    <w:p w:rsidR="009C5915" w:rsidRDefault="009C5915" w:rsidP="009C5915">
      <w:pPr>
        <w:spacing w:before="0" w:after="0"/>
        <w:rPr>
          <w:rFonts w:ascii="Arial" w:hAnsi="Arial" w:cs="Arial"/>
        </w:rPr>
      </w:pPr>
    </w:p>
    <w:p w:rsidR="009C5915" w:rsidRDefault="009C5915" w:rsidP="009C5915">
      <w:pPr>
        <w:spacing w:before="0" w:after="0"/>
        <w:rPr>
          <w:rFonts w:ascii="Arial" w:hAnsi="Arial" w:cs="Arial"/>
        </w:rPr>
      </w:pPr>
      <w:r w:rsidRPr="00375FD4">
        <w:rPr>
          <w:rFonts w:ascii="Arial" w:hAnsi="Arial" w:cs="Arial"/>
        </w:rPr>
        <w:t>The Trust Funds hold no liabilities.</w:t>
      </w:r>
    </w:p>
    <w:p w:rsidR="009C5915" w:rsidRDefault="009C5915" w:rsidP="009C5915">
      <w:pPr>
        <w:spacing w:before="0" w:after="0"/>
        <w:jc w:val="both"/>
        <w:rPr>
          <w:rFonts w:ascii="Arial" w:hAnsi="Arial" w:cs="Arial"/>
          <w:b/>
          <w:sz w:val="24"/>
          <w:szCs w:val="24"/>
        </w:rPr>
      </w:pPr>
    </w:p>
    <w:p w:rsidR="00990216" w:rsidRDefault="00466A40" w:rsidP="00607DB0">
      <w:pPr>
        <w:pStyle w:val="Heading1"/>
        <w:spacing w:before="0"/>
        <w:rPr>
          <w:rFonts w:ascii="Arial" w:hAnsi="Arial" w:cs="Arial"/>
          <w:color w:val="auto"/>
          <w:sz w:val="20"/>
          <w:szCs w:val="20"/>
        </w:rPr>
      </w:pPr>
      <w:r>
        <w:rPr>
          <w:rFonts w:ascii="Arial" w:hAnsi="Arial" w:cs="Arial"/>
          <w:color w:val="auto"/>
          <w:sz w:val="20"/>
          <w:szCs w:val="20"/>
        </w:rPr>
        <w:t>Note 24</w:t>
      </w:r>
      <w:r w:rsidR="00A13577">
        <w:rPr>
          <w:rFonts w:ascii="Arial" w:hAnsi="Arial" w:cs="Arial"/>
          <w:color w:val="auto"/>
          <w:sz w:val="20"/>
          <w:szCs w:val="20"/>
        </w:rPr>
        <w:t xml:space="preserve"> – </w:t>
      </w:r>
      <w:r w:rsidR="00990216" w:rsidRPr="000A3446">
        <w:rPr>
          <w:rFonts w:ascii="Arial" w:hAnsi="Arial" w:cs="Arial"/>
          <w:color w:val="auto"/>
          <w:sz w:val="20"/>
          <w:szCs w:val="20"/>
        </w:rPr>
        <w:t xml:space="preserve">Cash and Cash Equivalents </w:t>
      </w:r>
    </w:p>
    <w:p w:rsidR="0040274B" w:rsidRDefault="0040274B" w:rsidP="0040274B"/>
    <w:p w:rsidR="0040274B" w:rsidRPr="001F1E67" w:rsidRDefault="0040274B" w:rsidP="001F1E67">
      <w:pPr>
        <w:spacing w:before="0" w:after="0"/>
        <w:rPr>
          <w:rFonts w:ascii="Arial" w:hAnsi="Arial" w:cs="Arial"/>
        </w:rPr>
      </w:pPr>
      <w:r w:rsidRPr="001F1E67">
        <w:rPr>
          <w:rFonts w:ascii="Arial" w:hAnsi="Arial" w:cs="Arial"/>
        </w:rPr>
        <w:t xml:space="preserve">Cash is represented by cash in hand and deposits with financial institutions repayable without penalty on notice of not more than 24 hours. </w:t>
      </w:r>
    </w:p>
    <w:p w:rsidR="0040274B" w:rsidRPr="00375FD4" w:rsidRDefault="0040274B" w:rsidP="001F1E67">
      <w:pPr>
        <w:pStyle w:val="ListParagraph"/>
        <w:spacing w:before="0" w:after="0"/>
        <w:rPr>
          <w:rFonts w:ascii="Arial" w:hAnsi="Arial" w:cs="Arial"/>
        </w:rPr>
      </w:pPr>
    </w:p>
    <w:p w:rsidR="0040274B" w:rsidRPr="00F55CA3" w:rsidRDefault="0040274B" w:rsidP="003156C5">
      <w:pPr>
        <w:spacing w:before="0" w:after="0"/>
        <w:rPr>
          <w:rFonts w:ascii="Arial" w:hAnsi="Arial" w:cs="Arial"/>
          <w:highlight w:val="yellow"/>
        </w:rPr>
      </w:pPr>
      <w:r w:rsidRPr="001F1E67">
        <w:rPr>
          <w:rFonts w:ascii="Arial" w:hAnsi="Arial" w:cs="Arial"/>
        </w:rPr>
        <w:t>Cash equivalents are investments that mature in three months or less from date of acquisition and that are readily convertible to known cash amounts, with insignificant risk of change of value. The investments comprise solely of short term lending of surplus funds to a limited number of pre-approved UK banks and other local authorities. All deposits are held in sterling. The carrying amount is the ou</w:t>
      </w:r>
      <w:r w:rsidR="003156C5">
        <w:rPr>
          <w:rFonts w:ascii="Arial" w:hAnsi="Arial" w:cs="Arial"/>
        </w:rPr>
        <w:t>tstanding principal receivable.</w:t>
      </w:r>
      <w:r w:rsidR="007F0D1B">
        <w:rPr>
          <w:rFonts w:ascii="Arial" w:hAnsi="Arial" w:cs="Arial"/>
        </w:rPr>
        <w:t xml:space="preserve"> </w:t>
      </w:r>
      <w:r w:rsidRPr="00375FD4">
        <w:rPr>
          <w:rFonts w:ascii="Arial" w:hAnsi="Arial" w:cs="Arial"/>
        </w:rPr>
        <w:t xml:space="preserve">Bank </w:t>
      </w:r>
      <w:r w:rsidRPr="00D877BE">
        <w:rPr>
          <w:rFonts w:ascii="Arial" w:hAnsi="Arial" w:cs="Arial"/>
        </w:rPr>
        <w:t>balances are included in the Balance Sheet</w:t>
      </w:r>
      <w:r w:rsidR="00E76272" w:rsidRPr="00D877BE">
        <w:rPr>
          <w:rFonts w:ascii="Arial" w:hAnsi="Arial" w:cs="Arial"/>
        </w:rPr>
        <w:t xml:space="preserve"> at the closing balance in the c</w:t>
      </w:r>
      <w:r w:rsidRPr="00D877BE">
        <w:rPr>
          <w:rFonts w:ascii="Arial" w:hAnsi="Arial" w:cs="Arial"/>
        </w:rPr>
        <w:t>ouncil’s ledger and include cheques payable not yet cashed.</w:t>
      </w:r>
    </w:p>
    <w:p w:rsidR="00466A40" w:rsidRDefault="00466A40" w:rsidP="00466A40">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466A40" w:rsidRDefault="00466A40" w:rsidP="00466A40">
      <w:pPr>
        <w:spacing w:before="0" w:after="0"/>
        <w:jc w:val="both"/>
        <w:rPr>
          <w:rFonts w:ascii="Arial" w:hAnsi="Arial" w:cs="Arial"/>
          <w:b/>
          <w:sz w:val="24"/>
          <w:szCs w:val="24"/>
        </w:rPr>
      </w:pPr>
    </w:p>
    <w:p w:rsidR="00466A40" w:rsidRDefault="00466A40" w:rsidP="00466A40">
      <w:pPr>
        <w:pStyle w:val="Heading1"/>
        <w:spacing w:before="0"/>
        <w:rPr>
          <w:rFonts w:ascii="Arial" w:hAnsi="Arial" w:cs="Arial"/>
          <w:color w:val="auto"/>
          <w:sz w:val="20"/>
          <w:szCs w:val="20"/>
        </w:rPr>
      </w:pPr>
      <w:r w:rsidRPr="005F6315">
        <w:rPr>
          <w:rFonts w:ascii="Arial" w:hAnsi="Arial" w:cs="Arial"/>
          <w:color w:val="auto"/>
          <w:sz w:val="20"/>
          <w:szCs w:val="20"/>
        </w:rPr>
        <w:t xml:space="preserve">Note 24 </w:t>
      </w:r>
      <w:r w:rsidR="00A13577">
        <w:rPr>
          <w:rFonts w:ascii="Arial" w:hAnsi="Arial" w:cs="Arial"/>
          <w:color w:val="auto"/>
          <w:sz w:val="20"/>
          <w:szCs w:val="20"/>
        </w:rPr>
        <w:t xml:space="preserve">– </w:t>
      </w:r>
      <w:r w:rsidRPr="005F6315">
        <w:rPr>
          <w:rFonts w:ascii="Arial" w:hAnsi="Arial" w:cs="Arial"/>
          <w:color w:val="auto"/>
          <w:sz w:val="20"/>
          <w:szCs w:val="20"/>
        </w:rPr>
        <w:t>Cash and Cash Equivalents (cont’d)</w:t>
      </w:r>
    </w:p>
    <w:p w:rsidR="00466A40" w:rsidRDefault="00466A40" w:rsidP="00466A40">
      <w:pPr>
        <w:spacing w:before="0" w:after="0"/>
        <w:jc w:val="both"/>
        <w:rPr>
          <w:rFonts w:ascii="Arial" w:hAnsi="Arial" w:cs="Arial"/>
          <w:b/>
          <w:sz w:val="24"/>
          <w:szCs w:val="24"/>
        </w:rPr>
      </w:pPr>
    </w:p>
    <w:p w:rsidR="005F6315" w:rsidRDefault="005F6315" w:rsidP="00466A40">
      <w:pPr>
        <w:spacing w:before="0" w:after="0"/>
        <w:jc w:val="both"/>
        <w:rPr>
          <w:rFonts w:ascii="Arial" w:hAnsi="Arial" w:cs="Arial"/>
          <w:b/>
          <w:sz w:val="24"/>
          <w:szCs w:val="24"/>
        </w:rPr>
      </w:pPr>
      <w:r w:rsidRPr="005F6315">
        <w:rPr>
          <w:noProof/>
          <w:lang w:eastAsia="en-GB"/>
        </w:rPr>
        <w:drawing>
          <wp:inline distT="0" distB="0" distL="0" distR="0">
            <wp:extent cx="5461000" cy="819150"/>
            <wp:effectExtent l="0" t="0" r="6350" b="0"/>
            <wp:docPr id="48" name="Picture 48" descr="movement and balances as at 31 march on the cash equivalents" title="note 24 cash and cash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61000" cy="819150"/>
                    </a:xfrm>
                    <a:prstGeom prst="rect">
                      <a:avLst/>
                    </a:prstGeom>
                    <a:noFill/>
                    <a:ln>
                      <a:noFill/>
                    </a:ln>
                  </pic:spPr>
                </pic:pic>
              </a:graphicData>
            </a:graphic>
          </wp:inline>
        </w:drawing>
      </w:r>
    </w:p>
    <w:p w:rsidR="005F6315" w:rsidRDefault="005F6315" w:rsidP="00466A40">
      <w:pPr>
        <w:spacing w:before="0" w:after="0"/>
        <w:jc w:val="both"/>
        <w:rPr>
          <w:rFonts w:ascii="Arial" w:hAnsi="Arial" w:cs="Arial"/>
          <w:b/>
          <w:sz w:val="24"/>
          <w:szCs w:val="24"/>
        </w:rPr>
      </w:pPr>
    </w:p>
    <w:p w:rsidR="005F6315" w:rsidRPr="005F6315" w:rsidRDefault="005F6315" w:rsidP="005F6315">
      <w:pPr>
        <w:spacing w:before="0" w:after="0"/>
        <w:jc w:val="both"/>
        <w:rPr>
          <w:rFonts w:ascii="Arial" w:hAnsi="Arial" w:cs="Arial"/>
        </w:rPr>
      </w:pPr>
      <w:r>
        <w:rPr>
          <w:rFonts w:ascii="Arial" w:hAnsi="Arial" w:cs="Arial"/>
        </w:rPr>
        <w:t>*</w:t>
      </w:r>
      <w:r w:rsidRPr="005F6315">
        <w:rPr>
          <w:rFonts w:ascii="Arial" w:hAnsi="Arial" w:cs="Arial"/>
        </w:rPr>
        <w:t>A further breakdown of the bank account is noted below:</w:t>
      </w:r>
    </w:p>
    <w:p w:rsidR="005F6315" w:rsidRDefault="005F6315" w:rsidP="00466A40">
      <w:pPr>
        <w:spacing w:before="0" w:after="0"/>
        <w:jc w:val="both"/>
        <w:rPr>
          <w:rFonts w:ascii="Arial" w:hAnsi="Arial" w:cs="Arial"/>
          <w:b/>
          <w:sz w:val="24"/>
          <w:szCs w:val="24"/>
        </w:rPr>
      </w:pPr>
    </w:p>
    <w:p w:rsidR="005F6315" w:rsidRPr="00375FD4" w:rsidRDefault="005F6315" w:rsidP="00466A40">
      <w:pPr>
        <w:spacing w:before="0" w:after="0"/>
        <w:jc w:val="both"/>
        <w:rPr>
          <w:rFonts w:ascii="Arial" w:hAnsi="Arial" w:cs="Arial"/>
          <w:b/>
          <w:sz w:val="24"/>
          <w:szCs w:val="24"/>
        </w:rPr>
      </w:pPr>
      <w:r w:rsidRPr="005F6315">
        <w:rPr>
          <w:noProof/>
          <w:lang w:eastAsia="en-GB"/>
        </w:rPr>
        <w:drawing>
          <wp:inline distT="0" distB="0" distL="0" distR="0">
            <wp:extent cx="4114800" cy="819150"/>
            <wp:effectExtent l="0" t="0" r="0" b="0"/>
            <wp:docPr id="53" name="Picture 53" descr="further breakdown of bank balances" title="note 24 cash &amp; cash equival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114800" cy="819150"/>
                    </a:xfrm>
                    <a:prstGeom prst="rect">
                      <a:avLst/>
                    </a:prstGeom>
                    <a:noFill/>
                    <a:ln>
                      <a:noFill/>
                    </a:ln>
                  </pic:spPr>
                </pic:pic>
              </a:graphicData>
            </a:graphic>
          </wp:inline>
        </w:drawing>
      </w:r>
    </w:p>
    <w:p w:rsidR="00990216" w:rsidRPr="00F55CA3" w:rsidRDefault="00990216" w:rsidP="00607DB0">
      <w:pPr>
        <w:pStyle w:val="Heading1"/>
        <w:spacing w:before="0"/>
        <w:rPr>
          <w:rFonts w:ascii="Arial" w:hAnsi="Arial" w:cs="Arial"/>
          <w:sz w:val="20"/>
          <w:szCs w:val="20"/>
          <w:highlight w:val="yellow"/>
        </w:rPr>
      </w:pPr>
    </w:p>
    <w:p w:rsidR="00990216" w:rsidRPr="000A3446" w:rsidRDefault="00466A40" w:rsidP="00BE1A8A">
      <w:pPr>
        <w:pStyle w:val="Heading1"/>
        <w:spacing w:before="0"/>
        <w:rPr>
          <w:rFonts w:ascii="Arial" w:hAnsi="Arial" w:cs="Arial"/>
          <w:color w:val="auto"/>
          <w:sz w:val="20"/>
          <w:szCs w:val="20"/>
        </w:rPr>
      </w:pPr>
      <w:r w:rsidRPr="00B435D6">
        <w:rPr>
          <w:rFonts w:ascii="Arial" w:hAnsi="Arial" w:cs="Arial"/>
          <w:color w:val="auto"/>
          <w:sz w:val="20"/>
          <w:szCs w:val="20"/>
        </w:rPr>
        <w:t>Note 25</w:t>
      </w:r>
      <w:r w:rsidR="00990216" w:rsidRPr="00B435D6">
        <w:rPr>
          <w:rFonts w:ascii="Arial" w:hAnsi="Arial" w:cs="Arial"/>
          <w:color w:val="auto"/>
          <w:sz w:val="20"/>
          <w:szCs w:val="20"/>
        </w:rPr>
        <w:t xml:space="preserve"> – Financial Instruments</w:t>
      </w:r>
      <w:r w:rsidR="00990216" w:rsidRPr="000A3446">
        <w:rPr>
          <w:rFonts w:ascii="Arial" w:hAnsi="Arial" w:cs="Arial"/>
          <w:color w:val="auto"/>
          <w:sz w:val="20"/>
          <w:szCs w:val="20"/>
        </w:rPr>
        <w:t xml:space="preserve"> </w:t>
      </w:r>
    </w:p>
    <w:p w:rsidR="00990216" w:rsidRPr="00375FD4" w:rsidRDefault="00990216" w:rsidP="00990216">
      <w:pPr>
        <w:spacing w:before="0" w:after="0"/>
        <w:jc w:val="both"/>
        <w:rPr>
          <w:rFonts w:ascii="Arial" w:hAnsi="Arial" w:cs="Arial"/>
          <w:b/>
        </w:rPr>
      </w:pPr>
    </w:p>
    <w:p w:rsidR="00990216" w:rsidRPr="00375FD4" w:rsidRDefault="00990216" w:rsidP="00EA6E47">
      <w:pPr>
        <w:numPr>
          <w:ilvl w:val="0"/>
          <w:numId w:val="26"/>
        </w:numPr>
        <w:tabs>
          <w:tab w:val="clear" w:pos="1440"/>
        </w:tabs>
        <w:spacing w:before="0" w:after="0"/>
        <w:ind w:left="709" w:hanging="709"/>
        <w:rPr>
          <w:rFonts w:ascii="Arial" w:hAnsi="Arial" w:cs="Arial"/>
          <w:b/>
        </w:rPr>
      </w:pPr>
      <w:r w:rsidRPr="00375FD4">
        <w:rPr>
          <w:rFonts w:ascii="Arial" w:hAnsi="Arial" w:cs="Arial"/>
          <w:b/>
          <w:bCs/>
        </w:rPr>
        <w:t>Types of Financial Instrument</w:t>
      </w:r>
    </w:p>
    <w:p w:rsidR="00990216" w:rsidRPr="00375FD4" w:rsidRDefault="00990216" w:rsidP="001F1E67">
      <w:pPr>
        <w:spacing w:before="0" w:after="0"/>
        <w:jc w:val="both"/>
        <w:rPr>
          <w:rFonts w:ascii="Arial" w:hAnsi="Arial" w:cs="Arial"/>
        </w:rPr>
      </w:pPr>
      <w:r w:rsidRPr="00375FD4">
        <w:rPr>
          <w:rFonts w:ascii="Arial" w:hAnsi="Arial" w:cs="Arial"/>
        </w:rPr>
        <w:t>Accounting regulations require the “financial instruments” (investment</w:t>
      </w:r>
      <w:r w:rsidR="00E76272">
        <w:rPr>
          <w:rFonts w:ascii="Arial" w:hAnsi="Arial" w:cs="Arial"/>
        </w:rPr>
        <w:t>, lending and borrowing of the c</w:t>
      </w:r>
      <w:r w:rsidRPr="00375FD4">
        <w:rPr>
          <w:rFonts w:ascii="Arial" w:hAnsi="Arial" w:cs="Arial"/>
        </w:rPr>
        <w:t>ouncil) shown on the Balance Sheet to be further analysed into various defined categories.   The investments, lending and borrowing disclosed in the Balance Sheet are made up of the following categories of “financial instruments”:</w:t>
      </w:r>
    </w:p>
    <w:p w:rsidR="006C0C9A" w:rsidRDefault="006C0C9A" w:rsidP="00990216">
      <w:pPr>
        <w:spacing w:before="0" w:after="0"/>
        <w:jc w:val="both"/>
        <w:rPr>
          <w:noProof/>
          <w:lang w:eastAsia="en-GB"/>
        </w:rPr>
      </w:pPr>
    </w:p>
    <w:p w:rsidR="00990216" w:rsidRDefault="00B435D6" w:rsidP="00990216">
      <w:pPr>
        <w:spacing w:before="0" w:after="0"/>
        <w:jc w:val="both"/>
        <w:rPr>
          <w:rFonts w:ascii="Arial" w:hAnsi="Arial" w:cs="Arial"/>
          <w:color w:val="FF0000"/>
        </w:rPr>
      </w:pPr>
      <w:r w:rsidRPr="00B435D6">
        <w:rPr>
          <w:noProof/>
          <w:lang w:eastAsia="en-GB"/>
        </w:rPr>
        <w:drawing>
          <wp:inline distT="0" distB="0" distL="0" distR="0">
            <wp:extent cx="4978400" cy="1797050"/>
            <wp:effectExtent l="0" t="0" r="0" b="0"/>
            <wp:docPr id="14" name="Picture 14" descr="detail of the various types of financial instruments" title="note 25 financial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978400" cy="1797050"/>
                    </a:xfrm>
                    <a:prstGeom prst="rect">
                      <a:avLst/>
                    </a:prstGeom>
                    <a:noFill/>
                    <a:ln>
                      <a:noFill/>
                    </a:ln>
                  </pic:spPr>
                </pic:pic>
              </a:graphicData>
            </a:graphic>
          </wp:inline>
        </w:drawing>
      </w:r>
    </w:p>
    <w:p w:rsidR="00B12501" w:rsidRPr="00375FD4" w:rsidRDefault="00B12501" w:rsidP="00990216">
      <w:pPr>
        <w:spacing w:before="0" w:after="0"/>
        <w:jc w:val="both"/>
        <w:rPr>
          <w:rFonts w:ascii="Arial" w:hAnsi="Arial" w:cs="Arial"/>
          <w:color w:val="FF0000"/>
        </w:rPr>
      </w:pPr>
    </w:p>
    <w:p w:rsidR="00990216" w:rsidRPr="00375FD4" w:rsidRDefault="00E76272" w:rsidP="00990216">
      <w:pPr>
        <w:spacing w:before="0" w:after="0"/>
        <w:ind w:left="540" w:hanging="540"/>
        <w:jc w:val="both"/>
        <w:rPr>
          <w:rFonts w:ascii="Arial" w:hAnsi="Arial" w:cs="Arial"/>
        </w:rPr>
      </w:pPr>
      <w:r>
        <w:rPr>
          <w:rFonts w:ascii="Arial" w:hAnsi="Arial" w:cs="Arial"/>
        </w:rPr>
        <w:t>The c</w:t>
      </w:r>
      <w:r w:rsidR="00990216" w:rsidRPr="00375FD4">
        <w:rPr>
          <w:rFonts w:ascii="Arial" w:hAnsi="Arial" w:cs="Arial"/>
        </w:rPr>
        <w:t>ouncil does not have any of the following types of investments or borrowings:</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available for sale financial assets;</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unquoted equity investments at cost;</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financial assets at fair value through profit and loss; or</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financial liabilities at fair value through profit and loss.</w:t>
      </w:r>
    </w:p>
    <w:p w:rsidR="00990216" w:rsidRPr="00375FD4" w:rsidRDefault="00990216" w:rsidP="00990216">
      <w:pPr>
        <w:spacing w:before="0" w:after="0"/>
        <w:jc w:val="both"/>
        <w:rPr>
          <w:rFonts w:ascii="Arial" w:hAnsi="Arial" w:cs="Arial"/>
        </w:rPr>
      </w:pPr>
    </w:p>
    <w:p w:rsidR="00990216" w:rsidRPr="00375FD4" w:rsidRDefault="00E76272" w:rsidP="001F1E67">
      <w:pPr>
        <w:spacing w:before="0" w:after="0"/>
        <w:jc w:val="both"/>
        <w:rPr>
          <w:rFonts w:ascii="Arial" w:hAnsi="Arial" w:cs="Arial"/>
        </w:rPr>
      </w:pPr>
      <w:r>
        <w:rPr>
          <w:rFonts w:ascii="Arial" w:hAnsi="Arial" w:cs="Arial"/>
        </w:rPr>
        <w:t>The c</w:t>
      </w:r>
      <w:r w:rsidR="00990216" w:rsidRPr="00375FD4">
        <w:rPr>
          <w:rFonts w:ascii="Arial" w:hAnsi="Arial" w:cs="Arial"/>
        </w:rPr>
        <w:t>ouncil has considered the Code requirements for accounting for financial instruments and the following eve</w:t>
      </w:r>
      <w:r w:rsidR="00B0661B" w:rsidRPr="00375FD4">
        <w:rPr>
          <w:rFonts w:ascii="Arial" w:hAnsi="Arial" w:cs="Arial"/>
        </w:rPr>
        <w:t>nts have not</w:t>
      </w:r>
      <w:r w:rsidR="00823DB5">
        <w:rPr>
          <w:rFonts w:ascii="Arial" w:hAnsi="Arial" w:cs="Arial"/>
        </w:rPr>
        <w:t xml:space="preserve"> taken place in 2019/20</w:t>
      </w:r>
      <w:r w:rsidR="00990216" w:rsidRPr="00375FD4">
        <w:rPr>
          <w:rFonts w:ascii="Arial" w:hAnsi="Arial" w:cs="Arial"/>
        </w:rPr>
        <w:t>:</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reclassification of financial assets carrying value between fair value and amortised cost;</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transfer of financial assets where part or all of the financial assets does not qualify for de-recognition;</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pledging of financial assets as collateral or liabilities or contingent liabilities, as a result no carrying or fair value exists;</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recording of impairment losses in a separate account which would require a reconciliation of changes during the year;</w:t>
      </w:r>
    </w:p>
    <w:p w:rsidR="00990216" w:rsidRPr="00375FD4"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 xml:space="preserve">default </w:t>
      </w:r>
      <w:r w:rsidR="00B0661B" w:rsidRPr="00375FD4">
        <w:rPr>
          <w:rFonts w:ascii="Arial" w:hAnsi="Arial" w:cs="Arial"/>
        </w:rPr>
        <w:t>on any loans payable during 201</w:t>
      </w:r>
      <w:r w:rsidR="00823DB5">
        <w:rPr>
          <w:rFonts w:ascii="Arial" w:hAnsi="Arial" w:cs="Arial"/>
        </w:rPr>
        <w:t>9/20</w:t>
      </w:r>
      <w:r w:rsidRPr="00375FD4">
        <w:rPr>
          <w:rFonts w:ascii="Arial" w:hAnsi="Arial" w:cs="Arial"/>
        </w:rPr>
        <w:t>;</w:t>
      </w:r>
    </w:p>
    <w:p w:rsidR="00990216" w:rsidRDefault="00990216"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breaches of long term loan agreements resulting in the liability being classed as current; or</w:t>
      </w:r>
    </w:p>
    <w:p w:rsidR="005F6315" w:rsidRDefault="005F6315" w:rsidP="005F6315">
      <w:pPr>
        <w:spacing w:before="0" w:after="0"/>
        <w:jc w:val="both"/>
        <w:rPr>
          <w:rFonts w:ascii="Arial" w:hAnsi="Arial" w:cs="Arial"/>
        </w:rPr>
      </w:pPr>
    </w:p>
    <w:p w:rsidR="005F6315" w:rsidRPr="00375FD4" w:rsidRDefault="005F6315" w:rsidP="005F6315">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5F6315" w:rsidRPr="00375FD4" w:rsidRDefault="005F6315" w:rsidP="005F6315">
      <w:pPr>
        <w:spacing w:before="0" w:after="0"/>
        <w:jc w:val="both"/>
        <w:rPr>
          <w:rFonts w:ascii="Arial" w:hAnsi="Arial" w:cs="Arial"/>
          <w:b/>
        </w:rPr>
      </w:pPr>
    </w:p>
    <w:p w:rsidR="005F6315" w:rsidRPr="00375FD4" w:rsidRDefault="005F6315" w:rsidP="005F6315">
      <w:pPr>
        <w:spacing w:before="0" w:after="0"/>
        <w:jc w:val="both"/>
        <w:rPr>
          <w:rFonts w:ascii="Arial" w:hAnsi="Arial" w:cs="Arial"/>
          <w:b/>
        </w:rPr>
      </w:pPr>
      <w:r w:rsidRPr="00375FD4">
        <w:rPr>
          <w:rFonts w:ascii="Arial" w:hAnsi="Arial" w:cs="Arial"/>
          <w:b/>
        </w:rPr>
        <w:t>Note 2</w:t>
      </w:r>
      <w:r>
        <w:rPr>
          <w:rFonts w:ascii="Arial" w:hAnsi="Arial" w:cs="Arial"/>
          <w:b/>
        </w:rPr>
        <w:t>5</w:t>
      </w:r>
      <w:r w:rsidRPr="00375FD4">
        <w:rPr>
          <w:rFonts w:ascii="Arial" w:hAnsi="Arial" w:cs="Arial"/>
          <w:b/>
        </w:rPr>
        <w:t xml:space="preserve"> – Financial Instruments (Cont’d)</w:t>
      </w:r>
    </w:p>
    <w:p w:rsidR="005F6315" w:rsidRPr="006C0C9A" w:rsidRDefault="005F6315" w:rsidP="005F6315">
      <w:pPr>
        <w:spacing w:before="0" w:after="0"/>
        <w:jc w:val="both"/>
        <w:rPr>
          <w:rFonts w:ascii="Arial" w:hAnsi="Arial" w:cs="Arial"/>
        </w:rPr>
      </w:pPr>
    </w:p>
    <w:p w:rsidR="009B720F" w:rsidRPr="00375FD4" w:rsidRDefault="009B720F" w:rsidP="00EA6E47">
      <w:pPr>
        <w:numPr>
          <w:ilvl w:val="0"/>
          <w:numId w:val="31"/>
        </w:numPr>
        <w:tabs>
          <w:tab w:val="clear" w:pos="709"/>
          <w:tab w:val="num" w:pos="993"/>
        </w:tabs>
        <w:spacing w:before="0" w:after="0"/>
        <w:ind w:hanging="567"/>
        <w:jc w:val="both"/>
        <w:rPr>
          <w:rFonts w:ascii="Arial" w:hAnsi="Arial" w:cs="Arial"/>
        </w:rPr>
      </w:pPr>
      <w:r w:rsidRPr="00375FD4">
        <w:rPr>
          <w:rFonts w:ascii="Arial" w:hAnsi="Arial" w:cs="Arial"/>
        </w:rPr>
        <w:t>offsetting of financial assets and liabilities where a legally enforceable right exists and intent to settle is on net basis.</w:t>
      </w:r>
    </w:p>
    <w:p w:rsidR="009B720F" w:rsidRDefault="009B720F" w:rsidP="001F1E67">
      <w:pPr>
        <w:spacing w:before="0" w:after="0"/>
        <w:jc w:val="both"/>
        <w:rPr>
          <w:rFonts w:ascii="Arial" w:hAnsi="Arial" w:cs="Arial"/>
        </w:rPr>
      </w:pPr>
    </w:p>
    <w:p w:rsidR="00990216" w:rsidRPr="00375FD4" w:rsidRDefault="00B55291" w:rsidP="001F1E67">
      <w:pPr>
        <w:spacing w:before="0" w:after="0"/>
        <w:jc w:val="both"/>
        <w:rPr>
          <w:rFonts w:ascii="Arial" w:hAnsi="Arial" w:cs="Arial"/>
        </w:rPr>
      </w:pPr>
      <w:r>
        <w:rPr>
          <w:rFonts w:ascii="Arial" w:hAnsi="Arial" w:cs="Arial"/>
        </w:rPr>
        <w:t>The c</w:t>
      </w:r>
      <w:r w:rsidR="00990216" w:rsidRPr="00375FD4">
        <w:rPr>
          <w:rFonts w:ascii="Arial" w:hAnsi="Arial" w:cs="Arial"/>
        </w:rPr>
        <w:t>ouncil has considered the Code requirements for accounting for financial instruments and the following disclosures are consistent with the Code:</w:t>
      </w:r>
    </w:p>
    <w:p w:rsidR="00990216" w:rsidRPr="00375FD4" w:rsidRDefault="00990216" w:rsidP="00EA6E47">
      <w:pPr>
        <w:numPr>
          <w:ilvl w:val="0"/>
          <w:numId w:val="23"/>
        </w:numPr>
        <w:tabs>
          <w:tab w:val="clear" w:pos="1249"/>
          <w:tab w:val="left" w:pos="851"/>
        </w:tabs>
        <w:spacing w:before="0" w:after="0"/>
        <w:ind w:left="709" w:hanging="567"/>
        <w:jc w:val="both"/>
        <w:rPr>
          <w:rFonts w:ascii="Arial" w:hAnsi="Arial" w:cs="Arial"/>
        </w:rPr>
      </w:pPr>
      <w:r w:rsidRPr="00375FD4">
        <w:rPr>
          <w:rFonts w:ascii="Arial" w:hAnsi="Arial" w:cs="Arial"/>
        </w:rPr>
        <w:t>current liabilities are recognised as such even if refinanced post balance sheet or original term greater than twelve months; and</w:t>
      </w:r>
    </w:p>
    <w:p w:rsidR="00990216" w:rsidRPr="00375FD4" w:rsidRDefault="00B55291" w:rsidP="00EA6E47">
      <w:pPr>
        <w:numPr>
          <w:ilvl w:val="0"/>
          <w:numId w:val="23"/>
        </w:numPr>
        <w:tabs>
          <w:tab w:val="clear" w:pos="1249"/>
          <w:tab w:val="left" w:pos="851"/>
        </w:tabs>
        <w:spacing w:before="0" w:after="0"/>
        <w:ind w:left="709" w:hanging="567"/>
        <w:jc w:val="both"/>
        <w:rPr>
          <w:rFonts w:ascii="Arial" w:hAnsi="Arial" w:cs="Arial"/>
          <w:b/>
        </w:rPr>
      </w:pPr>
      <w:r>
        <w:rPr>
          <w:rFonts w:ascii="Arial" w:hAnsi="Arial" w:cs="Arial"/>
        </w:rPr>
        <w:t>if the c</w:t>
      </w:r>
      <w:r w:rsidR="00990216" w:rsidRPr="00375FD4">
        <w:rPr>
          <w:rFonts w:ascii="Arial" w:hAnsi="Arial" w:cs="Arial"/>
        </w:rPr>
        <w:t>ouncil has the discretion (contractually) and expects to roll forward current liabilities for over twelve months, then the obligation can be treated as long term.</w:t>
      </w:r>
    </w:p>
    <w:p w:rsidR="009C5915" w:rsidRPr="00375FD4" w:rsidRDefault="009C5915" w:rsidP="009C5915">
      <w:pPr>
        <w:spacing w:before="0" w:after="0"/>
        <w:jc w:val="both"/>
        <w:rPr>
          <w:rFonts w:ascii="Arial" w:hAnsi="Arial" w:cs="Arial"/>
          <w:b/>
        </w:rPr>
      </w:pPr>
    </w:p>
    <w:p w:rsidR="006C0C9A" w:rsidRDefault="006C0C9A" w:rsidP="00466A40">
      <w:pPr>
        <w:spacing w:before="0" w:after="0"/>
        <w:ind w:left="709" w:hanging="709"/>
        <w:rPr>
          <w:rFonts w:ascii="Arial" w:hAnsi="Arial" w:cs="Arial"/>
          <w:b/>
          <w:bCs/>
        </w:rPr>
      </w:pPr>
      <w:r w:rsidRPr="00375FD4">
        <w:rPr>
          <w:rFonts w:ascii="Arial" w:hAnsi="Arial" w:cs="Arial"/>
          <w:b/>
          <w:bCs/>
        </w:rPr>
        <w:t>2)</w:t>
      </w:r>
      <w:r w:rsidRPr="00375FD4">
        <w:rPr>
          <w:rFonts w:ascii="Arial" w:hAnsi="Arial" w:cs="Arial"/>
          <w:b/>
          <w:bCs/>
        </w:rPr>
        <w:tab/>
        <w:t>Fair Value of Assets and Liabilities carried at Amortised Cost</w:t>
      </w:r>
      <w:r w:rsidR="00466A40">
        <w:rPr>
          <w:rFonts w:ascii="Arial" w:hAnsi="Arial" w:cs="Arial"/>
          <w:b/>
          <w:bCs/>
        </w:rPr>
        <w:t xml:space="preserve"> </w:t>
      </w:r>
    </w:p>
    <w:p w:rsidR="00466A40" w:rsidRPr="00375FD4" w:rsidRDefault="00466A40" w:rsidP="00466A40">
      <w:pPr>
        <w:spacing w:before="0" w:after="0"/>
        <w:rPr>
          <w:rFonts w:ascii="Arial" w:hAnsi="Arial" w:cs="Arial"/>
          <w:b/>
        </w:rPr>
      </w:pPr>
    </w:p>
    <w:p w:rsidR="00466A40" w:rsidRDefault="00466A40" w:rsidP="00466A40">
      <w:pPr>
        <w:spacing w:before="0" w:after="0"/>
        <w:rPr>
          <w:rFonts w:ascii="Arial" w:hAnsi="Arial" w:cs="Arial"/>
        </w:rPr>
      </w:pPr>
      <w:r w:rsidRPr="00375FD4">
        <w:rPr>
          <w:rFonts w:ascii="Arial" w:hAnsi="Arial" w:cs="Arial"/>
        </w:rPr>
        <w:t>Financial assets (represented by lending and receivables) and financial liabilities (represented by borrowings) and are carried in the Balance Sh</w:t>
      </w:r>
      <w:r>
        <w:rPr>
          <w:rFonts w:ascii="Arial" w:hAnsi="Arial" w:cs="Arial"/>
        </w:rPr>
        <w:t>eet at amortised cost. Fair values have been calculated with reference to the following</w:t>
      </w:r>
      <w:r w:rsidRPr="00375FD4">
        <w:rPr>
          <w:rFonts w:ascii="Arial" w:hAnsi="Arial" w:cs="Arial"/>
        </w:rPr>
        <w:t>:</w:t>
      </w:r>
    </w:p>
    <w:p w:rsidR="009C5915" w:rsidRDefault="009C5915" w:rsidP="00CB1952">
      <w:pPr>
        <w:ind w:firstLine="720"/>
        <w:rPr>
          <w:rFonts w:ascii="Arial" w:hAnsi="Arial" w:cs="Arial"/>
          <w:u w:val="single"/>
          <w:lang w:eastAsia="en-GB"/>
        </w:rPr>
      </w:pPr>
    </w:p>
    <w:p w:rsidR="00E13BE3" w:rsidRPr="009A6255" w:rsidRDefault="00E13BE3" w:rsidP="00CB1952">
      <w:pPr>
        <w:ind w:firstLine="720"/>
        <w:rPr>
          <w:rFonts w:ascii="Arial" w:hAnsi="Arial" w:cs="Arial"/>
          <w:u w:val="single"/>
          <w:lang w:eastAsia="en-GB"/>
        </w:rPr>
      </w:pPr>
      <w:r w:rsidRPr="009A6255">
        <w:rPr>
          <w:rFonts w:ascii="Arial" w:hAnsi="Arial" w:cs="Arial"/>
          <w:u w:val="single"/>
          <w:lang w:eastAsia="en-GB"/>
        </w:rPr>
        <w:t>Financial Liabilities</w:t>
      </w:r>
    </w:p>
    <w:p w:rsidR="00E13BE3" w:rsidRPr="009A6255" w:rsidRDefault="00E13BE3" w:rsidP="00EA6E47">
      <w:pPr>
        <w:pStyle w:val="ListParagraph"/>
        <w:numPr>
          <w:ilvl w:val="0"/>
          <w:numId w:val="21"/>
        </w:numPr>
        <w:spacing w:before="0" w:after="0"/>
        <w:rPr>
          <w:rFonts w:ascii="Arial" w:hAnsi="Arial" w:cs="Arial"/>
        </w:rPr>
      </w:pPr>
      <w:r w:rsidRPr="009A6255">
        <w:rPr>
          <w:rFonts w:ascii="Arial" w:hAnsi="Arial" w:cs="Arial"/>
          <w:lang w:eastAsia="en-GB"/>
        </w:rPr>
        <w:t>PWLB Loans (Level 2) - For loans from the PWLB premature repayment rates from th</w:t>
      </w:r>
      <w:r w:rsidR="0060038D">
        <w:rPr>
          <w:rFonts w:ascii="Arial" w:hAnsi="Arial" w:cs="Arial"/>
          <w:lang w:eastAsia="en-GB"/>
        </w:rPr>
        <w:t>e PWLB in force on 31 March 2018</w:t>
      </w:r>
      <w:r w:rsidRPr="009A6255">
        <w:rPr>
          <w:rFonts w:ascii="Arial" w:hAnsi="Arial" w:cs="Arial"/>
          <w:lang w:eastAsia="en-GB"/>
        </w:rPr>
        <w:t xml:space="preserve"> have been applied to provide the fair value under PWLB debt redemption procedures. As the Debt Management Office provides a transparent approach allowing the exit cost to be calculated without undertaking a repayment or transfer it is appropriate to disclose the exit price. As an alternative, we have assessed the cost of taking a new loan at PWLB new loan rates applicable to existing loans on Balance Sheet date (which could be viewed as a proxy for transfer value).</w:t>
      </w:r>
    </w:p>
    <w:p w:rsidR="00E13BE3" w:rsidRPr="009A6255" w:rsidRDefault="00E13BE3" w:rsidP="00EA6E47">
      <w:pPr>
        <w:pStyle w:val="ListParagraph"/>
        <w:numPr>
          <w:ilvl w:val="0"/>
          <w:numId w:val="21"/>
        </w:numPr>
        <w:spacing w:before="0" w:after="0"/>
        <w:rPr>
          <w:rFonts w:ascii="Arial" w:hAnsi="Arial" w:cs="Arial"/>
        </w:rPr>
      </w:pPr>
      <w:r w:rsidRPr="009A6255">
        <w:rPr>
          <w:rFonts w:ascii="Arial" w:hAnsi="Arial" w:cs="Arial"/>
          <w:lang w:eastAsia="en-GB"/>
        </w:rPr>
        <w:t xml:space="preserve">Non-PWLB loans (Level 2) - For non-PWLB loans payable, the fair value of market loans are </w:t>
      </w:r>
      <w:r w:rsidRPr="00892497">
        <w:rPr>
          <w:rFonts w:ascii="Arial" w:hAnsi="Arial" w:cs="Arial"/>
          <w:lang w:eastAsia="en-GB"/>
        </w:rPr>
        <w:t xml:space="preserve">calculated using </w:t>
      </w:r>
      <w:r w:rsidR="00B04593">
        <w:rPr>
          <w:rFonts w:ascii="Arial" w:hAnsi="Arial" w:cs="Arial"/>
          <w:lang w:eastAsia="en-GB"/>
        </w:rPr>
        <w:t xml:space="preserve">estimated interest rates </w:t>
      </w:r>
      <w:r w:rsidR="00B04593" w:rsidRPr="00A82663">
        <w:rPr>
          <w:rFonts w:ascii="Arial" w:hAnsi="Arial" w:cs="Arial"/>
          <w:lang w:eastAsia="en-GB"/>
        </w:rPr>
        <w:t xml:space="preserve">of </w:t>
      </w:r>
      <w:r w:rsidR="00A82663" w:rsidRPr="00A82663">
        <w:rPr>
          <w:rFonts w:ascii="Arial" w:hAnsi="Arial" w:cs="Arial"/>
          <w:lang w:eastAsia="en-GB"/>
        </w:rPr>
        <w:t>0.48</w:t>
      </w:r>
      <w:r w:rsidRPr="00A82663">
        <w:rPr>
          <w:rFonts w:ascii="Arial" w:hAnsi="Arial" w:cs="Arial"/>
          <w:lang w:eastAsia="en-GB"/>
        </w:rPr>
        <w:t xml:space="preserve">% which is the average discount rate applied to market loans for calculation of premature repayment.  The fair value of local </w:t>
      </w:r>
      <w:r w:rsidR="007F0D1B" w:rsidRPr="00A82663">
        <w:rPr>
          <w:rFonts w:ascii="Arial" w:hAnsi="Arial" w:cs="Arial"/>
          <w:lang w:eastAsia="en-GB"/>
        </w:rPr>
        <w:t>c</w:t>
      </w:r>
      <w:r w:rsidR="00312456" w:rsidRPr="00A82663">
        <w:rPr>
          <w:rFonts w:ascii="Arial" w:hAnsi="Arial" w:cs="Arial"/>
          <w:lang w:eastAsia="en-GB"/>
        </w:rPr>
        <w:t>ouncil</w:t>
      </w:r>
      <w:r w:rsidRPr="00A82663">
        <w:rPr>
          <w:rFonts w:ascii="Arial" w:hAnsi="Arial" w:cs="Arial"/>
          <w:lang w:eastAsia="en-GB"/>
        </w:rPr>
        <w:t xml:space="preserve"> loans are calculated using </w:t>
      </w:r>
      <w:r w:rsidR="00B04593" w:rsidRPr="00A82663">
        <w:rPr>
          <w:rFonts w:ascii="Arial" w:hAnsi="Arial" w:cs="Arial"/>
          <w:lang w:eastAsia="en-GB"/>
        </w:rPr>
        <w:t>estimated interest rates of 0.8</w:t>
      </w:r>
      <w:r w:rsidR="00A82663" w:rsidRPr="00A82663">
        <w:rPr>
          <w:rFonts w:ascii="Arial" w:hAnsi="Arial" w:cs="Arial"/>
          <w:lang w:eastAsia="en-GB"/>
        </w:rPr>
        <w:t>8</w:t>
      </w:r>
      <w:r w:rsidRPr="00A82663">
        <w:rPr>
          <w:rFonts w:ascii="Arial" w:hAnsi="Arial" w:cs="Arial"/>
          <w:lang w:eastAsia="en-GB"/>
        </w:rPr>
        <w:t xml:space="preserve">% which is the average discount rate applied to local </w:t>
      </w:r>
      <w:r w:rsidR="007F0D1B" w:rsidRPr="00A82663">
        <w:rPr>
          <w:rFonts w:ascii="Arial" w:hAnsi="Arial" w:cs="Arial"/>
          <w:lang w:eastAsia="en-GB"/>
        </w:rPr>
        <w:t>c</w:t>
      </w:r>
      <w:r w:rsidR="00312456" w:rsidRPr="00A82663">
        <w:rPr>
          <w:rFonts w:ascii="Arial" w:hAnsi="Arial" w:cs="Arial"/>
          <w:lang w:eastAsia="en-GB"/>
        </w:rPr>
        <w:t>ouncil</w:t>
      </w:r>
      <w:r w:rsidRPr="00A82663">
        <w:rPr>
          <w:rFonts w:ascii="Arial" w:hAnsi="Arial" w:cs="Arial"/>
          <w:lang w:eastAsia="en-GB"/>
        </w:rPr>
        <w:t xml:space="preserve"> loans for calculation of premature</w:t>
      </w:r>
      <w:r w:rsidRPr="009A6255">
        <w:rPr>
          <w:rFonts w:ascii="Arial" w:hAnsi="Arial" w:cs="Arial"/>
          <w:lang w:eastAsia="en-GB"/>
        </w:rPr>
        <w:t xml:space="preserve"> repayment.  Discount rates have been applied to provide the fair value under PWLB debt redemption procedures.</w:t>
      </w:r>
    </w:p>
    <w:p w:rsidR="00E13BE3" w:rsidRPr="009A6255" w:rsidRDefault="00E13BE3" w:rsidP="00EA6E47">
      <w:pPr>
        <w:pStyle w:val="ListParagraph"/>
        <w:numPr>
          <w:ilvl w:val="0"/>
          <w:numId w:val="21"/>
        </w:numPr>
        <w:spacing w:before="0" w:after="0"/>
        <w:rPr>
          <w:rFonts w:ascii="Arial" w:hAnsi="Arial" w:cs="Arial"/>
        </w:rPr>
      </w:pPr>
      <w:r w:rsidRPr="009A6255">
        <w:rPr>
          <w:rFonts w:ascii="Arial" w:hAnsi="Arial" w:cs="Arial"/>
          <w:lang w:eastAsia="en-GB"/>
        </w:rPr>
        <w:t xml:space="preserve">PFI/Finance leases (Level 3) – These are not the liability of the </w:t>
      </w:r>
      <w:r w:rsidR="00B55291">
        <w:rPr>
          <w:rFonts w:ascii="Arial" w:hAnsi="Arial" w:cs="Arial"/>
          <w:lang w:eastAsia="en-GB"/>
        </w:rPr>
        <w:t>c</w:t>
      </w:r>
      <w:r w:rsidR="00312456" w:rsidRPr="009A6255">
        <w:rPr>
          <w:rFonts w:ascii="Arial" w:hAnsi="Arial" w:cs="Arial"/>
          <w:lang w:eastAsia="en-GB"/>
        </w:rPr>
        <w:t>ouncil</w:t>
      </w:r>
      <w:r w:rsidRPr="009A6255">
        <w:rPr>
          <w:rFonts w:ascii="Arial" w:hAnsi="Arial" w:cs="Arial"/>
          <w:lang w:eastAsia="en-GB"/>
        </w:rPr>
        <w:t xml:space="preserve"> as the debt is held by the PFI/lease provider.  Fair value have been calculated at level 3 on a simple proxy basis.  The same NPV methodology has been applied as for PWLB and non-PWLB debt.</w:t>
      </w:r>
    </w:p>
    <w:p w:rsidR="00E13BE3" w:rsidRPr="009A6255" w:rsidRDefault="00E13BE3" w:rsidP="00E13BE3">
      <w:pPr>
        <w:ind w:firstLine="720"/>
        <w:rPr>
          <w:rFonts w:ascii="Arial" w:hAnsi="Arial" w:cs="Arial"/>
          <w:u w:val="single"/>
          <w:lang w:eastAsia="en-GB"/>
        </w:rPr>
      </w:pPr>
      <w:r w:rsidRPr="009A6255">
        <w:rPr>
          <w:rFonts w:ascii="Arial" w:hAnsi="Arial" w:cs="Arial"/>
          <w:u w:val="single"/>
          <w:lang w:eastAsia="en-GB"/>
        </w:rPr>
        <w:t>Financial Assets</w:t>
      </w:r>
    </w:p>
    <w:p w:rsidR="00E13BE3" w:rsidRPr="009A6255" w:rsidRDefault="00E13BE3" w:rsidP="00EA6E47">
      <w:pPr>
        <w:pStyle w:val="ListParagraph"/>
        <w:numPr>
          <w:ilvl w:val="0"/>
          <w:numId w:val="21"/>
        </w:numPr>
        <w:spacing w:before="0" w:after="0"/>
        <w:rPr>
          <w:rFonts w:ascii="Arial" w:hAnsi="Arial" w:cs="Arial"/>
        </w:rPr>
      </w:pPr>
      <w:r w:rsidRPr="009A6255">
        <w:rPr>
          <w:rFonts w:ascii="Arial" w:hAnsi="Arial" w:cs="Arial"/>
          <w:lang w:eastAsia="en-GB"/>
        </w:rPr>
        <w:t>Fixed or variable short term deposits of less than a year (including MMF's) – Where an instrument has a maturity of less than 12 months or is a trade or other receivable the fair value is taken to be the carrying amount or the billed amount</w:t>
      </w:r>
      <w:r w:rsidR="009D5A8E" w:rsidRPr="009A6255">
        <w:rPr>
          <w:rFonts w:ascii="Arial" w:hAnsi="Arial" w:cs="Arial"/>
          <w:lang w:eastAsia="en-GB"/>
        </w:rPr>
        <w:t>.</w:t>
      </w:r>
    </w:p>
    <w:p w:rsidR="00E13BE3" w:rsidRPr="009A6255" w:rsidRDefault="00E13BE3" w:rsidP="00E13BE3">
      <w:pPr>
        <w:ind w:firstLine="720"/>
        <w:rPr>
          <w:rFonts w:ascii="Arial" w:hAnsi="Arial" w:cs="Arial"/>
          <w:u w:val="single"/>
          <w:lang w:eastAsia="en-GB"/>
        </w:rPr>
      </w:pPr>
      <w:r w:rsidRPr="009A6255">
        <w:rPr>
          <w:rFonts w:ascii="Arial" w:hAnsi="Arial" w:cs="Arial"/>
          <w:u w:val="single"/>
          <w:lang w:eastAsia="en-GB"/>
        </w:rPr>
        <w:t>Policy Type Assets</w:t>
      </w:r>
    </w:p>
    <w:p w:rsidR="00E13BE3" w:rsidRPr="009A6255" w:rsidRDefault="00E13BE3" w:rsidP="00EA6E47">
      <w:pPr>
        <w:pStyle w:val="ListParagraph"/>
        <w:numPr>
          <w:ilvl w:val="0"/>
          <w:numId w:val="21"/>
        </w:numPr>
        <w:spacing w:before="0" w:after="0"/>
        <w:rPr>
          <w:rFonts w:ascii="Arial" w:hAnsi="Arial" w:cs="Arial"/>
        </w:rPr>
      </w:pPr>
      <w:r w:rsidRPr="009A6255">
        <w:rPr>
          <w:rFonts w:ascii="Arial" w:hAnsi="Arial" w:cs="Arial"/>
          <w:lang w:eastAsia="en-GB"/>
        </w:rPr>
        <w:t>Long term debtors – Level 2</w:t>
      </w:r>
      <w:r w:rsidR="009D5A8E" w:rsidRPr="009A6255">
        <w:rPr>
          <w:rFonts w:ascii="Arial" w:hAnsi="Arial" w:cs="Arial"/>
          <w:lang w:eastAsia="en-GB"/>
        </w:rPr>
        <w:t>.</w:t>
      </w:r>
    </w:p>
    <w:p w:rsidR="00E13BE3" w:rsidRPr="009A6255" w:rsidRDefault="00E13BE3" w:rsidP="00E13BE3">
      <w:pPr>
        <w:ind w:firstLine="720"/>
        <w:rPr>
          <w:rFonts w:ascii="Arial" w:hAnsi="Arial" w:cs="Arial"/>
          <w:u w:val="single"/>
          <w:lang w:eastAsia="en-GB"/>
        </w:rPr>
      </w:pPr>
      <w:r w:rsidRPr="009A6255">
        <w:rPr>
          <w:rFonts w:ascii="Arial" w:hAnsi="Arial" w:cs="Arial"/>
          <w:u w:val="single"/>
          <w:lang w:eastAsia="en-GB"/>
        </w:rPr>
        <w:t>Creditors</w:t>
      </w:r>
    </w:p>
    <w:p w:rsidR="00E13BE3" w:rsidRPr="009A6255" w:rsidRDefault="00E13BE3" w:rsidP="00EA6E47">
      <w:pPr>
        <w:pStyle w:val="ListParagraph"/>
        <w:numPr>
          <w:ilvl w:val="0"/>
          <w:numId w:val="21"/>
        </w:numPr>
        <w:spacing w:before="0" w:after="0"/>
        <w:rPr>
          <w:rFonts w:ascii="Arial" w:hAnsi="Arial" w:cs="Arial"/>
          <w:lang w:eastAsia="en-GB"/>
        </w:rPr>
      </w:pPr>
      <w:r w:rsidRPr="009A6255">
        <w:rPr>
          <w:rFonts w:ascii="Arial" w:hAnsi="Arial" w:cs="Arial"/>
          <w:lang w:eastAsia="en-GB"/>
        </w:rPr>
        <w:t>The fair value of trade and other receivables is taken to be the invoiced or billed amount.</w:t>
      </w:r>
    </w:p>
    <w:p w:rsidR="00E13BE3" w:rsidRPr="009A6255" w:rsidRDefault="00E13BE3" w:rsidP="00E13BE3">
      <w:pPr>
        <w:ind w:firstLine="720"/>
        <w:rPr>
          <w:rFonts w:ascii="Arial" w:hAnsi="Arial" w:cs="Arial"/>
          <w:u w:val="single"/>
          <w:lang w:eastAsia="en-GB"/>
        </w:rPr>
      </w:pPr>
      <w:r w:rsidRPr="009A6255">
        <w:rPr>
          <w:rFonts w:ascii="Arial" w:hAnsi="Arial" w:cs="Arial"/>
          <w:u w:val="single"/>
          <w:lang w:eastAsia="en-GB"/>
        </w:rPr>
        <w:t>Transfers between Levels of the Fair Value Hierarchy</w:t>
      </w:r>
    </w:p>
    <w:p w:rsidR="00E13BE3" w:rsidRPr="009A6255" w:rsidRDefault="00E13BE3" w:rsidP="00EA6E47">
      <w:pPr>
        <w:pStyle w:val="ListParagraph"/>
        <w:numPr>
          <w:ilvl w:val="0"/>
          <w:numId w:val="21"/>
        </w:numPr>
        <w:spacing w:before="0" w:after="0"/>
        <w:rPr>
          <w:rFonts w:ascii="Arial" w:hAnsi="Arial" w:cs="Arial"/>
          <w:lang w:eastAsia="en-GB"/>
        </w:rPr>
      </w:pPr>
      <w:r w:rsidRPr="009A6255">
        <w:rPr>
          <w:rFonts w:ascii="Arial" w:hAnsi="Arial" w:cs="Arial"/>
          <w:lang w:eastAsia="en-GB"/>
        </w:rPr>
        <w:t>There were no transfers between input levels 1 and 2 or transfers in or out of level 3 during the year</w:t>
      </w:r>
      <w:r w:rsidR="009D5A8E" w:rsidRPr="009A6255">
        <w:rPr>
          <w:rFonts w:ascii="Arial" w:hAnsi="Arial" w:cs="Arial"/>
          <w:lang w:eastAsia="en-GB"/>
        </w:rPr>
        <w:t>.</w:t>
      </w:r>
    </w:p>
    <w:p w:rsidR="00E13BE3" w:rsidRPr="009A6255" w:rsidRDefault="00E13BE3" w:rsidP="00E13BE3">
      <w:pPr>
        <w:ind w:firstLine="720"/>
        <w:rPr>
          <w:rFonts w:ascii="Arial" w:hAnsi="Arial" w:cs="Arial"/>
          <w:u w:val="single"/>
          <w:lang w:eastAsia="en-GB"/>
        </w:rPr>
      </w:pPr>
      <w:r w:rsidRPr="009A6255">
        <w:rPr>
          <w:rFonts w:ascii="Arial" w:hAnsi="Arial" w:cs="Arial"/>
          <w:u w:val="single"/>
          <w:lang w:eastAsia="en-GB"/>
        </w:rPr>
        <w:t>Changes in the Valuation Technique</w:t>
      </w:r>
    </w:p>
    <w:p w:rsidR="00990216" w:rsidRPr="009A6255" w:rsidRDefault="00E13BE3" w:rsidP="00EA6E47">
      <w:pPr>
        <w:numPr>
          <w:ilvl w:val="0"/>
          <w:numId w:val="21"/>
        </w:numPr>
        <w:spacing w:before="0" w:after="0"/>
        <w:jc w:val="both"/>
        <w:rPr>
          <w:rFonts w:ascii="Arial" w:hAnsi="Arial" w:cs="Arial"/>
        </w:rPr>
      </w:pPr>
      <w:r w:rsidRPr="009A6255">
        <w:rPr>
          <w:rFonts w:ascii="Arial" w:hAnsi="Arial" w:cs="Arial"/>
          <w:lang w:eastAsia="en-GB"/>
        </w:rPr>
        <w:t>There has been no change in the valuation technique used during the year for the financial instruments</w:t>
      </w:r>
      <w:r w:rsidR="000852F7">
        <w:rPr>
          <w:rFonts w:ascii="Arial" w:hAnsi="Arial" w:cs="Arial"/>
          <w:lang w:eastAsia="en-GB"/>
        </w:rPr>
        <w:t>:</w:t>
      </w:r>
    </w:p>
    <w:p w:rsidR="00990216" w:rsidRPr="00375FD4" w:rsidRDefault="00990216" w:rsidP="00990216">
      <w:pPr>
        <w:spacing w:before="0" w:after="0"/>
        <w:ind w:left="540"/>
        <w:jc w:val="both"/>
        <w:rPr>
          <w:rFonts w:ascii="Arial" w:hAnsi="Arial" w:cs="Arial"/>
        </w:rPr>
      </w:pPr>
    </w:p>
    <w:p w:rsidR="00990216" w:rsidRDefault="00B435D6" w:rsidP="00990216">
      <w:pPr>
        <w:spacing w:before="0" w:after="0"/>
        <w:ind w:left="540"/>
        <w:jc w:val="both"/>
        <w:rPr>
          <w:rFonts w:ascii="Arial" w:hAnsi="Arial" w:cs="Arial"/>
        </w:rPr>
      </w:pPr>
      <w:r w:rsidRPr="00B435D6">
        <w:rPr>
          <w:noProof/>
          <w:lang w:eastAsia="en-GB"/>
        </w:rPr>
        <w:drawing>
          <wp:inline distT="0" distB="0" distL="0" distR="0">
            <wp:extent cx="4267200" cy="825500"/>
            <wp:effectExtent l="0" t="0" r="0" b="0"/>
            <wp:docPr id="15" name="Picture 15" descr="Fair Value of Assets and Liabilities carried at Amortised Cost &#10;&#10;"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267200" cy="825500"/>
                    </a:xfrm>
                    <a:prstGeom prst="rect">
                      <a:avLst/>
                    </a:prstGeom>
                    <a:noFill/>
                    <a:ln>
                      <a:noFill/>
                    </a:ln>
                  </pic:spPr>
                </pic:pic>
              </a:graphicData>
            </a:graphic>
          </wp:inline>
        </w:drawing>
      </w:r>
    </w:p>
    <w:p w:rsidR="00990216" w:rsidRPr="00375FD4" w:rsidRDefault="00990216" w:rsidP="00990216">
      <w:pPr>
        <w:spacing w:before="0" w:after="0"/>
        <w:ind w:left="540"/>
        <w:jc w:val="both"/>
        <w:rPr>
          <w:rFonts w:ascii="Arial" w:hAnsi="Arial" w:cs="Arial"/>
        </w:rPr>
      </w:pPr>
    </w:p>
    <w:p w:rsidR="009C5915" w:rsidRDefault="009C5915" w:rsidP="00990216">
      <w:pPr>
        <w:spacing w:before="0" w:after="0"/>
        <w:jc w:val="both"/>
        <w:rPr>
          <w:rFonts w:ascii="Arial" w:hAnsi="Arial" w:cs="Arial"/>
          <w:b/>
        </w:rPr>
      </w:pPr>
    </w:p>
    <w:p w:rsidR="009C5915" w:rsidRPr="00375FD4" w:rsidRDefault="009C5915" w:rsidP="009C5915">
      <w:pPr>
        <w:spacing w:before="0" w:after="200" w:line="276" w:lineRule="auto"/>
        <w:rPr>
          <w:rFonts w:ascii="Arial" w:hAnsi="Arial" w:cs="Arial"/>
          <w:b/>
          <w:sz w:val="24"/>
          <w:szCs w:val="24"/>
        </w:rPr>
      </w:pPr>
      <w:r w:rsidRPr="00375FD4">
        <w:rPr>
          <w:rFonts w:ascii="Arial" w:hAnsi="Arial" w:cs="Arial"/>
          <w:b/>
          <w:sz w:val="24"/>
          <w:szCs w:val="24"/>
        </w:rPr>
        <w:lastRenderedPageBreak/>
        <w:t>Notes to the Financial Statements (Cont’d)</w:t>
      </w:r>
    </w:p>
    <w:p w:rsidR="009C5915" w:rsidRPr="00375FD4" w:rsidRDefault="00466A40" w:rsidP="009C5915">
      <w:pPr>
        <w:spacing w:before="0" w:after="0"/>
        <w:jc w:val="both"/>
        <w:rPr>
          <w:rFonts w:ascii="Arial" w:hAnsi="Arial" w:cs="Arial"/>
          <w:b/>
        </w:rPr>
      </w:pPr>
      <w:r>
        <w:rPr>
          <w:rFonts w:ascii="Arial" w:hAnsi="Arial" w:cs="Arial"/>
          <w:b/>
        </w:rPr>
        <w:t>Note 25</w:t>
      </w:r>
      <w:r w:rsidR="009C5915" w:rsidRPr="00375FD4">
        <w:rPr>
          <w:rFonts w:ascii="Arial" w:hAnsi="Arial" w:cs="Arial"/>
          <w:b/>
        </w:rPr>
        <w:t xml:space="preserve"> – Financial Instruments (Cont’d)</w:t>
      </w:r>
    </w:p>
    <w:p w:rsidR="009C5915" w:rsidRDefault="009C5915" w:rsidP="009C5915">
      <w:pPr>
        <w:spacing w:before="0" w:after="0"/>
        <w:ind w:left="993" w:hanging="426"/>
        <w:rPr>
          <w:rFonts w:ascii="Arial" w:hAnsi="Arial" w:cs="Arial"/>
          <w:b/>
          <w:bCs/>
        </w:rPr>
      </w:pPr>
    </w:p>
    <w:p w:rsidR="009C5915" w:rsidRDefault="009C5915" w:rsidP="009C5915">
      <w:pPr>
        <w:spacing w:before="0" w:after="0"/>
        <w:ind w:left="709" w:hanging="709"/>
        <w:rPr>
          <w:rFonts w:ascii="Arial" w:hAnsi="Arial" w:cs="Arial"/>
          <w:b/>
          <w:bCs/>
        </w:rPr>
      </w:pPr>
      <w:r w:rsidRPr="00375FD4">
        <w:rPr>
          <w:rFonts w:ascii="Arial" w:hAnsi="Arial" w:cs="Arial"/>
          <w:b/>
          <w:bCs/>
        </w:rPr>
        <w:t>2)</w:t>
      </w:r>
      <w:r w:rsidRPr="00375FD4">
        <w:rPr>
          <w:rFonts w:ascii="Arial" w:hAnsi="Arial" w:cs="Arial"/>
          <w:b/>
          <w:bCs/>
        </w:rPr>
        <w:tab/>
        <w:t>Fair Value of Assets and Liabilities carried at Amortised Cost</w:t>
      </w:r>
      <w:r>
        <w:rPr>
          <w:rFonts w:ascii="Arial" w:hAnsi="Arial" w:cs="Arial"/>
          <w:b/>
          <w:bCs/>
        </w:rPr>
        <w:t xml:space="preserve"> (cont’d)</w:t>
      </w:r>
    </w:p>
    <w:p w:rsidR="005F6315" w:rsidRDefault="005F6315" w:rsidP="009C5915">
      <w:pPr>
        <w:spacing w:before="0" w:after="0"/>
        <w:ind w:left="709" w:hanging="709"/>
        <w:rPr>
          <w:rFonts w:ascii="Arial" w:hAnsi="Arial" w:cs="Arial"/>
          <w:b/>
          <w:bCs/>
        </w:rPr>
      </w:pPr>
    </w:p>
    <w:p w:rsidR="005F6315" w:rsidRPr="00375FD4" w:rsidRDefault="005F6315" w:rsidP="005F6315">
      <w:pPr>
        <w:spacing w:before="0" w:after="0"/>
        <w:rPr>
          <w:rFonts w:ascii="Arial" w:hAnsi="Arial" w:cs="Arial"/>
        </w:rPr>
      </w:pPr>
      <w:r w:rsidRPr="00375FD4">
        <w:rPr>
          <w:rFonts w:ascii="Arial" w:hAnsi="Arial" w:cs="Arial"/>
        </w:rPr>
        <w:t>The fair value is equal to the carrying amount because all loans and receivables are either short term or at a fixed interest rate or a variable rate linked to base rate without signi</w:t>
      </w:r>
      <w:r>
        <w:rPr>
          <w:rFonts w:ascii="Arial" w:hAnsi="Arial" w:cs="Arial"/>
        </w:rPr>
        <w:t>ficant transaction costs.  The c</w:t>
      </w:r>
      <w:r w:rsidRPr="00375FD4">
        <w:rPr>
          <w:rFonts w:ascii="Arial" w:hAnsi="Arial" w:cs="Arial"/>
        </w:rPr>
        <w:t>ouncil does not hold any equity investments in an unquoted market and, therefore, this type of investment is excluded from the above table.</w:t>
      </w:r>
    </w:p>
    <w:p w:rsidR="005F6315" w:rsidRDefault="005F6315" w:rsidP="005F6315">
      <w:pPr>
        <w:spacing w:before="0" w:after="0"/>
        <w:jc w:val="both"/>
        <w:rPr>
          <w:rFonts w:ascii="Arial" w:hAnsi="Arial" w:cs="Arial"/>
          <w:b/>
        </w:rPr>
      </w:pPr>
    </w:p>
    <w:p w:rsidR="00990216" w:rsidRDefault="00B435D6" w:rsidP="00CE38F5">
      <w:pPr>
        <w:spacing w:before="0" w:after="0"/>
        <w:jc w:val="both"/>
        <w:rPr>
          <w:rFonts w:ascii="Arial" w:hAnsi="Arial" w:cs="Arial"/>
        </w:rPr>
      </w:pPr>
      <w:r w:rsidRPr="00B435D6">
        <w:rPr>
          <w:noProof/>
          <w:lang w:eastAsia="en-GB"/>
        </w:rPr>
        <w:drawing>
          <wp:inline distT="0" distB="0" distL="0" distR="0">
            <wp:extent cx="4813300" cy="1682750"/>
            <wp:effectExtent l="0" t="0" r="6350" b="0"/>
            <wp:docPr id="18" name="Picture 18" descr="Fair Value of Assets and Liabilities carried at Amortised Cost "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813300" cy="1682750"/>
                    </a:xfrm>
                    <a:prstGeom prst="rect">
                      <a:avLst/>
                    </a:prstGeom>
                    <a:noFill/>
                    <a:ln>
                      <a:noFill/>
                    </a:ln>
                  </pic:spPr>
                </pic:pic>
              </a:graphicData>
            </a:graphic>
          </wp:inline>
        </w:drawing>
      </w:r>
    </w:p>
    <w:p w:rsidR="00823DB5" w:rsidRPr="00375FD4" w:rsidRDefault="00823DB5" w:rsidP="00990216">
      <w:pPr>
        <w:spacing w:before="0" w:after="0"/>
        <w:ind w:left="540"/>
        <w:rPr>
          <w:rFonts w:ascii="Arial" w:hAnsi="Arial" w:cs="Arial"/>
        </w:rPr>
      </w:pPr>
    </w:p>
    <w:p w:rsidR="00990216" w:rsidRPr="00375FD4" w:rsidRDefault="00990216" w:rsidP="001F1E67">
      <w:pPr>
        <w:spacing w:before="0" w:after="0"/>
        <w:rPr>
          <w:rFonts w:ascii="Arial" w:hAnsi="Arial" w:cs="Arial"/>
        </w:rPr>
      </w:pPr>
      <w:r w:rsidRPr="00375FD4">
        <w:rPr>
          <w:rFonts w:ascii="Arial" w:hAnsi="Arial" w:cs="Arial"/>
        </w:rPr>
        <w:t>The fair value is higher than t</w:t>
      </w:r>
      <w:r w:rsidR="007F0D1B">
        <w:rPr>
          <w:rFonts w:ascii="Arial" w:hAnsi="Arial" w:cs="Arial"/>
        </w:rPr>
        <w:t xml:space="preserve">he carrying amount because the </w:t>
      </w:r>
      <w:r w:rsidR="00B55291">
        <w:rPr>
          <w:rFonts w:ascii="Arial" w:hAnsi="Arial" w:cs="Arial"/>
        </w:rPr>
        <w:t>c</w:t>
      </w:r>
      <w:r w:rsidRPr="00375FD4">
        <w:rPr>
          <w:rFonts w:ascii="Arial" w:hAnsi="Arial" w:cs="Arial"/>
        </w:rPr>
        <w:t>ouncil’s portfolio of loans includes a number of fixed rate loans where the interest rate payable is higher than the rates available for similar loans at the balance sheet date.   The commitment to pay interest above current market rates</w:t>
      </w:r>
      <w:r w:rsidR="007F0D1B">
        <w:rPr>
          <w:rFonts w:ascii="Arial" w:hAnsi="Arial" w:cs="Arial"/>
        </w:rPr>
        <w:t xml:space="preserve"> increases the amo</w:t>
      </w:r>
      <w:r w:rsidR="00B55291">
        <w:rPr>
          <w:rFonts w:ascii="Arial" w:hAnsi="Arial" w:cs="Arial"/>
        </w:rPr>
        <w:t>unt that the c</w:t>
      </w:r>
      <w:r w:rsidRPr="00375FD4">
        <w:rPr>
          <w:rFonts w:ascii="Arial" w:hAnsi="Arial" w:cs="Arial"/>
        </w:rPr>
        <w:t>ouncil would have to pay if the lender requested or agreed to early repayment of the loans.</w:t>
      </w:r>
    </w:p>
    <w:p w:rsidR="00990216" w:rsidRPr="00375FD4" w:rsidRDefault="00990216" w:rsidP="000852F7">
      <w:pPr>
        <w:spacing w:before="0" w:after="0"/>
        <w:rPr>
          <w:rFonts w:ascii="Arial" w:hAnsi="Arial" w:cs="Arial"/>
        </w:rPr>
      </w:pPr>
      <w:r w:rsidRPr="00375FD4">
        <w:rPr>
          <w:rFonts w:ascii="Arial" w:hAnsi="Arial" w:cs="Arial"/>
        </w:rPr>
        <w:tab/>
      </w:r>
    </w:p>
    <w:p w:rsidR="00990216" w:rsidRPr="00375FD4" w:rsidRDefault="00BA11B4" w:rsidP="00AE1933">
      <w:pPr>
        <w:spacing w:before="0" w:after="0"/>
        <w:rPr>
          <w:rFonts w:ascii="Arial" w:hAnsi="Arial" w:cs="Arial"/>
        </w:rPr>
      </w:pPr>
      <w:r w:rsidRPr="00BA11B4">
        <w:rPr>
          <w:rFonts w:ascii="Arial" w:hAnsi="Arial" w:cs="Arial"/>
        </w:rPr>
        <w:t xml:space="preserve">The fair value of borrowings and PPP liabilities as at </w:t>
      </w:r>
      <w:r w:rsidR="00823DB5">
        <w:rPr>
          <w:rFonts w:ascii="Arial" w:hAnsi="Arial" w:cs="Arial"/>
        </w:rPr>
        <w:t>31 March 2020 are comparable to 2019</w:t>
      </w:r>
      <w:r w:rsidRPr="00BA11B4">
        <w:rPr>
          <w:rFonts w:ascii="Arial" w:hAnsi="Arial" w:cs="Arial"/>
        </w:rPr>
        <w:t xml:space="preserve"> reflecting a fairly static market</w:t>
      </w:r>
      <w:r w:rsidR="00990216" w:rsidRPr="00375FD4">
        <w:rPr>
          <w:rFonts w:ascii="Arial" w:hAnsi="Arial" w:cs="Arial"/>
        </w:rPr>
        <w:t>.</w:t>
      </w:r>
    </w:p>
    <w:p w:rsidR="00990216" w:rsidRDefault="00990216" w:rsidP="00990216">
      <w:pPr>
        <w:spacing w:before="0" w:after="0"/>
        <w:rPr>
          <w:rFonts w:ascii="Arial" w:hAnsi="Arial" w:cs="Arial"/>
        </w:rPr>
      </w:pPr>
    </w:p>
    <w:p w:rsidR="00A16BEC" w:rsidRDefault="00FF48AC" w:rsidP="00990216">
      <w:pPr>
        <w:spacing w:before="0" w:after="0"/>
        <w:rPr>
          <w:rFonts w:ascii="Arial" w:hAnsi="Arial" w:cs="Arial"/>
        </w:rPr>
      </w:pPr>
      <w:r>
        <w:rPr>
          <w:rFonts w:ascii="Arial" w:hAnsi="Arial" w:cs="Arial"/>
        </w:rPr>
        <w:t>A</w:t>
      </w:r>
      <w:r w:rsidR="00A16BEC">
        <w:rPr>
          <w:rFonts w:ascii="Arial" w:hAnsi="Arial" w:cs="Arial"/>
        </w:rPr>
        <w:t xml:space="preserve"> further breakdown of types of borrowing held by</w:t>
      </w:r>
      <w:r w:rsidR="00823DB5">
        <w:rPr>
          <w:rFonts w:ascii="Arial" w:hAnsi="Arial" w:cs="Arial"/>
        </w:rPr>
        <w:t xml:space="preserve"> the Council as at 31 March 2020</w:t>
      </w:r>
      <w:r w:rsidR="00A16BEC">
        <w:rPr>
          <w:rFonts w:ascii="Arial" w:hAnsi="Arial" w:cs="Arial"/>
        </w:rPr>
        <w:t xml:space="preserve"> is noted below:</w:t>
      </w:r>
    </w:p>
    <w:p w:rsidR="00423AB8" w:rsidRPr="00A16BEC" w:rsidRDefault="00423AB8" w:rsidP="00990216">
      <w:pPr>
        <w:spacing w:before="0" w:after="0"/>
        <w:rPr>
          <w:rFonts w:ascii="Arial" w:hAnsi="Arial" w:cs="Arial"/>
        </w:rPr>
      </w:pPr>
    </w:p>
    <w:p w:rsidR="00A16BEC" w:rsidRDefault="007E1B1A" w:rsidP="00990216">
      <w:pPr>
        <w:spacing w:before="0" w:after="0"/>
        <w:rPr>
          <w:rFonts w:ascii="Arial" w:hAnsi="Arial" w:cs="Arial"/>
        </w:rPr>
      </w:pPr>
      <w:r w:rsidRPr="007E1B1A">
        <w:rPr>
          <w:noProof/>
          <w:lang w:eastAsia="en-GB"/>
        </w:rPr>
        <w:drawing>
          <wp:inline distT="0" distB="0" distL="0" distR="0" wp14:anchorId="0896BA73" wp14:editId="197B8467">
            <wp:extent cx="5731510" cy="2978126"/>
            <wp:effectExtent l="0" t="0" r="2540" b="0"/>
            <wp:docPr id="38" name="Picture 38" descr="detailed breakdown of debt"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731510" cy="2978126"/>
                    </a:xfrm>
                    <a:prstGeom prst="rect">
                      <a:avLst/>
                    </a:prstGeom>
                    <a:noFill/>
                    <a:ln>
                      <a:noFill/>
                    </a:ln>
                  </pic:spPr>
                </pic:pic>
              </a:graphicData>
            </a:graphic>
          </wp:inline>
        </w:drawing>
      </w:r>
    </w:p>
    <w:p w:rsidR="00A16BEC" w:rsidRPr="00375FD4" w:rsidRDefault="00A16BEC" w:rsidP="00990216">
      <w:pPr>
        <w:spacing w:before="0" w:after="0"/>
        <w:rPr>
          <w:rFonts w:ascii="Arial" w:hAnsi="Arial" w:cs="Arial"/>
        </w:rPr>
      </w:pPr>
    </w:p>
    <w:p w:rsidR="00522D7C" w:rsidRPr="00522D7C" w:rsidRDefault="00522D7C" w:rsidP="00522D7C">
      <w:pPr>
        <w:spacing w:before="0" w:after="0"/>
        <w:ind w:left="709" w:hanging="709"/>
        <w:rPr>
          <w:rFonts w:ascii="Arial" w:hAnsi="Arial" w:cs="Arial"/>
          <w:b/>
          <w:bCs/>
        </w:rPr>
      </w:pPr>
      <w:r w:rsidRPr="00522D7C">
        <w:rPr>
          <w:rFonts w:ascii="Arial" w:hAnsi="Arial" w:cs="Arial"/>
          <w:b/>
          <w:bCs/>
        </w:rPr>
        <w:t>3)</w:t>
      </w:r>
      <w:r w:rsidRPr="00522D7C">
        <w:rPr>
          <w:rFonts w:ascii="Arial" w:hAnsi="Arial" w:cs="Arial"/>
          <w:b/>
          <w:bCs/>
        </w:rPr>
        <w:tab/>
        <w:t>Gains and Losses on Financial Instruments</w:t>
      </w:r>
    </w:p>
    <w:p w:rsidR="00990216" w:rsidRPr="00375FD4" w:rsidRDefault="00990216" w:rsidP="00990216">
      <w:pPr>
        <w:spacing w:before="0" w:after="0"/>
        <w:jc w:val="both"/>
        <w:rPr>
          <w:rFonts w:ascii="Arial" w:hAnsi="Arial" w:cs="Arial"/>
          <w:b/>
          <w:bCs/>
        </w:rPr>
      </w:pPr>
    </w:p>
    <w:p w:rsidR="00990216" w:rsidRPr="00375FD4" w:rsidRDefault="00990216" w:rsidP="00AE1933">
      <w:pPr>
        <w:spacing w:before="0" w:after="0"/>
        <w:jc w:val="both"/>
        <w:rPr>
          <w:rFonts w:ascii="Arial" w:hAnsi="Arial" w:cs="Arial"/>
        </w:rPr>
      </w:pPr>
      <w:r w:rsidRPr="00375FD4">
        <w:rPr>
          <w:rFonts w:ascii="Arial" w:hAnsi="Arial" w:cs="Arial"/>
        </w:rPr>
        <w:t>The gains and losses recognised in the Comprehensive Income and Expenditure Account in relation to financial instruments are made up as follows:</w:t>
      </w:r>
    </w:p>
    <w:p w:rsidR="00990216" w:rsidRPr="00375FD4" w:rsidRDefault="00990216" w:rsidP="00990216">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jc w:val="both"/>
        <w:rPr>
          <w:rFonts w:ascii="Arial" w:hAnsi="Arial" w:cs="Arial"/>
          <w:b/>
        </w:rPr>
      </w:pPr>
    </w:p>
    <w:p w:rsidR="00990216" w:rsidRDefault="00EA6406" w:rsidP="00990216">
      <w:pPr>
        <w:spacing w:before="0" w:after="0"/>
        <w:jc w:val="both"/>
        <w:rPr>
          <w:rFonts w:ascii="Arial" w:hAnsi="Arial" w:cs="Arial"/>
          <w:b/>
        </w:rPr>
      </w:pPr>
      <w:r>
        <w:rPr>
          <w:rFonts w:ascii="Arial" w:hAnsi="Arial" w:cs="Arial"/>
          <w:b/>
        </w:rPr>
        <w:t>Note 25</w:t>
      </w:r>
      <w:r w:rsidR="00990216" w:rsidRPr="00375FD4">
        <w:rPr>
          <w:rFonts w:ascii="Arial" w:hAnsi="Arial" w:cs="Arial"/>
          <w:b/>
        </w:rPr>
        <w:t xml:space="preserve"> – Financial Instruments (Cont’d)</w:t>
      </w:r>
    </w:p>
    <w:p w:rsidR="00B802E7" w:rsidRDefault="00B802E7" w:rsidP="00990216">
      <w:pPr>
        <w:spacing w:before="0" w:after="0"/>
        <w:jc w:val="both"/>
        <w:rPr>
          <w:rFonts w:ascii="Arial" w:hAnsi="Arial" w:cs="Arial"/>
          <w:b/>
        </w:rPr>
      </w:pPr>
    </w:p>
    <w:p w:rsidR="00B802E7" w:rsidRPr="00522D7C" w:rsidRDefault="00B802E7" w:rsidP="00B802E7">
      <w:pPr>
        <w:spacing w:before="0" w:after="0"/>
        <w:ind w:left="709" w:hanging="709"/>
        <w:rPr>
          <w:rFonts w:ascii="Arial" w:hAnsi="Arial" w:cs="Arial"/>
          <w:b/>
          <w:bCs/>
        </w:rPr>
      </w:pPr>
      <w:r w:rsidRPr="00522D7C">
        <w:rPr>
          <w:rFonts w:ascii="Arial" w:hAnsi="Arial" w:cs="Arial"/>
          <w:b/>
          <w:bCs/>
        </w:rPr>
        <w:t>3)</w:t>
      </w:r>
      <w:r w:rsidRPr="00522D7C">
        <w:rPr>
          <w:rFonts w:ascii="Arial" w:hAnsi="Arial" w:cs="Arial"/>
          <w:b/>
          <w:bCs/>
        </w:rPr>
        <w:tab/>
        <w:t>Gains and Losses on Financial Instruments</w:t>
      </w:r>
      <w:r>
        <w:rPr>
          <w:rFonts w:ascii="Arial" w:hAnsi="Arial" w:cs="Arial"/>
          <w:b/>
          <w:bCs/>
        </w:rPr>
        <w:t xml:space="preserve"> (Cont’d)</w:t>
      </w:r>
    </w:p>
    <w:p w:rsidR="00B802E7" w:rsidRDefault="00B802E7" w:rsidP="00990216">
      <w:pPr>
        <w:spacing w:before="0" w:after="0"/>
        <w:jc w:val="both"/>
        <w:rPr>
          <w:rFonts w:ascii="Arial" w:hAnsi="Arial" w:cs="Arial"/>
          <w:b/>
        </w:rPr>
      </w:pPr>
    </w:p>
    <w:p w:rsidR="00B802E7" w:rsidRDefault="003A5A08" w:rsidP="00990216">
      <w:pPr>
        <w:spacing w:before="0" w:after="0"/>
        <w:jc w:val="both"/>
        <w:rPr>
          <w:rFonts w:ascii="Arial" w:hAnsi="Arial" w:cs="Arial"/>
          <w:b/>
        </w:rPr>
      </w:pPr>
      <w:r w:rsidRPr="003A5A08">
        <w:rPr>
          <w:noProof/>
          <w:lang w:eastAsia="en-GB"/>
        </w:rPr>
        <w:drawing>
          <wp:inline distT="0" distB="0" distL="0" distR="0">
            <wp:extent cx="5731510" cy="1405749"/>
            <wp:effectExtent l="0" t="0" r="2540" b="4445"/>
            <wp:docPr id="42" name="Picture 42" descr="gains and losses on financial instruments"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731510" cy="1405749"/>
                    </a:xfrm>
                    <a:prstGeom prst="rect">
                      <a:avLst/>
                    </a:prstGeom>
                    <a:noFill/>
                    <a:ln>
                      <a:noFill/>
                    </a:ln>
                  </pic:spPr>
                </pic:pic>
              </a:graphicData>
            </a:graphic>
          </wp:inline>
        </w:drawing>
      </w:r>
    </w:p>
    <w:p w:rsidR="00B802E7" w:rsidRDefault="00B802E7" w:rsidP="00B802E7">
      <w:pPr>
        <w:spacing w:before="0" w:after="0"/>
        <w:rPr>
          <w:rFonts w:ascii="Arial" w:hAnsi="Arial" w:cs="Arial"/>
        </w:rPr>
      </w:pPr>
    </w:p>
    <w:p w:rsidR="00B802E7" w:rsidRPr="00273FE9" w:rsidRDefault="00B802E7" w:rsidP="00B802E7">
      <w:pPr>
        <w:spacing w:before="0" w:after="0"/>
        <w:rPr>
          <w:rFonts w:ascii="Arial" w:hAnsi="Arial" w:cs="Arial"/>
          <w:sz w:val="16"/>
          <w:szCs w:val="16"/>
        </w:rPr>
      </w:pPr>
      <w:r w:rsidRPr="00273FE9">
        <w:rPr>
          <w:rFonts w:ascii="Arial" w:hAnsi="Arial" w:cs="Arial"/>
          <w:sz w:val="16"/>
          <w:szCs w:val="16"/>
        </w:rPr>
        <w:t>* Interest/Expense has been calculated on an EIR basis where appropriate for market instruments.</w:t>
      </w:r>
    </w:p>
    <w:p w:rsidR="00B802E7" w:rsidRPr="00522D7C" w:rsidRDefault="00B802E7" w:rsidP="00B802E7">
      <w:pPr>
        <w:spacing w:before="0" w:after="0"/>
        <w:rPr>
          <w:rFonts w:ascii="Arial" w:hAnsi="Arial" w:cs="Arial"/>
        </w:rPr>
      </w:pPr>
    </w:p>
    <w:p w:rsidR="00B802E7" w:rsidRPr="00522D7C" w:rsidRDefault="00B802E7" w:rsidP="00B802E7">
      <w:pPr>
        <w:spacing w:before="0" w:after="0"/>
        <w:jc w:val="both"/>
        <w:rPr>
          <w:rFonts w:ascii="Arial" w:hAnsi="Arial" w:cs="Arial"/>
        </w:rPr>
      </w:pPr>
      <w:r w:rsidRPr="00522D7C">
        <w:rPr>
          <w:rFonts w:ascii="Arial" w:hAnsi="Arial" w:cs="Arial"/>
        </w:rPr>
        <w:t>There has been no gain/loss on either of the following classes of</w:t>
      </w:r>
      <w:r>
        <w:rPr>
          <w:rFonts w:ascii="Arial" w:hAnsi="Arial" w:cs="Arial"/>
        </w:rPr>
        <w:t xml:space="preserve"> financial instruments, as the c</w:t>
      </w:r>
      <w:r w:rsidRPr="00522D7C">
        <w:rPr>
          <w:rFonts w:ascii="Arial" w:hAnsi="Arial" w:cs="Arial"/>
        </w:rPr>
        <w:t>ouncil does not own them:</w:t>
      </w:r>
    </w:p>
    <w:p w:rsidR="00B802E7" w:rsidRPr="00375FD4" w:rsidRDefault="00B802E7" w:rsidP="00B802E7">
      <w:pPr>
        <w:spacing w:before="0" w:after="0"/>
        <w:ind w:left="567"/>
        <w:jc w:val="both"/>
        <w:rPr>
          <w:rFonts w:ascii="Arial" w:hAnsi="Arial" w:cs="Arial"/>
        </w:rPr>
      </w:pPr>
    </w:p>
    <w:p w:rsidR="00B802E7" w:rsidRPr="00375FD4" w:rsidRDefault="00252ACC" w:rsidP="00EA6E47">
      <w:pPr>
        <w:numPr>
          <w:ilvl w:val="0"/>
          <w:numId w:val="24"/>
        </w:numPr>
        <w:tabs>
          <w:tab w:val="clear" w:pos="1276"/>
          <w:tab w:val="num" w:pos="993"/>
        </w:tabs>
        <w:spacing w:before="0" w:after="0"/>
        <w:ind w:left="709" w:hanging="142"/>
        <w:rPr>
          <w:rFonts w:ascii="Arial" w:hAnsi="Arial" w:cs="Arial"/>
        </w:rPr>
      </w:pPr>
      <w:r>
        <w:rPr>
          <w:rFonts w:ascii="Arial" w:hAnsi="Arial" w:cs="Arial"/>
        </w:rPr>
        <w:t xml:space="preserve">     </w:t>
      </w:r>
      <w:r w:rsidR="00B802E7" w:rsidRPr="00375FD4">
        <w:rPr>
          <w:rFonts w:ascii="Arial" w:hAnsi="Arial" w:cs="Arial"/>
        </w:rPr>
        <w:t>available for sale financial assets; and</w:t>
      </w:r>
    </w:p>
    <w:p w:rsidR="00B802E7" w:rsidRPr="004B57EC" w:rsidRDefault="00B802E7" w:rsidP="00EA6E47">
      <w:pPr>
        <w:numPr>
          <w:ilvl w:val="0"/>
          <w:numId w:val="24"/>
        </w:numPr>
        <w:tabs>
          <w:tab w:val="clear" w:pos="1276"/>
          <w:tab w:val="num" w:pos="993"/>
        </w:tabs>
        <w:spacing w:before="0" w:after="200" w:line="276" w:lineRule="auto"/>
        <w:ind w:hanging="709"/>
        <w:rPr>
          <w:rFonts w:ascii="Arial" w:hAnsi="Arial" w:cs="Arial"/>
          <w:b/>
        </w:rPr>
      </w:pPr>
      <w:r w:rsidRPr="004B57EC">
        <w:rPr>
          <w:rFonts w:ascii="Arial" w:hAnsi="Arial" w:cs="Arial"/>
        </w:rPr>
        <w:t>financial assets or liabilities at a fair value through profit and loss.</w:t>
      </w:r>
    </w:p>
    <w:p w:rsidR="00EE0C14" w:rsidRPr="00EE0C14" w:rsidRDefault="00EE0C14" w:rsidP="00EE0C14">
      <w:pPr>
        <w:spacing w:before="0" w:after="0"/>
        <w:ind w:left="709" w:hanging="709"/>
        <w:rPr>
          <w:rFonts w:ascii="Arial" w:hAnsi="Arial" w:cs="Arial"/>
          <w:b/>
          <w:bCs/>
        </w:rPr>
      </w:pPr>
      <w:r w:rsidRPr="00EE0C14">
        <w:rPr>
          <w:rFonts w:ascii="Arial" w:hAnsi="Arial" w:cs="Arial"/>
          <w:b/>
          <w:bCs/>
        </w:rPr>
        <w:t>4)</w:t>
      </w:r>
      <w:r w:rsidRPr="00EE0C14">
        <w:rPr>
          <w:rFonts w:ascii="Arial" w:hAnsi="Arial" w:cs="Arial"/>
          <w:b/>
          <w:bCs/>
        </w:rPr>
        <w:tab/>
        <w:t>Nature and Extent of Risks arising from Financial Instruments</w:t>
      </w:r>
    </w:p>
    <w:p w:rsidR="00EE0C14" w:rsidRPr="00EE0C14" w:rsidRDefault="00EE0C14" w:rsidP="00EE0C14">
      <w:pPr>
        <w:spacing w:before="0" w:after="0"/>
        <w:rPr>
          <w:rFonts w:ascii="Arial" w:hAnsi="Arial" w:cs="Arial"/>
        </w:rPr>
      </w:pPr>
    </w:p>
    <w:p w:rsidR="00990216" w:rsidRPr="00375FD4" w:rsidRDefault="00B55291" w:rsidP="00E61D8C">
      <w:pPr>
        <w:spacing w:before="0" w:after="0"/>
        <w:rPr>
          <w:rFonts w:ascii="Arial" w:hAnsi="Arial" w:cs="Arial"/>
        </w:rPr>
      </w:pPr>
      <w:r>
        <w:rPr>
          <w:rFonts w:ascii="Arial" w:hAnsi="Arial" w:cs="Arial"/>
        </w:rPr>
        <w:t>The c</w:t>
      </w:r>
      <w:r w:rsidR="00EE0C14" w:rsidRPr="00EE0C14">
        <w:rPr>
          <w:rFonts w:ascii="Arial" w:hAnsi="Arial" w:cs="Arial"/>
        </w:rPr>
        <w:t xml:space="preserve">ouncil’s management of treasury risks </w:t>
      </w:r>
      <w:r>
        <w:rPr>
          <w:rFonts w:ascii="Arial" w:hAnsi="Arial" w:cs="Arial"/>
        </w:rPr>
        <w:t>actively works to minimise the c</w:t>
      </w:r>
      <w:r w:rsidR="00EE0C14" w:rsidRPr="00EE0C14">
        <w:rPr>
          <w:rFonts w:ascii="Arial" w:hAnsi="Arial" w:cs="Arial"/>
        </w:rPr>
        <w:t>ouncil’s exposure to the</w:t>
      </w:r>
      <w:r w:rsidR="00990216" w:rsidRPr="00375FD4">
        <w:rPr>
          <w:rFonts w:ascii="Arial" w:hAnsi="Arial" w:cs="Arial"/>
        </w:rPr>
        <w:t xml:space="preserve"> unpredictability of financial markets and implementing restrictions to minimise these risks.  The procedures for risk management are set out through a legal framework in the Local Government (Scotland) Act 2003 and the asso</w:t>
      </w:r>
      <w:r w:rsidR="00482051">
        <w:rPr>
          <w:rFonts w:ascii="Arial" w:hAnsi="Arial" w:cs="Arial"/>
        </w:rPr>
        <w:t>ciated regulati</w:t>
      </w:r>
      <w:r w:rsidR="00823DB5">
        <w:rPr>
          <w:rFonts w:ascii="Arial" w:hAnsi="Arial" w:cs="Arial"/>
        </w:rPr>
        <w:t>ons.  During 2019/20</w:t>
      </w:r>
      <w:r>
        <w:rPr>
          <w:rFonts w:ascii="Arial" w:hAnsi="Arial" w:cs="Arial"/>
        </w:rPr>
        <w:t xml:space="preserve"> these required the c</w:t>
      </w:r>
      <w:r w:rsidR="00990216" w:rsidRPr="00375FD4">
        <w:rPr>
          <w:rFonts w:ascii="Arial" w:hAnsi="Arial" w:cs="Arial"/>
        </w:rPr>
        <w:t>ouncil to comply with the CIPFA Prudential Code, the CIPFA Treasury Management in the Public Services Code of Practice and the Local Government Investments (Scotland) Regulations 2010. Overal</w:t>
      </w:r>
      <w:r>
        <w:rPr>
          <w:rFonts w:ascii="Arial" w:hAnsi="Arial" w:cs="Arial"/>
        </w:rPr>
        <w:t>l these procedures require the c</w:t>
      </w:r>
      <w:r w:rsidR="00990216" w:rsidRPr="00375FD4">
        <w:rPr>
          <w:rFonts w:ascii="Arial" w:hAnsi="Arial" w:cs="Arial"/>
        </w:rPr>
        <w:t>ouncil to manage risk in the following ways:</w:t>
      </w:r>
    </w:p>
    <w:p w:rsidR="00EE0C14" w:rsidRPr="00EE0C14" w:rsidRDefault="00990216" w:rsidP="00EE0C14">
      <w:pPr>
        <w:spacing w:before="0" w:after="0"/>
        <w:ind w:left="360"/>
        <w:rPr>
          <w:rFonts w:ascii="Arial" w:hAnsi="Arial" w:cs="Arial"/>
        </w:rPr>
      </w:pPr>
      <w:r w:rsidRPr="00375FD4">
        <w:rPr>
          <w:rFonts w:ascii="Arial" w:hAnsi="Arial" w:cs="Arial"/>
        </w:rPr>
        <w:tab/>
      </w:r>
    </w:p>
    <w:p w:rsidR="00EE0C14" w:rsidRPr="00EE0C14" w:rsidRDefault="00EE0C14" w:rsidP="00EA6E47">
      <w:pPr>
        <w:numPr>
          <w:ilvl w:val="0"/>
          <w:numId w:val="44"/>
        </w:numPr>
        <w:tabs>
          <w:tab w:val="right" w:pos="426"/>
        </w:tabs>
        <w:spacing w:before="0" w:after="0"/>
        <w:ind w:hanging="1080"/>
        <w:contextualSpacing/>
        <w:rPr>
          <w:rFonts w:ascii="Arial" w:hAnsi="Arial" w:cs="Arial"/>
        </w:rPr>
      </w:pPr>
      <w:r w:rsidRPr="00EE0C14">
        <w:rPr>
          <w:rFonts w:ascii="Arial" w:hAnsi="Arial" w:cs="Arial"/>
        </w:rPr>
        <w:t>by formally adopting the requirements of the Code of Practice;</w:t>
      </w:r>
    </w:p>
    <w:p w:rsidR="00EE0C14" w:rsidRPr="00EE0C14" w:rsidRDefault="00EE0C14" w:rsidP="00EA6E47">
      <w:pPr>
        <w:numPr>
          <w:ilvl w:val="0"/>
          <w:numId w:val="44"/>
        </w:numPr>
        <w:tabs>
          <w:tab w:val="right" w:pos="900"/>
        </w:tabs>
        <w:spacing w:before="0" w:after="0"/>
        <w:ind w:left="426" w:hanging="426"/>
        <w:contextualSpacing/>
        <w:rPr>
          <w:rFonts w:ascii="Arial" w:hAnsi="Arial" w:cs="Arial"/>
        </w:rPr>
      </w:pPr>
      <w:r w:rsidRPr="00EE0C14">
        <w:rPr>
          <w:rFonts w:ascii="Arial" w:hAnsi="Arial" w:cs="Arial"/>
        </w:rPr>
        <w:t>by the adoption of a Treasury Policy Statement and treasury management clauses within its financial regulations/standing orders;</w:t>
      </w:r>
    </w:p>
    <w:p w:rsidR="00EE0C14" w:rsidRPr="00EE0C14" w:rsidRDefault="00EE0C14" w:rsidP="00EA6E47">
      <w:pPr>
        <w:numPr>
          <w:ilvl w:val="0"/>
          <w:numId w:val="44"/>
        </w:numPr>
        <w:tabs>
          <w:tab w:val="right" w:pos="426"/>
        </w:tabs>
        <w:spacing w:before="0" w:after="0"/>
        <w:ind w:left="426" w:hanging="426"/>
        <w:contextualSpacing/>
        <w:rPr>
          <w:rFonts w:ascii="Arial" w:hAnsi="Arial" w:cs="Arial"/>
        </w:rPr>
      </w:pPr>
      <w:r w:rsidRPr="00EE0C14">
        <w:rPr>
          <w:rFonts w:ascii="Arial" w:hAnsi="Arial" w:cs="Arial"/>
        </w:rPr>
        <w:t>by approving annually in advance prudential and treasury indicators for the following three years in limiting:</w:t>
      </w:r>
    </w:p>
    <w:p w:rsidR="00EE0C14" w:rsidRPr="00EE0C14" w:rsidRDefault="00B55291" w:rsidP="00EA6E47">
      <w:pPr>
        <w:numPr>
          <w:ilvl w:val="0"/>
          <w:numId w:val="29"/>
        </w:numPr>
        <w:spacing w:before="0" w:after="0"/>
        <w:ind w:left="993" w:hanging="567"/>
        <w:rPr>
          <w:rFonts w:ascii="Arial" w:hAnsi="Arial" w:cs="Arial"/>
        </w:rPr>
      </w:pPr>
      <w:r>
        <w:rPr>
          <w:rFonts w:ascii="Arial" w:hAnsi="Arial" w:cs="Arial"/>
        </w:rPr>
        <w:t>The c</w:t>
      </w:r>
      <w:r w:rsidR="00EE0C14" w:rsidRPr="00EE0C14">
        <w:rPr>
          <w:rFonts w:ascii="Arial" w:hAnsi="Arial" w:cs="Arial"/>
        </w:rPr>
        <w:t>ouncil’s overall borrowing;</w:t>
      </w:r>
    </w:p>
    <w:p w:rsidR="00EE0C14" w:rsidRPr="00EE0C14" w:rsidRDefault="00EE0C14" w:rsidP="00EA6E47">
      <w:pPr>
        <w:numPr>
          <w:ilvl w:val="0"/>
          <w:numId w:val="29"/>
        </w:numPr>
        <w:spacing w:before="0" w:after="0"/>
        <w:ind w:left="993" w:hanging="567"/>
        <w:rPr>
          <w:rFonts w:ascii="Arial" w:hAnsi="Arial" w:cs="Arial"/>
        </w:rPr>
      </w:pPr>
      <w:r w:rsidRPr="00EE0C14">
        <w:rPr>
          <w:rFonts w:ascii="Arial" w:hAnsi="Arial" w:cs="Arial"/>
        </w:rPr>
        <w:t>Its maximum and minimum exposures to fixed and variable rates;</w:t>
      </w:r>
    </w:p>
    <w:p w:rsidR="00EE0C14" w:rsidRPr="00EE0C14" w:rsidRDefault="00EE0C14" w:rsidP="00EA6E47">
      <w:pPr>
        <w:numPr>
          <w:ilvl w:val="0"/>
          <w:numId w:val="29"/>
        </w:numPr>
        <w:spacing w:before="0" w:after="0"/>
        <w:ind w:left="993" w:hanging="567"/>
        <w:rPr>
          <w:rFonts w:ascii="Arial" w:hAnsi="Arial" w:cs="Arial"/>
        </w:rPr>
      </w:pPr>
      <w:r w:rsidRPr="00EE0C14">
        <w:rPr>
          <w:rFonts w:ascii="Arial" w:hAnsi="Arial" w:cs="Arial"/>
        </w:rPr>
        <w:t>Its maximum and minimum exposures regarding the maturity structure of debt; and</w:t>
      </w:r>
    </w:p>
    <w:p w:rsidR="00EE0C14" w:rsidRPr="00EE0C14" w:rsidRDefault="00EE0C14" w:rsidP="00EA6E47">
      <w:pPr>
        <w:numPr>
          <w:ilvl w:val="0"/>
          <w:numId w:val="29"/>
        </w:numPr>
        <w:spacing w:before="0" w:after="0"/>
        <w:ind w:left="993" w:hanging="567"/>
        <w:rPr>
          <w:rFonts w:ascii="Arial" w:hAnsi="Arial" w:cs="Arial"/>
        </w:rPr>
      </w:pPr>
      <w:r w:rsidRPr="00EE0C14">
        <w:rPr>
          <w:rFonts w:ascii="Arial" w:hAnsi="Arial" w:cs="Arial"/>
        </w:rPr>
        <w:t>Its maximum annual exposure to investments maturing beyond a year.</w:t>
      </w:r>
    </w:p>
    <w:p w:rsidR="00EE0C14" w:rsidRPr="00EE0C14" w:rsidRDefault="00EE0C14" w:rsidP="00EA6E47">
      <w:pPr>
        <w:numPr>
          <w:ilvl w:val="0"/>
          <w:numId w:val="44"/>
        </w:numPr>
        <w:tabs>
          <w:tab w:val="right" w:pos="900"/>
        </w:tabs>
        <w:spacing w:before="0" w:after="0"/>
        <w:ind w:left="426" w:hanging="426"/>
        <w:contextualSpacing/>
        <w:rPr>
          <w:rFonts w:ascii="Arial" w:hAnsi="Arial" w:cs="Arial"/>
        </w:rPr>
      </w:pPr>
      <w:r w:rsidRPr="00EE0C14">
        <w:rPr>
          <w:rFonts w:ascii="Arial" w:hAnsi="Arial" w:cs="Arial"/>
        </w:rPr>
        <w:t>by approving an investment strategy for the forthcoming year setting out its criteria for both investing and selecting investment.</w:t>
      </w:r>
    </w:p>
    <w:p w:rsidR="00990216" w:rsidRPr="00375FD4" w:rsidRDefault="00990216" w:rsidP="00EE0C14">
      <w:pPr>
        <w:tabs>
          <w:tab w:val="right" w:pos="900"/>
        </w:tabs>
        <w:spacing w:before="0" w:after="0"/>
        <w:ind w:left="1260" w:hanging="720"/>
        <w:jc w:val="both"/>
        <w:rPr>
          <w:rFonts w:ascii="Arial" w:hAnsi="Arial" w:cs="Arial"/>
        </w:rPr>
      </w:pPr>
    </w:p>
    <w:p w:rsidR="00990216" w:rsidRPr="00375FD4" w:rsidRDefault="00990216" w:rsidP="00E61D8C">
      <w:pPr>
        <w:tabs>
          <w:tab w:val="right" w:pos="900"/>
          <w:tab w:val="left" w:pos="1260"/>
        </w:tabs>
        <w:spacing w:before="0" w:after="0"/>
        <w:rPr>
          <w:rFonts w:ascii="Arial" w:hAnsi="Arial" w:cs="Arial"/>
        </w:rPr>
      </w:pPr>
      <w:r w:rsidRPr="00375FD4">
        <w:rPr>
          <w:rFonts w:ascii="Arial" w:hAnsi="Arial" w:cs="Arial"/>
        </w:rPr>
        <w:t>These are required to be reported and approved prior to the start of the year to which they relate.   These items are reported with the annual treasury management strategy which outlines the detailed approach to ma</w:t>
      </w:r>
      <w:r w:rsidR="00B55291">
        <w:rPr>
          <w:rFonts w:ascii="Arial" w:hAnsi="Arial" w:cs="Arial"/>
        </w:rPr>
        <w:t>naging risk in relation to the c</w:t>
      </w:r>
      <w:r w:rsidRPr="00375FD4">
        <w:rPr>
          <w:rFonts w:ascii="Arial" w:hAnsi="Arial" w:cs="Arial"/>
        </w:rPr>
        <w:t>ouncil’s financial instrument exposure.   Actual performance is reported to Members to assess the effectiveness of controls established.</w:t>
      </w:r>
    </w:p>
    <w:p w:rsidR="00990216" w:rsidRPr="00375FD4" w:rsidRDefault="00990216" w:rsidP="00522D7C">
      <w:pPr>
        <w:tabs>
          <w:tab w:val="right" w:pos="900"/>
          <w:tab w:val="left" w:pos="1260"/>
        </w:tabs>
        <w:spacing w:before="0" w:after="0"/>
        <w:ind w:left="540" w:hanging="540"/>
        <w:rPr>
          <w:rFonts w:ascii="Arial" w:hAnsi="Arial" w:cs="Arial"/>
        </w:rPr>
      </w:pPr>
    </w:p>
    <w:p w:rsidR="00990216" w:rsidRPr="00375FD4" w:rsidRDefault="00EF3B96" w:rsidP="00E61D8C">
      <w:pPr>
        <w:tabs>
          <w:tab w:val="right" w:pos="900"/>
          <w:tab w:val="left" w:pos="1260"/>
        </w:tabs>
        <w:spacing w:before="0" w:after="0"/>
        <w:rPr>
          <w:rFonts w:ascii="Arial" w:hAnsi="Arial" w:cs="Arial"/>
        </w:rPr>
      </w:pPr>
      <w:r>
        <w:rPr>
          <w:rFonts w:ascii="Arial" w:hAnsi="Arial" w:cs="Arial"/>
        </w:rPr>
        <w:t>The 2</w:t>
      </w:r>
      <w:r w:rsidR="00823DB5">
        <w:rPr>
          <w:rFonts w:ascii="Arial" w:hAnsi="Arial" w:cs="Arial"/>
        </w:rPr>
        <w:t>019/20</w:t>
      </w:r>
      <w:r w:rsidR="00990216" w:rsidRPr="00375FD4">
        <w:rPr>
          <w:rFonts w:ascii="Arial" w:hAnsi="Arial" w:cs="Arial"/>
        </w:rPr>
        <w:t xml:space="preserve"> annual Treasury Management Strategy which incorporates the prudential </w:t>
      </w:r>
      <w:r w:rsidR="00990216" w:rsidRPr="00E505C1">
        <w:rPr>
          <w:rFonts w:ascii="Arial" w:hAnsi="Arial" w:cs="Arial"/>
        </w:rPr>
        <w:t>indicat</w:t>
      </w:r>
      <w:r w:rsidR="000C5B3A">
        <w:rPr>
          <w:rFonts w:ascii="Arial" w:hAnsi="Arial" w:cs="Arial"/>
        </w:rPr>
        <w:t>ors was approved by C</w:t>
      </w:r>
      <w:r w:rsidR="00B0661B" w:rsidRPr="00E505C1">
        <w:rPr>
          <w:rFonts w:ascii="Arial" w:hAnsi="Arial" w:cs="Arial"/>
        </w:rPr>
        <w:t xml:space="preserve">ouncil on </w:t>
      </w:r>
      <w:r w:rsidR="00E055E5">
        <w:rPr>
          <w:rFonts w:ascii="Arial" w:hAnsi="Arial" w:cs="Arial"/>
        </w:rPr>
        <w:t>27</w:t>
      </w:r>
      <w:r w:rsidR="00E505C1" w:rsidRPr="00E505C1">
        <w:rPr>
          <w:rFonts w:ascii="Arial" w:hAnsi="Arial" w:cs="Arial"/>
        </w:rPr>
        <w:t xml:space="preserve"> </w:t>
      </w:r>
      <w:r w:rsidR="00823DB5">
        <w:rPr>
          <w:rFonts w:ascii="Arial" w:hAnsi="Arial" w:cs="Arial"/>
        </w:rPr>
        <w:t>March 2019</w:t>
      </w:r>
      <w:r w:rsidR="007F0D1B">
        <w:rPr>
          <w:rFonts w:ascii="Arial" w:hAnsi="Arial" w:cs="Arial"/>
        </w:rPr>
        <w:t xml:space="preserve"> and is available on the c</w:t>
      </w:r>
      <w:r w:rsidR="00990216" w:rsidRPr="00E505C1">
        <w:rPr>
          <w:rFonts w:ascii="Arial" w:hAnsi="Arial" w:cs="Arial"/>
        </w:rPr>
        <w:t>ouncil</w:t>
      </w:r>
      <w:r w:rsidR="00990216" w:rsidRPr="00375FD4">
        <w:rPr>
          <w:rFonts w:ascii="Arial" w:hAnsi="Arial" w:cs="Arial"/>
        </w:rPr>
        <w:t xml:space="preserve"> website.   The key issues within the strategy were:</w:t>
      </w:r>
    </w:p>
    <w:p w:rsidR="00990216" w:rsidRPr="00EA05CA" w:rsidRDefault="00823DB5" w:rsidP="00EA6E47">
      <w:pPr>
        <w:numPr>
          <w:ilvl w:val="0"/>
          <w:numId w:val="24"/>
        </w:numPr>
        <w:tabs>
          <w:tab w:val="clear" w:pos="1276"/>
          <w:tab w:val="num" w:pos="709"/>
        </w:tabs>
        <w:spacing w:before="0" w:after="0"/>
        <w:ind w:left="426" w:hanging="426"/>
        <w:rPr>
          <w:rFonts w:ascii="Arial" w:hAnsi="Arial" w:cs="Arial"/>
        </w:rPr>
      </w:pPr>
      <w:r>
        <w:rPr>
          <w:rFonts w:ascii="Arial" w:hAnsi="Arial" w:cs="Arial"/>
        </w:rPr>
        <w:t>the authorised limit for 2019/20</w:t>
      </w:r>
      <w:r w:rsidR="00892497" w:rsidRPr="00664FC5">
        <w:rPr>
          <w:rFonts w:ascii="Arial" w:hAnsi="Arial" w:cs="Arial"/>
        </w:rPr>
        <w:t xml:space="preserve"> was set </w:t>
      </w:r>
      <w:r w:rsidR="00664FC5" w:rsidRPr="00664FC5">
        <w:rPr>
          <w:rFonts w:ascii="Arial" w:hAnsi="Arial" w:cs="Arial"/>
        </w:rPr>
        <w:t xml:space="preserve">by Council </w:t>
      </w:r>
      <w:r w:rsidR="00B801CD">
        <w:rPr>
          <w:rFonts w:ascii="Arial" w:hAnsi="Arial" w:cs="Arial"/>
        </w:rPr>
        <w:t>at that meeting</w:t>
      </w:r>
      <w:r w:rsidR="00664FC5" w:rsidRPr="00664FC5">
        <w:rPr>
          <w:rFonts w:ascii="Arial" w:hAnsi="Arial" w:cs="Arial"/>
        </w:rPr>
        <w:t xml:space="preserve"> </w:t>
      </w:r>
      <w:r w:rsidR="00892497" w:rsidRPr="00E055E5">
        <w:rPr>
          <w:rFonts w:ascii="Arial" w:hAnsi="Arial" w:cs="Arial"/>
        </w:rPr>
        <w:t>at £</w:t>
      </w:r>
      <w:r w:rsidR="00E055E5" w:rsidRPr="00E055E5">
        <w:rPr>
          <w:rFonts w:ascii="Arial" w:hAnsi="Arial" w:cs="Arial"/>
        </w:rPr>
        <w:t>715.349</w:t>
      </w:r>
      <w:r w:rsidR="0060038D" w:rsidRPr="00E055E5">
        <w:rPr>
          <w:rFonts w:ascii="Arial" w:hAnsi="Arial" w:cs="Arial"/>
        </w:rPr>
        <w:t>m</w:t>
      </w:r>
      <w:r w:rsidR="00664FC5" w:rsidRPr="00E055E5">
        <w:rPr>
          <w:rFonts w:ascii="Arial" w:hAnsi="Arial" w:cs="Arial"/>
        </w:rPr>
        <w:t xml:space="preserve"> and</w:t>
      </w:r>
      <w:r w:rsidR="00664FC5" w:rsidRPr="00664FC5">
        <w:rPr>
          <w:rFonts w:ascii="Arial" w:hAnsi="Arial" w:cs="Arial"/>
        </w:rPr>
        <w:t xml:space="preserve"> updated during the year </w:t>
      </w:r>
      <w:r w:rsidR="00664FC5" w:rsidRPr="00EA05CA">
        <w:rPr>
          <w:rFonts w:ascii="Arial" w:hAnsi="Arial" w:cs="Arial"/>
        </w:rPr>
        <w:t xml:space="preserve">to </w:t>
      </w:r>
      <w:r w:rsidR="00B435D6">
        <w:rPr>
          <w:rFonts w:ascii="Arial" w:hAnsi="Arial" w:cs="Arial"/>
        </w:rPr>
        <w:t>£741.424</w:t>
      </w:r>
      <w:r w:rsidR="00664FC5" w:rsidRPr="00EA05CA">
        <w:rPr>
          <w:rFonts w:ascii="Arial" w:hAnsi="Arial" w:cs="Arial"/>
        </w:rPr>
        <w:t>m</w:t>
      </w:r>
      <w:r w:rsidR="00990216" w:rsidRPr="00EA05CA">
        <w:rPr>
          <w:rFonts w:ascii="Arial" w:hAnsi="Arial" w:cs="Arial"/>
        </w:rPr>
        <w:t>.  This is the maximum limit of external borrowing;</w:t>
      </w:r>
    </w:p>
    <w:p w:rsidR="00990216" w:rsidRPr="00EA05CA" w:rsidRDefault="00990216" w:rsidP="00EA6E47">
      <w:pPr>
        <w:numPr>
          <w:ilvl w:val="0"/>
          <w:numId w:val="24"/>
        </w:numPr>
        <w:tabs>
          <w:tab w:val="clear" w:pos="1276"/>
          <w:tab w:val="num" w:pos="709"/>
        </w:tabs>
        <w:spacing w:before="0" w:after="0"/>
        <w:ind w:left="426" w:hanging="426"/>
        <w:rPr>
          <w:rFonts w:ascii="Arial" w:hAnsi="Arial" w:cs="Arial"/>
        </w:rPr>
      </w:pPr>
      <w:r w:rsidRPr="00EA05CA">
        <w:rPr>
          <w:rFonts w:ascii="Arial" w:hAnsi="Arial" w:cs="Arial"/>
        </w:rPr>
        <w:t>the operational boun</w:t>
      </w:r>
      <w:r w:rsidR="00892497" w:rsidRPr="00EA05CA">
        <w:rPr>
          <w:rFonts w:ascii="Arial" w:hAnsi="Arial" w:cs="Arial"/>
        </w:rPr>
        <w:t>dary was expected t</w:t>
      </w:r>
      <w:r w:rsidR="000D2D6C" w:rsidRPr="00EA05CA">
        <w:rPr>
          <w:rFonts w:ascii="Arial" w:hAnsi="Arial" w:cs="Arial"/>
        </w:rPr>
        <w:t>o be £</w:t>
      </w:r>
      <w:r w:rsidR="00E055E5" w:rsidRPr="00EA05CA">
        <w:rPr>
          <w:rFonts w:ascii="Arial" w:hAnsi="Arial" w:cs="Arial"/>
        </w:rPr>
        <w:t>655.737</w:t>
      </w:r>
      <w:r w:rsidR="0060038D" w:rsidRPr="00EA05CA">
        <w:rPr>
          <w:rFonts w:ascii="Arial" w:hAnsi="Arial" w:cs="Arial"/>
        </w:rPr>
        <w:t>m</w:t>
      </w:r>
      <w:r w:rsidR="00664FC5" w:rsidRPr="00EA05CA">
        <w:rPr>
          <w:rFonts w:ascii="Arial" w:hAnsi="Arial" w:cs="Arial"/>
        </w:rPr>
        <w:t xml:space="preserve"> when reported to Council </w:t>
      </w:r>
      <w:r w:rsidR="00B801CD" w:rsidRPr="00EA05CA">
        <w:rPr>
          <w:rFonts w:ascii="Arial" w:hAnsi="Arial" w:cs="Arial"/>
        </w:rPr>
        <w:t>at that meeting</w:t>
      </w:r>
      <w:r w:rsidR="00664FC5" w:rsidRPr="00EA05CA">
        <w:rPr>
          <w:rFonts w:ascii="Arial" w:hAnsi="Arial" w:cs="Arial"/>
        </w:rPr>
        <w:t xml:space="preserve"> and updated during the year to </w:t>
      </w:r>
      <w:r w:rsidR="00EA05CA" w:rsidRPr="00EA05CA">
        <w:rPr>
          <w:rFonts w:ascii="Arial" w:hAnsi="Arial" w:cs="Arial"/>
        </w:rPr>
        <w:t>£679.639</w:t>
      </w:r>
      <w:r w:rsidR="00664FC5" w:rsidRPr="00EA05CA">
        <w:rPr>
          <w:rFonts w:ascii="Arial" w:hAnsi="Arial" w:cs="Arial"/>
        </w:rPr>
        <w:t>m</w:t>
      </w:r>
      <w:r w:rsidR="0060038D" w:rsidRPr="00EA05CA">
        <w:rPr>
          <w:rFonts w:ascii="Arial" w:hAnsi="Arial" w:cs="Arial"/>
        </w:rPr>
        <w:t>.</w:t>
      </w:r>
      <w:r w:rsidRPr="00EA05CA">
        <w:rPr>
          <w:rFonts w:ascii="Arial" w:hAnsi="Arial" w:cs="Arial"/>
        </w:rPr>
        <w:t xml:space="preserve">  This is the expected level of debt during the year;</w:t>
      </w:r>
    </w:p>
    <w:p w:rsidR="00990216" w:rsidRPr="00375FD4" w:rsidRDefault="00990216" w:rsidP="00990216">
      <w:pPr>
        <w:spacing w:before="0" w:after="0"/>
        <w:jc w:val="both"/>
        <w:rPr>
          <w:rFonts w:ascii="Arial" w:hAnsi="Arial" w:cs="Arial"/>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jc w:val="both"/>
        <w:rPr>
          <w:rFonts w:ascii="Arial" w:hAnsi="Arial" w:cs="Arial"/>
          <w:b/>
        </w:rPr>
      </w:pPr>
    </w:p>
    <w:p w:rsidR="00990216" w:rsidRPr="00375FD4" w:rsidRDefault="00EA05CA" w:rsidP="00990216">
      <w:pPr>
        <w:spacing w:before="0" w:after="0"/>
        <w:jc w:val="both"/>
        <w:rPr>
          <w:rFonts w:ascii="Arial" w:hAnsi="Arial" w:cs="Arial"/>
          <w:b/>
        </w:rPr>
      </w:pPr>
      <w:r>
        <w:rPr>
          <w:rFonts w:ascii="Arial" w:hAnsi="Arial" w:cs="Arial"/>
          <w:b/>
        </w:rPr>
        <w:t>Note 25</w:t>
      </w:r>
      <w:r w:rsidR="00990216" w:rsidRPr="00375FD4">
        <w:rPr>
          <w:rFonts w:ascii="Arial" w:hAnsi="Arial" w:cs="Arial"/>
          <w:b/>
        </w:rPr>
        <w:t xml:space="preserve"> – Financial Instruments (Cont’d)</w:t>
      </w:r>
    </w:p>
    <w:p w:rsidR="00990216" w:rsidRPr="00375FD4" w:rsidRDefault="00990216" w:rsidP="00990216">
      <w:pPr>
        <w:spacing w:before="0" w:after="0"/>
        <w:ind w:left="540" w:hanging="540"/>
        <w:jc w:val="both"/>
        <w:rPr>
          <w:rFonts w:ascii="Arial" w:hAnsi="Arial" w:cs="Arial"/>
          <w:b/>
          <w:bCs/>
        </w:rPr>
      </w:pPr>
    </w:p>
    <w:p w:rsidR="00EE0C14" w:rsidRPr="00EE0C14" w:rsidRDefault="00EE0C14" w:rsidP="00EE0C14">
      <w:pPr>
        <w:spacing w:before="0" w:after="0"/>
        <w:ind w:left="709" w:hanging="709"/>
        <w:rPr>
          <w:rFonts w:ascii="Arial" w:hAnsi="Arial" w:cs="Arial"/>
          <w:b/>
          <w:bCs/>
        </w:rPr>
      </w:pPr>
      <w:r w:rsidRPr="00EE0C14">
        <w:rPr>
          <w:rFonts w:ascii="Arial" w:hAnsi="Arial" w:cs="Arial"/>
          <w:b/>
          <w:bCs/>
        </w:rPr>
        <w:t>4)</w:t>
      </w:r>
      <w:r w:rsidRPr="00EE0C14">
        <w:rPr>
          <w:rFonts w:ascii="Arial" w:hAnsi="Arial" w:cs="Arial"/>
          <w:b/>
          <w:bCs/>
        </w:rPr>
        <w:tab/>
        <w:t>Nature and Extent of Risks arising from Financial Instruments (Cont’d)</w:t>
      </w:r>
    </w:p>
    <w:p w:rsidR="00EE0C14" w:rsidRPr="00EE0C14" w:rsidRDefault="00EE0C14" w:rsidP="00EE0C14">
      <w:pPr>
        <w:spacing w:before="0" w:after="0"/>
        <w:ind w:left="540" w:hanging="540"/>
        <w:jc w:val="both"/>
        <w:rPr>
          <w:rFonts w:ascii="Arial" w:hAnsi="Arial" w:cs="Arial"/>
          <w:b/>
          <w:bCs/>
        </w:rPr>
      </w:pPr>
    </w:p>
    <w:p w:rsidR="00754072" w:rsidRPr="00375FD4" w:rsidRDefault="00754072" w:rsidP="00EA6E47">
      <w:pPr>
        <w:numPr>
          <w:ilvl w:val="0"/>
          <w:numId w:val="24"/>
        </w:numPr>
        <w:tabs>
          <w:tab w:val="clear" w:pos="1276"/>
          <w:tab w:val="num" w:pos="709"/>
        </w:tabs>
        <w:spacing w:before="0" w:after="0"/>
        <w:ind w:left="426" w:hanging="426"/>
        <w:rPr>
          <w:rFonts w:ascii="Arial" w:hAnsi="Arial" w:cs="Arial"/>
        </w:rPr>
      </w:pPr>
      <w:r w:rsidRPr="00375FD4">
        <w:rPr>
          <w:rFonts w:ascii="Arial" w:hAnsi="Arial" w:cs="Arial"/>
        </w:rPr>
        <w:t>the maximum amounts of fixed and variable interest rate exposure were se</w:t>
      </w:r>
      <w:r>
        <w:rPr>
          <w:rFonts w:ascii="Arial" w:hAnsi="Arial" w:cs="Arial"/>
        </w:rPr>
        <w:t>t at 100% and 50% based on the c</w:t>
      </w:r>
      <w:r w:rsidRPr="00375FD4">
        <w:rPr>
          <w:rFonts w:ascii="Arial" w:hAnsi="Arial" w:cs="Arial"/>
        </w:rPr>
        <w:t>ouncil’s net debt; and</w:t>
      </w:r>
    </w:p>
    <w:p w:rsidR="00754072" w:rsidRPr="00375FD4" w:rsidRDefault="00754072" w:rsidP="00EA6E47">
      <w:pPr>
        <w:numPr>
          <w:ilvl w:val="0"/>
          <w:numId w:val="24"/>
        </w:numPr>
        <w:tabs>
          <w:tab w:val="clear" w:pos="1276"/>
          <w:tab w:val="num" w:pos="709"/>
        </w:tabs>
        <w:spacing w:before="0" w:after="0"/>
        <w:ind w:left="426" w:hanging="426"/>
        <w:rPr>
          <w:rFonts w:ascii="Arial" w:hAnsi="Arial" w:cs="Arial"/>
        </w:rPr>
      </w:pPr>
      <w:r w:rsidRPr="00375FD4">
        <w:rPr>
          <w:rFonts w:ascii="Arial" w:hAnsi="Arial" w:cs="Arial"/>
        </w:rPr>
        <w:t>the maximum exposures to the maturity structure of debt is detailed with refinancing and maturity risk.</w:t>
      </w:r>
    </w:p>
    <w:p w:rsidR="00754072" w:rsidRPr="00375FD4" w:rsidRDefault="00754072" w:rsidP="00754072">
      <w:pPr>
        <w:tabs>
          <w:tab w:val="right" w:pos="900"/>
          <w:tab w:val="left" w:pos="1260"/>
        </w:tabs>
        <w:spacing w:before="0" w:after="0"/>
        <w:rPr>
          <w:rFonts w:ascii="Arial" w:hAnsi="Arial" w:cs="Arial"/>
        </w:rPr>
      </w:pPr>
    </w:p>
    <w:p w:rsidR="00754072" w:rsidRPr="00EE0C14" w:rsidRDefault="00754072" w:rsidP="00754072">
      <w:pPr>
        <w:tabs>
          <w:tab w:val="right" w:pos="900"/>
          <w:tab w:val="left" w:pos="1260"/>
        </w:tabs>
        <w:spacing w:before="0" w:after="0"/>
        <w:rPr>
          <w:rFonts w:ascii="Arial" w:hAnsi="Arial" w:cs="Arial"/>
        </w:rPr>
      </w:pPr>
      <w:r>
        <w:rPr>
          <w:rFonts w:ascii="Arial" w:hAnsi="Arial" w:cs="Arial"/>
        </w:rPr>
        <w:tab/>
        <w:t>The c</w:t>
      </w:r>
      <w:r w:rsidRPr="00EE0C14">
        <w:rPr>
          <w:rFonts w:ascii="Arial" w:hAnsi="Arial" w:cs="Arial"/>
        </w:rPr>
        <w:t>ouncil has fully adopted all required CIPFA Codes and statutory regulation currently in force, and maintains written principles for overall risk management, as well as written policies and procedures covering specific areas such as credit risk, liquidity risk, refinancing/maturity risk and market risk.</w:t>
      </w:r>
    </w:p>
    <w:p w:rsidR="00754072" w:rsidRPr="00375FD4" w:rsidRDefault="00754072" w:rsidP="00754072">
      <w:pPr>
        <w:spacing w:before="0" w:after="0"/>
        <w:jc w:val="both"/>
        <w:rPr>
          <w:rFonts w:ascii="Arial" w:hAnsi="Arial" w:cs="Arial"/>
          <w:b/>
        </w:rPr>
      </w:pPr>
    </w:p>
    <w:p w:rsidR="00754072" w:rsidRPr="00D30DFE" w:rsidRDefault="00754072" w:rsidP="00754072">
      <w:pPr>
        <w:spacing w:before="0" w:after="0"/>
        <w:jc w:val="both"/>
        <w:rPr>
          <w:rFonts w:ascii="Arial" w:hAnsi="Arial" w:cs="Arial"/>
          <w:b/>
          <w:bCs/>
        </w:rPr>
      </w:pPr>
      <w:r w:rsidRPr="00D30DFE">
        <w:rPr>
          <w:rFonts w:ascii="Arial" w:hAnsi="Arial" w:cs="Arial"/>
          <w:b/>
          <w:bCs/>
        </w:rPr>
        <w:t>Credit Risk</w:t>
      </w:r>
    </w:p>
    <w:p w:rsidR="00754072" w:rsidRPr="00D30DFE" w:rsidRDefault="00754072" w:rsidP="00754072">
      <w:pPr>
        <w:spacing w:before="0" w:after="0"/>
        <w:ind w:left="540" w:hanging="540"/>
        <w:jc w:val="both"/>
        <w:rPr>
          <w:rFonts w:ascii="Arial" w:hAnsi="Arial" w:cs="Arial"/>
          <w:b/>
          <w:bCs/>
        </w:rPr>
      </w:pPr>
    </w:p>
    <w:p w:rsidR="00EE0C14" w:rsidRPr="00D30DFE" w:rsidRDefault="00754072" w:rsidP="00754072">
      <w:pPr>
        <w:spacing w:before="0" w:after="200" w:line="276" w:lineRule="auto"/>
        <w:rPr>
          <w:rFonts w:ascii="Arial" w:hAnsi="Arial" w:cs="Arial"/>
        </w:rPr>
      </w:pPr>
      <w:r w:rsidRPr="00D30DFE">
        <w:rPr>
          <w:rFonts w:ascii="Arial" w:hAnsi="Arial" w:cs="Arial"/>
        </w:rPr>
        <w:t>Credit risk arises from the short-term lending of surplus funds to banks, building societies and other local authorities as well as credit exposures to the council’s customers.  It is the policy of the council to place deposits only with a limited number of pre approved UK banks and building societies whose credit rating is independently assessed as sufficiently secure by the council’s treasury advisers and to restrict lending to a prudent maximum amount for each institution.</w:t>
      </w:r>
    </w:p>
    <w:p w:rsidR="00990216" w:rsidRPr="00D30DFE" w:rsidRDefault="00B55291" w:rsidP="00EE0C14">
      <w:pPr>
        <w:spacing w:before="0" w:after="0"/>
        <w:rPr>
          <w:rFonts w:ascii="Arial" w:hAnsi="Arial" w:cs="Arial"/>
        </w:rPr>
      </w:pPr>
      <w:r w:rsidRPr="00D30DFE">
        <w:rPr>
          <w:rFonts w:ascii="Arial" w:hAnsi="Arial" w:cs="Arial"/>
        </w:rPr>
        <w:t>The c</w:t>
      </w:r>
      <w:r w:rsidR="00EE0C14" w:rsidRPr="00D30DFE">
        <w:rPr>
          <w:rFonts w:ascii="Arial" w:hAnsi="Arial" w:cs="Arial"/>
        </w:rPr>
        <w:t>ouncil’s maximum exposure to credit risk in relation to investments in banks</w:t>
      </w:r>
      <w:r w:rsidR="00273FE9" w:rsidRPr="00D30DFE">
        <w:rPr>
          <w:rFonts w:ascii="Arial" w:hAnsi="Arial" w:cs="Arial"/>
        </w:rPr>
        <w:t xml:space="preserve"> </w:t>
      </w:r>
      <w:r w:rsidR="00C94FB3" w:rsidRPr="00D30DFE">
        <w:rPr>
          <w:rFonts w:ascii="Arial" w:hAnsi="Arial" w:cs="Arial"/>
        </w:rPr>
        <w:t xml:space="preserve">and building </w:t>
      </w:r>
      <w:r w:rsidR="0060038D" w:rsidRPr="00D30DFE">
        <w:rPr>
          <w:rFonts w:ascii="Arial" w:hAnsi="Arial" w:cs="Arial"/>
        </w:rPr>
        <w:t>societies of £</w:t>
      </w:r>
      <w:r w:rsidR="00103955" w:rsidRPr="00D30DFE">
        <w:rPr>
          <w:rFonts w:ascii="Arial" w:hAnsi="Arial" w:cs="Arial"/>
        </w:rPr>
        <w:t>21.24</w:t>
      </w:r>
      <w:r w:rsidR="00E055E5" w:rsidRPr="00D30DFE">
        <w:rPr>
          <w:rFonts w:ascii="Arial" w:hAnsi="Arial" w:cs="Arial"/>
        </w:rPr>
        <w:t>6</w:t>
      </w:r>
      <w:r w:rsidR="00BA11B4" w:rsidRPr="00D30DFE">
        <w:rPr>
          <w:rFonts w:ascii="Arial" w:hAnsi="Arial" w:cs="Arial"/>
        </w:rPr>
        <w:t>m</w:t>
      </w:r>
      <w:r w:rsidR="00990216" w:rsidRPr="00D30DFE">
        <w:rPr>
          <w:rFonts w:ascii="Arial" w:hAnsi="Arial" w:cs="Arial"/>
        </w:rPr>
        <w:t xml:space="preserve"> cannot be assessed on a general basis as the risk of any institution failing to make interest payments or repay principle sums is specific to each individual institution, however, recent experience has shown that the institutions invested in at the year end are unlikely to default on their commitments.  A risk of irrecove</w:t>
      </w:r>
      <w:r w:rsidRPr="00D30DFE">
        <w:rPr>
          <w:rFonts w:ascii="Arial" w:hAnsi="Arial" w:cs="Arial"/>
        </w:rPr>
        <w:t>rability applies to all of the c</w:t>
      </w:r>
      <w:r w:rsidR="00990216" w:rsidRPr="00D30DFE">
        <w:rPr>
          <w:rFonts w:ascii="Arial" w:hAnsi="Arial" w:cs="Arial"/>
        </w:rPr>
        <w:t xml:space="preserve">ouncil’s deposits but there </w:t>
      </w:r>
      <w:r w:rsidR="004833D7" w:rsidRPr="00D30DFE">
        <w:rPr>
          <w:rFonts w:ascii="Arial" w:hAnsi="Arial" w:cs="Arial"/>
        </w:rPr>
        <w:t>was no evidence at 31 March 2020</w:t>
      </w:r>
      <w:r w:rsidR="00990216" w:rsidRPr="00D30DFE">
        <w:rPr>
          <w:rFonts w:ascii="Arial" w:hAnsi="Arial" w:cs="Arial"/>
        </w:rPr>
        <w:t xml:space="preserve"> that this was likely to happen.</w:t>
      </w:r>
    </w:p>
    <w:p w:rsidR="00990216" w:rsidRPr="00D30DFE" w:rsidRDefault="00990216" w:rsidP="00EE0C14">
      <w:pPr>
        <w:spacing w:before="0" w:after="0"/>
        <w:jc w:val="both"/>
        <w:rPr>
          <w:rFonts w:ascii="Arial" w:hAnsi="Arial" w:cs="Arial"/>
          <w:b/>
        </w:rPr>
      </w:pPr>
    </w:p>
    <w:p w:rsidR="00990216" w:rsidRPr="00D30DFE" w:rsidRDefault="00990216" w:rsidP="00EE0C14">
      <w:pPr>
        <w:spacing w:before="0" w:after="0"/>
        <w:jc w:val="both"/>
        <w:rPr>
          <w:rFonts w:ascii="Arial" w:hAnsi="Arial" w:cs="Arial"/>
        </w:rPr>
      </w:pPr>
      <w:r w:rsidRPr="00D30DFE">
        <w:rPr>
          <w:rFonts w:ascii="Arial" w:hAnsi="Arial" w:cs="Arial"/>
        </w:rPr>
        <w:t>The fol</w:t>
      </w:r>
      <w:r w:rsidR="00B55291" w:rsidRPr="00D30DFE">
        <w:rPr>
          <w:rFonts w:ascii="Arial" w:hAnsi="Arial" w:cs="Arial"/>
        </w:rPr>
        <w:t>lowing analysis summarises the c</w:t>
      </w:r>
      <w:r w:rsidRPr="00D30DFE">
        <w:rPr>
          <w:rFonts w:ascii="Arial" w:hAnsi="Arial" w:cs="Arial"/>
        </w:rPr>
        <w:t xml:space="preserve">ouncil’s maximum exposure to credit risk on other financial assets, based on past experience </w:t>
      </w:r>
      <w:r w:rsidR="00BE1A8A" w:rsidRPr="00D30DFE">
        <w:rPr>
          <w:rFonts w:ascii="Arial" w:hAnsi="Arial" w:cs="Arial"/>
        </w:rPr>
        <w:t xml:space="preserve">and current market conditions. </w:t>
      </w:r>
    </w:p>
    <w:p w:rsidR="00BE1A8A" w:rsidRPr="00D30DFE" w:rsidRDefault="00BE1A8A" w:rsidP="00273FE9">
      <w:pPr>
        <w:spacing w:before="0" w:after="0"/>
        <w:jc w:val="both"/>
        <w:rPr>
          <w:rFonts w:ascii="Arial" w:hAnsi="Arial" w:cs="Arial"/>
        </w:rPr>
      </w:pPr>
    </w:p>
    <w:p w:rsidR="00BE1A8A" w:rsidRDefault="00B435D6" w:rsidP="00BE1A8A">
      <w:pPr>
        <w:spacing w:before="0" w:after="0"/>
        <w:ind w:left="540"/>
        <w:jc w:val="both"/>
        <w:rPr>
          <w:rFonts w:ascii="Arial" w:hAnsi="Arial" w:cs="Arial"/>
        </w:rPr>
      </w:pPr>
      <w:r w:rsidRPr="00B435D6">
        <w:rPr>
          <w:noProof/>
          <w:lang w:eastAsia="en-GB"/>
        </w:rPr>
        <w:drawing>
          <wp:inline distT="0" distB="0" distL="0" distR="0">
            <wp:extent cx="5731510" cy="712329"/>
            <wp:effectExtent l="0" t="0" r="2540" b="0"/>
            <wp:docPr id="230" name="Picture 230" descr="summary of maximum exposure to credit risk"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731510" cy="712329"/>
                    </a:xfrm>
                    <a:prstGeom prst="rect">
                      <a:avLst/>
                    </a:prstGeom>
                    <a:noFill/>
                    <a:ln>
                      <a:noFill/>
                    </a:ln>
                  </pic:spPr>
                </pic:pic>
              </a:graphicData>
            </a:graphic>
          </wp:inline>
        </w:drawing>
      </w:r>
    </w:p>
    <w:p w:rsidR="00B435D6" w:rsidRPr="00D30DFE" w:rsidRDefault="00B435D6" w:rsidP="00BE1A8A">
      <w:pPr>
        <w:spacing w:before="0" w:after="0"/>
        <w:ind w:left="540"/>
        <w:jc w:val="both"/>
        <w:rPr>
          <w:rFonts w:ascii="Arial" w:hAnsi="Arial" w:cs="Arial"/>
        </w:rPr>
      </w:pPr>
    </w:p>
    <w:p w:rsidR="00990216" w:rsidRPr="00D30DFE" w:rsidRDefault="00B55291" w:rsidP="00990216">
      <w:pPr>
        <w:spacing w:before="0" w:after="0"/>
        <w:ind w:left="540" w:hanging="540"/>
        <w:rPr>
          <w:rFonts w:ascii="Arial" w:hAnsi="Arial" w:cs="Arial"/>
        </w:rPr>
      </w:pPr>
      <w:r w:rsidRPr="00D30DFE">
        <w:rPr>
          <w:rFonts w:ascii="Arial" w:hAnsi="Arial" w:cs="Arial"/>
        </w:rPr>
        <w:t>The c</w:t>
      </w:r>
      <w:r w:rsidR="00990216" w:rsidRPr="00D30DFE">
        <w:rPr>
          <w:rFonts w:ascii="Arial" w:hAnsi="Arial" w:cs="Arial"/>
        </w:rPr>
        <w:t>ouncil does not hold any of the following in relation to financial assets:</w:t>
      </w:r>
    </w:p>
    <w:p w:rsidR="00990216" w:rsidRPr="00D30DFE" w:rsidRDefault="00990216" w:rsidP="00EA6E47">
      <w:pPr>
        <w:numPr>
          <w:ilvl w:val="0"/>
          <w:numId w:val="25"/>
        </w:numPr>
        <w:tabs>
          <w:tab w:val="clear" w:pos="1249"/>
          <w:tab w:val="num" w:pos="993"/>
        </w:tabs>
        <w:spacing w:before="0" w:after="0"/>
        <w:ind w:left="709" w:hanging="709"/>
        <w:rPr>
          <w:rFonts w:ascii="Arial" w:hAnsi="Arial" w:cs="Arial"/>
        </w:rPr>
      </w:pPr>
      <w:r w:rsidRPr="00D30DFE">
        <w:rPr>
          <w:rFonts w:ascii="Arial" w:hAnsi="Arial" w:cs="Arial"/>
        </w:rPr>
        <w:t>collateral as security in case of default of investment; or</w:t>
      </w:r>
    </w:p>
    <w:p w:rsidR="00990216" w:rsidRPr="00D30DFE" w:rsidRDefault="00990216" w:rsidP="00EA6E47">
      <w:pPr>
        <w:numPr>
          <w:ilvl w:val="0"/>
          <w:numId w:val="25"/>
        </w:numPr>
        <w:tabs>
          <w:tab w:val="clear" w:pos="1249"/>
          <w:tab w:val="num" w:pos="993"/>
        </w:tabs>
        <w:spacing w:before="0" w:after="0"/>
        <w:ind w:left="709" w:hanging="709"/>
        <w:rPr>
          <w:rFonts w:ascii="Arial" w:hAnsi="Arial" w:cs="Arial"/>
        </w:rPr>
      </w:pPr>
      <w:r w:rsidRPr="00D30DFE">
        <w:rPr>
          <w:rFonts w:ascii="Arial" w:hAnsi="Arial" w:cs="Arial"/>
        </w:rPr>
        <w:t>financial assets that would otherwise be past due or impaired but have been renegotiated.</w:t>
      </w:r>
    </w:p>
    <w:p w:rsidR="00990216" w:rsidRPr="00D30DFE" w:rsidRDefault="00990216" w:rsidP="00990216">
      <w:pPr>
        <w:spacing w:before="0" w:after="0"/>
        <w:rPr>
          <w:rFonts w:ascii="Arial" w:hAnsi="Arial" w:cs="Arial"/>
        </w:rPr>
      </w:pPr>
    </w:p>
    <w:p w:rsidR="00BE1A8A" w:rsidRPr="00D30DFE" w:rsidRDefault="00B55291" w:rsidP="00D7359B">
      <w:pPr>
        <w:spacing w:before="0" w:after="0"/>
        <w:rPr>
          <w:rFonts w:ascii="Arial" w:hAnsi="Arial" w:cs="Arial"/>
        </w:rPr>
      </w:pPr>
      <w:r w:rsidRPr="00D30DFE">
        <w:rPr>
          <w:rFonts w:ascii="Arial" w:hAnsi="Arial" w:cs="Arial"/>
        </w:rPr>
        <w:t>The c</w:t>
      </w:r>
      <w:r w:rsidR="00990216" w:rsidRPr="00D30DFE">
        <w:rPr>
          <w:rFonts w:ascii="Arial" w:hAnsi="Arial" w:cs="Arial"/>
        </w:rPr>
        <w:t>ouncil does not generally allow credit</w:t>
      </w:r>
      <w:r w:rsidR="00EB79A9" w:rsidRPr="00D30DFE">
        <w:rPr>
          <w:rFonts w:ascii="Arial" w:hAnsi="Arial" w:cs="Arial"/>
        </w:rPr>
        <w:t xml:space="preserve"> for customers, however currently</w:t>
      </w:r>
      <w:r w:rsidR="00BB6B6F" w:rsidRPr="00D30DFE">
        <w:rPr>
          <w:rFonts w:ascii="Arial" w:hAnsi="Arial" w:cs="Arial"/>
        </w:rPr>
        <w:t xml:space="preserve"> £</w:t>
      </w:r>
      <w:r w:rsidR="00E055E5" w:rsidRPr="00D30DFE">
        <w:rPr>
          <w:rFonts w:ascii="Arial" w:hAnsi="Arial" w:cs="Arial"/>
        </w:rPr>
        <w:t>12.208</w:t>
      </w:r>
      <w:r w:rsidR="00BA11B4" w:rsidRPr="00D30DFE">
        <w:rPr>
          <w:rFonts w:ascii="Arial" w:hAnsi="Arial" w:cs="Arial"/>
        </w:rPr>
        <w:t xml:space="preserve">m </w:t>
      </w:r>
      <w:r w:rsidR="00990216" w:rsidRPr="00D30DFE">
        <w:rPr>
          <w:rFonts w:ascii="Arial" w:hAnsi="Arial" w:cs="Arial"/>
        </w:rPr>
        <w:t>is past its due d</w:t>
      </w:r>
      <w:r w:rsidR="00EB79A9" w:rsidRPr="00D30DFE">
        <w:rPr>
          <w:rFonts w:ascii="Arial" w:hAnsi="Arial" w:cs="Arial"/>
        </w:rPr>
        <w:t xml:space="preserve">ate for payment. </w:t>
      </w:r>
      <w:r w:rsidR="00990216" w:rsidRPr="00D30DFE">
        <w:rPr>
          <w:rFonts w:ascii="Arial" w:hAnsi="Arial" w:cs="Arial"/>
        </w:rPr>
        <w:t>The past due amount can</w:t>
      </w:r>
      <w:r w:rsidR="00BE1A8A" w:rsidRPr="00D30DFE">
        <w:rPr>
          <w:rFonts w:ascii="Arial" w:hAnsi="Arial" w:cs="Arial"/>
        </w:rPr>
        <w:t xml:space="preserve"> be analysed by age as follows:</w:t>
      </w:r>
    </w:p>
    <w:p w:rsidR="00BE1A8A" w:rsidRPr="00D30DFE" w:rsidRDefault="00E055E5" w:rsidP="00BE1A8A">
      <w:pPr>
        <w:spacing w:before="0" w:after="0"/>
        <w:ind w:left="540"/>
        <w:rPr>
          <w:rFonts w:ascii="Arial" w:hAnsi="Arial" w:cs="Arial"/>
        </w:rPr>
      </w:pPr>
      <w:r w:rsidRPr="00D30DFE">
        <w:rPr>
          <w:noProof/>
          <w:lang w:eastAsia="en-GB"/>
        </w:rPr>
        <w:drawing>
          <wp:inline distT="0" distB="0" distL="0" distR="0" wp14:anchorId="3421552D" wp14:editId="7DCD6E78">
            <wp:extent cx="3075940" cy="985520"/>
            <wp:effectExtent l="0" t="0" r="0" b="5080"/>
            <wp:docPr id="132" name="Picture 132" descr="detail of creditor past their due date"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075940" cy="985520"/>
                    </a:xfrm>
                    <a:prstGeom prst="rect">
                      <a:avLst/>
                    </a:prstGeom>
                    <a:noFill/>
                    <a:ln>
                      <a:noFill/>
                    </a:ln>
                  </pic:spPr>
                </pic:pic>
              </a:graphicData>
            </a:graphic>
          </wp:inline>
        </w:drawing>
      </w:r>
    </w:p>
    <w:p w:rsidR="00BE1A8A" w:rsidRPr="00D30DFE" w:rsidRDefault="00BE1A8A" w:rsidP="00BE1A8A">
      <w:pPr>
        <w:spacing w:before="0" w:after="0"/>
        <w:ind w:left="540"/>
        <w:rPr>
          <w:rFonts w:ascii="Arial" w:hAnsi="Arial" w:cs="Arial"/>
        </w:rPr>
      </w:pPr>
    </w:p>
    <w:p w:rsidR="002746AD" w:rsidRPr="00D30DFE" w:rsidRDefault="00990216" w:rsidP="00EA05CA">
      <w:pPr>
        <w:spacing w:before="0" w:after="0"/>
        <w:rPr>
          <w:rFonts w:ascii="Arial" w:hAnsi="Arial" w:cs="Arial"/>
          <w:bCs/>
        </w:rPr>
      </w:pPr>
      <w:r w:rsidRPr="00D30DFE">
        <w:rPr>
          <w:rFonts w:ascii="Arial" w:hAnsi="Arial" w:cs="Arial"/>
          <w:bCs/>
        </w:rPr>
        <w:t>Provisions are made in accordance with Code Guidance, whereby a judgement is made regarding the probability of collection for each category of debt. This judgement is based upon the past experience of collecting each category of debt to calculate the appropriate percentage of each debt that may not be eventually recovered.</w:t>
      </w:r>
      <w:r w:rsidR="00D7359B" w:rsidRPr="00D30DFE">
        <w:rPr>
          <w:rFonts w:ascii="Arial" w:hAnsi="Arial" w:cs="Arial"/>
          <w:bCs/>
        </w:rPr>
        <w:t xml:space="preserve"> Due consideration has been taken to current position caused by covid-19, however this continues to be monitored.</w:t>
      </w:r>
    </w:p>
    <w:p w:rsidR="00990216" w:rsidRPr="00D30DFE" w:rsidRDefault="00990216" w:rsidP="00990216">
      <w:pPr>
        <w:spacing w:before="0" w:after="0"/>
        <w:jc w:val="both"/>
        <w:rPr>
          <w:rFonts w:ascii="Arial" w:hAnsi="Arial" w:cs="Arial"/>
          <w:sz w:val="24"/>
          <w:szCs w:val="24"/>
        </w:rPr>
      </w:pPr>
      <w:r w:rsidRPr="00D30DFE">
        <w:rPr>
          <w:rFonts w:ascii="Arial" w:hAnsi="Arial" w:cs="Arial"/>
          <w:b/>
          <w:sz w:val="24"/>
          <w:szCs w:val="24"/>
        </w:rPr>
        <w:lastRenderedPageBreak/>
        <w:t>Notes to the Financial Statements (Cont’d)</w:t>
      </w:r>
    </w:p>
    <w:p w:rsidR="00990216" w:rsidRPr="00D30DFE" w:rsidRDefault="00990216" w:rsidP="00990216">
      <w:pPr>
        <w:spacing w:before="0" w:after="0"/>
        <w:jc w:val="both"/>
        <w:rPr>
          <w:rFonts w:ascii="Arial" w:hAnsi="Arial" w:cs="Arial"/>
          <w:b/>
        </w:rPr>
      </w:pPr>
    </w:p>
    <w:p w:rsidR="00990216" w:rsidRPr="00D30DFE" w:rsidRDefault="00990216" w:rsidP="00990216">
      <w:pPr>
        <w:spacing w:before="0" w:after="0"/>
        <w:jc w:val="both"/>
        <w:rPr>
          <w:rFonts w:ascii="Arial" w:hAnsi="Arial" w:cs="Arial"/>
          <w:b/>
        </w:rPr>
      </w:pPr>
      <w:r w:rsidRPr="00D30DFE">
        <w:rPr>
          <w:rFonts w:ascii="Arial" w:hAnsi="Arial" w:cs="Arial"/>
          <w:b/>
        </w:rPr>
        <w:t>Not</w:t>
      </w:r>
      <w:r w:rsidR="00EA05CA" w:rsidRPr="00D30DFE">
        <w:rPr>
          <w:rFonts w:ascii="Arial" w:hAnsi="Arial" w:cs="Arial"/>
          <w:b/>
        </w:rPr>
        <w:t>e 25</w:t>
      </w:r>
      <w:r w:rsidRPr="00D30DFE">
        <w:rPr>
          <w:rFonts w:ascii="Arial" w:hAnsi="Arial" w:cs="Arial"/>
          <w:b/>
        </w:rPr>
        <w:t xml:space="preserve"> – Financial Instruments (Cont’d)</w:t>
      </w:r>
    </w:p>
    <w:p w:rsidR="00990216" w:rsidRPr="00D30DFE" w:rsidRDefault="00990216" w:rsidP="00990216">
      <w:pPr>
        <w:spacing w:before="0" w:after="0"/>
        <w:ind w:left="540" w:hanging="540"/>
        <w:jc w:val="both"/>
        <w:rPr>
          <w:rFonts w:ascii="Arial" w:hAnsi="Arial" w:cs="Arial"/>
          <w:b/>
          <w:bCs/>
        </w:rPr>
      </w:pPr>
    </w:p>
    <w:p w:rsidR="00FF48AC" w:rsidRPr="00D30DFE" w:rsidRDefault="00FF48AC" w:rsidP="00FF48AC">
      <w:pPr>
        <w:spacing w:before="0" w:after="0"/>
        <w:ind w:left="709" w:hanging="709"/>
        <w:rPr>
          <w:rFonts w:ascii="Arial" w:hAnsi="Arial" w:cs="Arial"/>
          <w:b/>
          <w:bCs/>
        </w:rPr>
      </w:pPr>
      <w:r w:rsidRPr="00D30DFE">
        <w:rPr>
          <w:rFonts w:ascii="Arial" w:hAnsi="Arial" w:cs="Arial"/>
          <w:b/>
          <w:bCs/>
        </w:rPr>
        <w:t>4)</w:t>
      </w:r>
      <w:r w:rsidRPr="00D30DFE">
        <w:rPr>
          <w:rFonts w:ascii="Arial" w:hAnsi="Arial" w:cs="Arial"/>
          <w:b/>
          <w:bCs/>
        </w:rPr>
        <w:tab/>
        <w:t>Nature and Extent of Risks arising from Financial Instruments (Cont’d)</w:t>
      </w:r>
    </w:p>
    <w:p w:rsidR="00FF48AC" w:rsidRPr="00D30DFE" w:rsidRDefault="00FF48AC" w:rsidP="00990216">
      <w:pPr>
        <w:spacing w:before="0" w:after="0"/>
        <w:ind w:left="540" w:hanging="540"/>
        <w:jc w:val="both"/>
        <w:rPr>
          <w:rFonts w:ascii="Arial" w:hAnsi="Arial" w:cs="Arial"/>
          <w:b/>
          <w:bCs/>
        </w:rPr>
      </w:pPr>
    </w:p>
    <w:p w:rsidR="00754072" w:rsidRPr="00D30DFE" w:rsidRDefault="00754072" w:rsidP="00754072">
      <w:pPr>
        <w:spacing w:before="0" w:after="0"/>
        <w:rPr>
          <w:rFonts w:ascii="Arial" w:hAnsi="Arial" w:cs="Arial"/>
          <w:bCs/>
        </w:rPr>
      </w:pPr>
      <w:r w:rsidRPr="00D30DFE">
        <w:rPr>
          <w:rFonts w:ascii="Arial" w:hAnsi="Arial" w:cs="Arial"/>
          <w:bCs/>
        </w:rPr>
        <w:t>No financial assets have been individually determined to be impaired and no collateral is held on past due or impaired financial assets, therefore the council has not obtained financial or non financial assets during the financial year by taking possession of any collateral or calling on other credit enhancements.</w:t>
      </w:r>
    </w:p>
    <w:p w:rsidR="00754072" w:rsidRPr="00D30DFE" w:rsidRDefault="00754072" w:rsidP="00754072">
      <w:pPr>
        <w:spacing w:before="0" w:after="0"/>
        <w:jc w:val="both"/>
        <w:rPr>
          <w:rFonts w:ascii="Arial" w:hAnsi="Arial" w:cs="Arial"/>
          <w:bCs/>
        </w:rPr>
      </w:pPr>
    </w:p>
    <w:p w:rsidR="00754072" w:rsidRPr="00D30DFE" w:rsidRDefault="00754072" w:rsidP="00754072">
      <w:pPr>
        <w:spacing w:before="0" w:after="0"/>
        <w:rPr>
          <w:rFonts w:ascii="Arial" w:hAnsi="Arial" w:cs="Arial"/>
          <w:b/>
          <w:bCs/>
        </w:rPr>
      </w:pPr>
      <w:r w:rsidRPr="00D30DFE">
        <w:rPr>
          <w:rFonts w:ascii="Arial" w:hAnsi="Arial" w:cs="Arial"/>
          <w:b/>
          <w:bCs/>
        </w:rPr>
        <w:t>Liquidity risk</w:t>
      </w:r>
    </w:p>
    <w:p w:rsidR="00754072" w:rsidRPr="00D30DFE" w:rsidRDefault="00754072" w:rsidP="00754072">
      <w:pPr>
        <w:spacing w:before="0" w:after="0"/>
        <w:ind w:hanging="540"/>
        <w:jc w:val="both"/>
        <w:rPr>
          <w:rFonts w:ascii="Arial" w:hAnsi="Arial" w:cs="Arial"/>
        </w:rPr>
      </w:pPr>
      <w:r w:rsidRPr="00D30DFE">
        <w:rPr>
          <w:rFonts w:ascii="Arial" w:hAnsi="Arial" w:cs="Arial"/>
        </w:rPr>
        <w:tab/>
      </w:r>
    </w:p>
    <w:p w:rsidR="00754072" w:rsidRPr="00D30DFE" w:rsidRDefault="00754072" w:rsidP="00754072">
      <w:pPr>
        <w:spacing w:before="0" w:after="0"/>
        <w:ind w:hanging="540"/>
        <w:rPr>
          <w:rFonts w:ascii="Arial" w:hAnsi="Arial" w:cs="Arial"/>
        </w:rPr>
      </w:pPr>
      <w:r w:rsidRPr="00D30DFE">
        <w:rPr>
          <w:rFonts w:ascii="Arial" w:hAnsi="Arial" w:cs="Arial"/>
        </w:rPr>
        <w:tab/>
        <w:t>The council manages its liquidity position through the risk management procedures noted above (i.e. the setting and approval of prudential indicators and the approval of the treasury and investment strategy reports), as well as through a comprehensive cash flow forecast management system, as required by the CIPFA Code of Practice.   This seeks to ensure that cash is available when it is needed.</w:t>
      </w:r>
    </w:p>
    <w:p w:rsidR="00990216" w:rsidRPr="00D30DFE" w:rsidRDefault="00990216" w:rsidP="00EE0C14">
      <w:pPr>
        <w:spacing w:before="0" w:after="0"/>
        <w:rPr>
          <w:rFonts w:ascii="Arial" w:hAnsi="Arial" w:cs="Arial"/>
        </w:rPr>
      </w:pPr>
    </w:p>
    <w:p w:rsidR="000A3F99" w:rsidRDefault="00EF352D" w:rsidP="000A3F99">
      <w:pPr>
        <w:spacing w:before="0" w:after="0"/>
        <w:rPr>
          <w:rFonts w:ascii="Arial" w:hAnsi="Arial" w:cs="Arial"/>
        </w:rPr>
      </w:pPr>
      <w:r w:rsidRPr="00D30DFE">
        <w:rPr>
          <w:rFonts w:ascii="Arial" w:hAnsi="Arial" w:cs="Arial"/>
        </w:rPr>
        <w:t>The c</w:t>
      </w:r>
      <w:r w:rsidR="00990216" w:rsidRPr="00D30DFE">
        <w:rPr>
          <w:rFonts w:ascii="Arial" w:hAnsi="Arial" w:cs="Arial"/>
        </w:rPr>
        <w:t>ouncil has ready access to borrowing from the Money Markets to cover any day to day cas</w:t>
      </w:r>
      <w:r w:rsidRPr="00D30DFE">
        <w:rPr>
          <w:rFonts w:ascii="Arial" w:hAnsi="Arial" w:cs="Arial"/>
        </w:rPr>
        <w:t>h flow need if required.   The c</w:t>
      </w:r>
      <w:r w:rsidR="00990216" w:rsidRPr="00D30DFE">
        <w:rPr>
          <w:rFonts w:ascii="Arial" w:hAnsi="Arial" w:cs="Arial"/>
        </w:rPr>
        <w:t xml:space="preserve">ouncil is required to provide a balanced budget through the Local Government Finance Act 1992, which ensures that sufficient funds are raised to cover annual expenditure. </w:t>
      </w:r>
      <w:r w:rsidR="000A3F99" w:rsidRPr="00D30DFE">
        <w:rPr>
          <w:rFonts w:ascii="Arial" w:hAnsi="Arial" w:cs="Arial"/>
        </w:rPr>
        <w:t xml:space="preserve">On review, at this time there has been little effect on the availability of borrowings due to covid-19. </w:t>
      </w:r>
      <w:r w:rsidR="00990216" w:rsidRPr="00D30DFE">
        <w:rPr>
          <w:rFonts w:ascii="Arial" w:hAnsi="Arial" w:cs="Arial"/>
        </w:rPr>
        <w:t>There is, therefore</w:t>
      </w:r>
      <w:r w:rsidR="007F0D1B" w:rsidRPr="00D30DFE">
        <w:rPr>
          <w:rFonts w:ascii="Arial" w:hAnsi="Arial" w:cs="Arial"/>
        </w:rPr>
        <w:t>, no significant risk that t</w:t>
      </w:r>
      <w:r w:rsidRPr="00D30DFE">
        <w:rPr>
          <w:rFonts w:ascii="Arial" w:hAnsi="Arial" w:cs="Arial"/>
        </w:rPr>
        <w:t>he c</w:t>
      </w:r>
      <w:r w:rsidR="00990216" w:rsidRPr="00D30DFE">
        <w:rPr>
          <w:rFonts w:ascii="Arial" w:hAnsi="Arial" w:cs="Arial"/>
        </w:rPr>
        <w:t>ouncil will be unable to raise finance to meet its commitments under financial instruments.</w:t>
      </w:r>
    </w:p>
    <w:p w:rsidR="00990216" w:rsidRPr="00375FD4" w:rsidRDefault="00990216" w:rsidP="000A3F99">
      <w:pPr>
        <w:spacing w:before="0" w:after="0"/>
        <w:rPr>
          <w:rFonts w:ascii="Arial" w:hAnsi="Arial" w:cs="Arial"/>
        </w:rPr>
      </w:pPr>
    </w:p>
    <w:p w:rsidR="00990216" w:rsidRPr="00375FD4" w:rsidRDefault="00990216" w:rsidP="00EE0C14">
      <w:pPr>
        <w:spacing w:before="0" w:after="0"/>
        <w:ind w:hanging="540"/>
        <w:rPr>
          <w:rFonts w:ascii="Arial" w:hAnsi="Arial" w:cs="Arial"/>
        </w:rPr>
      </w:pPr>
      <w:r w:rsidRPr="00375FD4">
        <w:rPr>
          <w:rFonts w:ascii="Arial" w:hAnsi="Arial" w:cs="Arial"/>
        </w:rPr>
        <w:tab/>
      </w:r>
      <w:r w:rsidRPr="00375FD4">
        <w:rPr>
          <w:rFonts w:ascii="Arial" w:hAnsi="Arial" w:cs="Arial"/>
          <w:b/>
        </w:rPr>
        <w:t>Refinancing and Maturity Risk</w:t>
      </w:r>
    </w:p>
    <w:p w:rsidR="00990216" w:rsidRPr="00375FD4" w:rsidRDefault="00990216" w:rsidP="00EE0C14">
      <w:pPr>
        <w:spacing w:before="0" w:after="0"/>
        <w:ind w:hanging="540"/>
        <w:rPr>
          <w:rFonts w:ascii="Arial" w:hAnsi="Arial" w:cs="Arial"/>
        </w:rPr>
      </w:pPr>
    </w:p>
    <w:p w:rsidR="00990216" w:rsidRPr="00375FD4" w:rsidRDefault="00EF352D" w:rsidP="00EE0C14">
      <w:pPr>
        <w:spacing w:before="0" w:after="0"/>
        <w:ind w:hanging="540"/>
        <w:rPr>
          <w:rFonts w:ascii="Arial" w:hAnsi="Arial" w:cs="Arial"/>
        </w:rPr>
      </w:pPr>
      <w:r>
        <w:rPr>
          <w:rFonts w:ascii="Arial" w:hAnsi="Arial" w:cs="Arial"/>
        </w:rPr>
        <w:tab/>
        <w:t>The c</w:t>
      </w:r>
      <w:r w:rsidR="00990216" w:rsidRPr="00375FD4">
        <w:rPr>
          <w:rFonts w:ascii="Arial" w:hAnsi="Arial" w:cs="Arial"/>
        </w:rPr>
        <w:t>ouncil maintains a significant debt portfolio and whilst the cash flow procedures above are considered against the refinancing risk proce</w:t>
      </w:r>
      <w:r>
        <w:rPr>
          <w:rFonts w:ascii="Arial" w:hAnsi="Arial" w:cs="Arial"/>
        </w:rPr>
        <w:t>dures, longer term risk to the c</w:t>
      </w:r>
      <w:r w:rsidR="00990216" w:rsidRPr="00375FD4">
        <w:rPr>
          <w:rFonts w:ascii="Arial" w:hAnsi="Arial" w:cs="Arial"/>
        </w:rPr>
        <w:t>ouncil relates to managing the exposure to replacing financial instruments as they mature.   This risk relates to the maturing of longer term financial liabilities.</w:t>
      </w:r>
    </w:p>
    <w:p w:rsidR="00990216" w:rsidRPr="00375FD4" w:rsidRDefault="00990216" w:rsidP="00EE0C14">
      <w:pPr>
        <w:spacing w:before="0" w:after="0"/>
        <w:jc w:val="both"/>
        <w:rPr>
          <w:rFonts w:ascii="Arial" w:hAnsi="Arial" w:cs="Arial"/>
        </w:rPr>
      </w:pPr>
    </w:p>
    <w:p w:rsidR="00990216" w:rsidRPr="00375FD4" w:rsidRDefault="00990216" w:rsidP="00EE0C14">
      <w:pPr>
        <w:spacing w:before="0" w:after="0"/>
        <w:ind w:hanging="540"/>
        <w:rPr>
          <w:rFonts w:ascii="Arial" w:hAnsi="Arial" w:cs="Arial"/>
        </w:rPr>
      </w:pPr>
      <w:r w:rsidRPr="00375FD4">
        <w:rPr>
          <w:rFonts w:ascii="Arial" w:hAnsi="Arial" w:cs="Arial"/>
        </w:rPr>
        <w:tab/>
        <w:t>The approved treasury indicator limits for the maturity structure of debt are the key parameters used to address this risk and the central treasury team address the operational risks within the approved parameters.  This includes:</w:t>
      </w:r>
    </w:p>
    <w:p w:rsidR="00990216" w:rsidRPr="00375FD4" w:rsidRDefault="00990216" w:rsidP="00EA6E47">
      <w:pPr>
        <w:numPr>
          <w:ilvl w:val="0"/>
          <w:numId w:val="24"/>
        </w:numPr>
        <w:tabs>
          <w:tab w:val="clear" w:pos="1276"/>
          <w:tab w:val="num" w:pos="426"/>
        </w:tabs>
        <w:spacing w:before="0" w:after="0"/>
        <w:ind w:left="426" w:hanging="426"/>
        <w:rPr>
          <w:rFonts w:ascii="Arial" w:hAnsi="Arial" w:cs="Arial"/>
        </w:rPr>
      </w:pPr>
      <w:r w:rsidRPr="00375FD4">
        <w:rPr>
          <w:rFonts w:ascii="Arial" w:hAnsi="Arial" w:cs="Arial"/>
        </w:rPr>
        <w:t>monitoring the maturity profile of financial liabilities and amending the profile as appropriate through either new borrowing or the rescheduling of the existing debt;  and</w:t>
      </w:r>
    </w:p>
    <w:p w:rsidR="00990216" w:rsidRPr="00375FD4" w:rsidRDefault="00990216" w:rsidP="00EA6E47">
      <w:pPr>
        <w:numPr>
          <w:ilvl w:val="0"/>
          <w:numId w:val="24"/>
        </w:numPr>
        <w:tabs>
          <w:tab w:val="clear" w:pos="1276"/>
          <w:tab w:val="num" w:pos="426"/>
        </w:tabs>
        <w:spacing w:before="0" w:after="0"/>
        <w:ind w:left="426" w:hanging="426"/>
        <w:rPr>
          <w:rFonts w:ascii="Arial" w:hAnsi="Arial" w:cs="Arial"/>
        </w:rPr>
      </w:pPr>
      <w:r w:rsidRPr="00375FD4">
        <w:rPr>
          <w:rFonts w:ascii="Arial" w:hAnsi="Arial" w:cs="Arial"/>
        </w:rPr>
        <w:t>monitoring the maturity profile of investments to ensure that sufficient liquidity is avail</w:t>
      </w:r>
      <w:r w:rsidR="00EF352D">
        <w:rPr>
          <w:rFonts w:ascii="Arial" w:hAnsi="Arial" w:cs="Arial"/>
        </w:rPr>
        <w:t>able for the c</w:t>
      </w:r>
      <w:r w:rsidRPr="00375FD4">
        <w:rPr>
          <w:rFonts w:ascii="Arial" w:hAnsi="Arial" w:cs="Arial"/>
        </w:rPr>
        <w:t>ouncil’s day to day cash flow needs.</w:t>
      </w:r>
    </w:p>
    <w:p w:rsidR="00990216" w:rsidRPr="00375FD4" w:rsidRDefault="00990216" w:rsidP="00522D7C">
      <w:pPr>
        <w:spacing w:before="0" w:after="0"/>
        <w:ind w:left="540" w:hanging="540"/>
        <w:rPr>
          <w:rFonts w:ascii="Arial" w:hAnsi="Arial" w:cs="Arial"/>
        </w:rPr>
      </w:pPr>
    </w:p>
    <w:p w:rsidR="00990216" w:rsidRPr="00375FD4" w:rsidRDefault="007F0D1B" w:rsidP="00EE0C14">
      <w:pPr>
        <w:spacing w:before="0" w:after="0"/>
        <w:rPr>
          <w:rFonts w:ascii="Arial" w:hAnsi="Arial" w:cs="Arial"/>
        </w:rPr>
      </w:pPr>
      <w:r>
        <w:rPr>
          <w:rFonts w:ascii="Arial" w:hAnsi="Arial" w:cs="Arial"/>
        </w:rPr>
        <w:t>The</w:t>
      </w:r>
      <w:r w:rsidR="00EF352D">
        <w:rPr>
          <w:rFonts w:ascii="Arial" w:hAnsi="Arial" w:cs="Arial"/>
        </w:rPr>
        <w:t xml:space="preserve"> c</w:t>
      </w:r>
      <w:r w:rsidR="00990216" w:rsidRPr="00375FD4">
        <w:rPr>
          <w:rFonts w:ascii="Arial" w:hAnsi="Arial" w:cs="Arial"/>
        </w:rPr>
        <w:t>ouncil has safeguards in place to ensure that a significant proportion of its borrowing does not mature for repayment at any one time in the future to reduce the financial impact of re-borrowing at a time of unfavourable interest rates.   No more that 50% of borrowings are due to mature within any financial year or within any rolling five-year period.</w:t>
      </w:r>
    </w:p>
    <w:p w:rsidR="00990216" w:rsidRDefault="00990216" w:rsidP="00EE0C14">
      <w:pPr>
        <w:spacing w:before="0" w:after="0"/>
        <w:jc w:val="both"/>
        <w:rPr>
          <w:rFonts w:ascii="Arial" w:hAnsi="Arial" w:cs="Arial"/>
        </w:rPr>
      </w:pPr>
    </w:p>
    <w:p w:rsidR="00C60C0D" w:rsidRPr="00375FD4" w:rsidRDefault="00C60C0D" w:rsidP="00EE0C14">
      <w:pPr>
        <w:spacing w:before="0" w:after="0"/>
        <w:jc w:val="both"/>
        <w:rPr>
          <w:rFonts w:ascii="Arial" w:hAnsi="Arial" w:cs="Arial"/>
        </w:rPr>
      </w:pPr>
      <w:r w:rsidRPr="00375FD4">
        <w:rPr>
          <w:rFonts w:ascii="Arial" w:hAnsi="Arial" w:cs="Arial"/>
        </w:rPr>
        <w:t>The maturity analysis of financial liabilities is as follows:</w:t>
      </w:r>
    </w:p>
    <w:p w:rsidR="00C60C0D" w:rsidRDefault="00C60C0D" w:rsidP="00C60C0D">
      <w:pPr>
        <w:tabs>
          <w:tab w:val="right" w:pos="900"/>
          <w:tab w:val="left" w:pos="1260"/>
        </w:tabs>
        <w:spacing w:before="0" w:after="0"/>
        <w:ind w:left="540" w:hanging="540"/>
        <w:jc w:val="both"/>
        <w:rPr>
          <w:rFonts w:ascii="Arial" w:hAnsi="Arial" w:cs="Arial"/>
        </w:rPr>
      </w:pPr>
    </w:p>
    <w:p w:rsidR="00E73D3C" w:rsidRPr="00375FD4" w:rsidRDefault="00B435D6" w:rsidP="00C60C0D">
      <w:pPr>
        <w:tabs>
          <w:tab w:val="right" w:pos="900"/>
          <w:tab w:val="left" w:pos="1260"/>
        </w:tabs>
        <w:spacing w:before="0" w:after="0"/>
        <w:ind w:left="540" w:hanging="540"/>
        <w:jc w:val="both"/>
        <w:rPr>
          <w:rFonts w:ascii="Arial" w:hAnsi="Arial" w:cs="Arial"/>
        </w:rPr>
      </w:pPr>
      <w:r w:rsidRPr="00B435D6">
        <w:rPr>
          <w:noProof/>
          <w:lang w:eastAsia="en-GB"/>
        </w:rPr>
        <w:drawing>
          <wp:inline distT="0" distB="0" distL="0" distR="0">
            <wp:extent cx="5731510" cy="1099614"/>
            <wp:effectExtent l="0" t="0" r="2540" b="5715"/>
            <wp:docPr id="235" name="Picture 235" descr="maturity profile of financial liabilities"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31510" cy="1099614"/>
                    </a:xfrm>
                    <a:prstGeom prst="rect">
                      <a:avLst/>
                    </a:prstGeom>
                    <a:noFill/>
                    <a:ln>
                      <a:noFill/>
                    </a:ln>
                  </pic:spPr>
                </pic:pic>
              </a:graphicData>
            </a:graphic>
          </wp:inline>
        </w:drawing>
      </w:r>
    </w:p>
    <w:p w:rsidR="00C60C0D" w:rsidRDefault="00C60C0D" w:rsidP="00C60C0D">
      <w:pPr>
        <w:spacing w:before="0" w:after="0"/>
        <w:ind w:firstLine="540"/>
        <w:jc w:val="both"/>
        <w:rPr>
          <w:rFonts w:ascii="Arial" w:hAnsi="Arial" w:cs="Arial"/>
          <w:b/>
          <w:bCs/>
        </w:rPr>
      </w:pPr>
    </w:p>
    <w:p w:rsidR="00FF48AC" w:rsidRDefault="00FF48AC" w:rsidP="00990216">
      <w:pPr>
        <w:spacing w:before="0" w:after="0"/>
        <w:jc w:val="both"/>
        <w:rPr>
          <w:rFonts w:ascii="Arial" w:hAnsi="Arial" w:cs="Arial"/>
          <w:b/>
          <w:sz w:val="24"/>
          <w:szCs w:val="24"/>
        </w:rPr>
      </w:pPr>
    </w:p>
    <w:p w:rsidR="00B435D6" w:rsidRDefault="00B435D6" w:rsidP="00990216">
      <w:pPr>
        <w:spacing w:before="0" w:after="0"/>
        <w:jc w:val="both"/>
        <w:rPr>
          <w:rFonts w:ascii="Arial" w:hAnsi="Arial" w:cs="Arial"/>
          <w:b/>
          <w:sz w:val="24"/>
          <w:szCs w:val="24"/>
        </w:rPr>
      </w:pPr>
    </w:p>
    <w:p w:rsidR="00FF48AC" w:rsidRDefault="00FF48AC" w:rsidP="00990216">
      <w:pPr>
        <w:spacing w:before="0" w:after="0"/>
        <w:jc w:val="both"/>
        <w:rPr>
          <w:rFonts w:ascii="Arial" w:hAnsi="Arial" w:cs="Arial"/>
          <w:b/>
          <w:sz w:val="24"/>
          <w:szCs w:val="24"/>
        </w:rPr>
      </w:pPr>
    </w:p>
    <w:p w:rsidR="00990216" w:rsidRPr="00375FD4" w:rsidRDefault="00990216" w:rsidP="00990216">
      <w:pPr>
        <w:spacing w:before="0" w:after="0"/>
        <w:jc w:val="both"/>
        <w:rPr>
          <w:rFonts w:ascii="Arial" w:hAnsi="Arial" w:cs="Arial"/>
          <w:sz w:val="24"/>
          <w:szCs w:val="24"/>
        </w:rPr>
      </w:pPr>
      <w:r w:rsidRPr="00375FD4">
        <w:rPr>
          <w:rFonts w:ascii="Arial" w:hAnsi="Arial" w:cs="Arial"/>
          <w:b/>
          <w:sz w:val="24"/>
          <w:szCs w:val="24"/>
        </w:rPr>
        <w:lastRenderedPageBreak/>
        <w:t>Notes to the Financial Statements (Cont’d)</w:t>
      </w:r>
    </w:p>
    <w:p w:rsidR="00990216" w:rsidRPr="00375FD4" w:rsidRDefault="00990216" w:rsidP="00990216">
      <w:pPr>
        <w:spacing w:before="0" w:after="0"/>
        <w:jc w:val="both"/>
        <w:rPr>
          <w:rFonts w:ascii="Arial" w:hAnsi="Arial" w:cs="Arial"/>
          <w:b/>
        </w:rPr>
      </w:pPr>
    </w:p>
    <w:p w:rsidR="00990216" w:rsidRPr="00375FD4" w:rsidRDefault="009D7DFF" w:rsidP="00125079">
      <w:pPr>
        <w:spacing w:before="0" w:after="0"/>
        <w:jc w:val="both"/>
        <w:rPr>
          <w:rFonts w:ascii="Arial" w:hAnsi="Arial" w:cs="Arial"/>
          <w:b/>
        </w:rPr>
      </w:pPr>
      <w:r>
        <w:rPr>
          <w:rFonts w:ascii="Arial" w:hAnsi="Arial" w:cs="Arial"/>
          <w:b/>
        </w:rPr>
        <w:t>Note</w:t>
      </w:r>
      <w:r w:rsidR="00EA05CA">
        <w:rPr>
          <w:rFonts w:ascii="Arial" w:hAnsi="Arial" w:cs="Arial"/>
          <w:b/>
        </w:rPr>
        <w:t xml:space="preserve"> 25 </w:t>
      </w:r>
      <w:r w:rsidR="00990216" w:rsidRPr="00375FD4">
        <w:rPr>
          <w:rFonts w:ascii="Arial" w:hAnsi="Arial" w:cs="Arial"/>
          <w:b/>
        </w:rPr>
        <w:t>– Financial Instruments (Cont’d)</w:t>
      </w:r>
    </w:p>
    <w:p w:rsidR="00990216" w:rsidRPr="00375FD4" w:rsidRDefault="00990216" w:rsidP="00990216">
      <w:pPr>
        <w:spacing w:before="0" w:after="0"/>
        <w:ind w:left="540" w:hanging="540"/>
        <w:jc w:val="both"/>
        <w:rPr>
          <w:rFonts w:ascii="Arial" w:hAnsi="Arial" w:cs="Arial"/>
          <w:b/>
          <w:bCs/>
        </w:rPr>
      </w:pPr>
    </w:p>
    <w:p w:rsidR="00990216" w:rsidRPr="00375FD4" w:rsidRDefault="00990216" w:rsidP="00EE0C14">
      <w:pPr>
        <w:spacing w:before="0" w:after="0"/>
        <w:ind w:left="567" w:hanging="540"/>
        <w:rPr>
          <w:rFonts w:ascii="Arial" w:hAnsi="Arial" w:cs="Arial"/>
          <w:b/>
          <w:bCs/>
        </w:rPr>
      </w:pPr>
      <w:r w:rsidRPr="00375FD4">
        <w:rPr>
          <w:rFonts w:ascii="Arial" w:hAnsi="Arial" w:cs="Arial"/>
          <w:b/>
          <w:bCs/>
        </w:rPr>
        <w:t>4)</w:t>
      </w:r>
      <w:r w:rsidRPr="00375FD4">
        <w:rPr>
          <w:rFonts w:ascii="Arial" w:hAnsi="Arial" w:cs="Arial"/>
          <w:b/>
          <w:bCs/>
        </w:rPr>
        <w:tab/>
        <w:t>Nature and Extent of Risks arising from Financial Instruments (Cont’d)</w:t>
      </w:r>
    </w:p>
    <w:p w:rsidR="00990216" w:rsidRDefault="00990216" w:rsidP="00C60C0D">
      <w:pPr>
        <w:spacing w:before="0" w:after="0"/>
        <w:jc w:val="both"/>
        <w:rPr>
          <w:rFonts w:ascii="Arial" w:hAnsi="Arial" w:cs="Arial"/>
        </w:rPr>
      </w:pPr>
    </w:p>
    <w:p w:rsidR="00FF48AC" w:rsidRPr="00375FD4" w:rsidRDefault="00FF48AC" w:rsidP="00FF48AC">
      <w:pPr>
        <w:spacing w:before="0" w:after="0"/>
        <w:jc w:val="both"/>
        <w:rPr>
          <w:rFonts w:ascii="Arial" w:hAnsi="Arial" w:cs="Arial"/>
          <w:b/>
          <w:bCs/>
        </w:rPr>
      </w:pPr>
      <w:r w:rsidRPr="00375FD4">
        <w:rPr>
          <w:rFonts w:ascii="Arial" w:hAnsi="Arial" w:cs="Arial"/>
          <w:b/>
          <w:bCs/>
        </w:rPr>
        <w:t>Market risk</w:t>
      </w:r>
    </w:p>
    <w:p w:rsidR="00FF48AC" w:rsidRPr="00375FD4" w:rsidRDefault="00FF48AC" w:rsidP="00FF48AC">
      <w:pPr>
        <w:spacing w:before="0" w:after="0"/>
        <w:rPr>
          <w:rFonts w:ascii="Arial" w:hAnsi="Arial" w:cs="Arial"/>
        </w:rPr>
      </w:pPr>
      <w:r w:rsidRPr="00375FD4">
        <w:rPr>
          <w:rFonts w:ascii="Arial" w:hAnsi="Arial" w:cs="Arial"/>
        </w:rPr>
        <w:t>Changes in market interest rates influence the interest payable on borrowings and on interest receivable on surplus funds invested. For example, a rise in interest rates would mean an increase in the interest charges on borrowing at variable rates and an increased cost to the taxpayer.   An increase in interest rates would also mean an increase in the income received on lending at variable rates and a reduction in cost for the taxpayer</w:t>
      </w:r>
      <w:r>
        <w:rPr>
          <w:rFonts w:ascii="Arial" w:hAnsi="Arial" w:cs="Arial"/>
        </w:rPr>
        <w:t>.</w:t>
      </w:r>
    </w:p>
    <w:p w:rsidR="00C60C0D" w:rsidRPr="00C60C0D" w:rsidRDefault="00C60C0D" w:rsidP="00EE0C14">
      <w:pPr>
        <w:spacing w:before="0" w:after="0"/>
        <w:jc w:val="both"/>
        <w:rPr>
          <w:rFonts w:ascii="Arial" w:hAnsi="Arial" w:cs="Arial"/>
          <w:b/>
        </w:rPr>
      </w:pPr>
    </w:p>
    <w:p w:rsidR="00990216" w:rsidRPr="00375FD4" w:rsidRDefault="00990216" w:rsidP="00EE0C14">
      <w:pPr>
        <w:spacing w:before="0" w:after="0"/>
        <w:ind w:hanging="540"/>
        <w:rPr>
          <w:rFonts w:ascii="Arial" w:hAnsi="Arial" w:cs="Arial"/>
        </w:rPr>
      </w:pPr>
      <w:r w:rsidRPr="00375FD4">
        <w:rPr>
          <w:rFonts w:ascii="Arial" w:hAnsi="Arial" w:cs="Arial"/>
        </w:rPr>
        <w:tab/>
        <w:t>Changes in market rates also affect the notional “fair value” of lending and borrowing.   For example, a rise in interest rates would reduce the fair value of both lending and borrowing at fixed rates.  Changes in the fair value of lending and borrowing do not impact upon the taxpayer and are confined to prescribed presentational aspects in the Accounts.</w:t>
      </w:r>
    </w:p>
    <w:p w:rsidR="00990216" w:rsidRPr="00375FD4" w:rsidRDefault="00990216" w:rsidP="00EE0C14">
      <w:pPr>
        <w:spacing w:before="0" w:after="0"/>
        <w:rPr>
          <w:rFonts w:ascii="Arial" w:hAnsi="Arial" w:cs="Arial"/>
        </w:rPr>
      </w:pPr>
    </w:p>
    <w:p w:rsidR="00990216" w:rsidRPr="00375FD4" w:rsidRDefault="00EF352D" w:rsidP="00EE0C14">
      <w:pPr>
        <w:spacing w:before="0" w:after="0"/>
        <w:ind w:hanging="540"/>
        <w:rPr>
          <w:rFonts w:ascii="Arial" w:hAnsi="Arial" w:cs="Arial"/>
        </w:rPr>
      </w:pPr>
      <w:r>
        <w:rPr>
          <w:rFonts w:ascii="Arial" w:hAnsi="Arial" w:cs="Arial"/>
        </w:rPr>
        <w:tab/>
        <w:t>The c</w:t>
      </w:r>
      <w:r w:rsidR="00990216" w:rsidRPr="00375FD4">
        <w:rPr>
          <w:rFonts w:ascii="Arial" w:hAnsi="Arial" w:cs="Arial"/>
        </w:rPr>
        <w:t>ouncil has a variety of strategies for managing the uncertainty of future interest rates a</w:t>
      </w:r>
      <w:r w:rsidR="007F0D1B">
        <w:rPr>
          <w:rFonts w:ascii="Arial" w:hAnsi="Arial" w:cs="Arial"/>
        </w:rPr>
        <w:t>nd the financial imp</w:t>
      </w:r>
      <w:r>
        <w:rPr>
          <w:rFonts w:ascii="Arial" w:hAnsi="Arial" w:cs="Arial"/>
        </w:rPr>
        <w:t>act on the c</w:t>
      </w:r>
      <w:r w:rsidR="00990216" w:rsidRPr="00375FD4">
        <w:rPr>
          <w:rFonts w:ascii="Arial" w:hAnsi="Arial" w:cs="Arial"/>
        </w:rPr>
        <w:t>ouncil:</w:t>
      </w:r>
    </w:p>
    <w:p w:rsidR="00990216" w:rsidRPr="00375FD4" w:rsidRDefault="00EF352D" w:rsidP="00EA6E47">
      <w:pPr>
        <w:numPr>
          <w:ilvl w:val="0"/>
          <w:numId w:val="24"/>
        </w:numPr>
        <w:tabs>
          <w:tab w:val="clear" w:pos="1276"/>
          <w:tab w:val="num" w:pos="993"/>
        </w:tabs>
        <w:spacing w:before="0" w:after="0"/>
        <w:ind w:left="426" w:hanging="426"/>
        <w:rPr>
          <w:rFonts w:ascii="Arial" w:hAnsi="Arial" w:cs="Arial"/>
        </w:rPr>
      </w:pPr>
      <w:r>
        <w:rPr>
          <w:rFonts w:ascii="Arial" w:hAnsi="Arial" w:cs="Arial"/>
        </w:rPr>
        <w:t>it is the policy of the c</w:t>
      </w:r>
      <w:r w:rsidR="00990216" w:rsidRPr="00375FD4">
        <w:rPr>
          <w:rFonts w:ascii="Arial" w:hAnsi="Arial" w:cs="Arial"/>
        </w:rPr>
        <w:t>ouncil to limit its exposure to variable rate borrowing to a maximum of 50% of what it borrows;</w:t>
      </w:r>
    </w:p>
    <w:p w:rsidR="00990216" w:rsidRPr="00375FD4" w:rsidRDefault="00990216" w:rsidP="00EA6E47">
      <w:pPr>
        <w:numPr>
          <w:ilvl w:val="0"/>
          <w:numId w:val="24"/>
        </w:numPr>
        <w:tabs>
          <w:tab w:val="clear" w:pos="1276"/>
          <w:tab w:val="num" w:pos="993"/>
        </w:tabs>
        <w:spacing w:before="0" w:after="0"/>
        <w:ind w:left="426" w:hanging="426"/>
        <w:rPr>
          <w:rFonts w:ascii="Arial" w:hAnsi="Arial" w:cs="Arial"/>
        </w:rPr>
      </w:pPr>
      <w:r w:rsidRPr="00375FD4">
        <w:rPr>
          <w:rFonts w:ascii="Arial" w:hAnsi="Arial" w:cs="Arial"/>
        </w:rPr>
        <w:t>during periods of falling rates and where it is economically</w:t>
      </w:r>
      <w:r w:rsidR="000C5B3A">
        <w:rPr>
          <w:rFonts w:ascii="Arial" w:hAnsi="Arial" w:cs="Arial"/>
        </w:rPr>
        <w:t xml:space="preserve"> advantageous to do so, t</w:t>
      </w:r>
      <w:r w:rsidR="00EF352D">
        <w:rPr>
          <w:rFonts w:ascii="Arial" w:hAnsi="Arial" w:cs="Arial"/>
        </w:rPr>
        <w:t>he c</w:t>
      </w:r>
      <w:r w:rsidRPr="00375FD4">
        <w:rPr>
          <w:rFonts w:ascii="Arial" w:hAnsi="Arial" w:cs="Arial"/>
        </w:rPr>
        <w:t>ouncil will consider the repayment and restructuring of fixed interest rate debt;</w:t>
      </w:r>
    </w:p>
    <w:p w:rsidR="00990216" w:rsidRPr="00375FD4" w:rsidRDefault="00EF352D" w:rsidP="00EA6E47">
      <w:pPr>
        <w:numPr>
          <w:ilvl w:val="0"/>
          <w:numId w:val="24"/>
        </w:numPr>
        <w:tabs>
          <w:tab w:val="clear" w:pos="1276"/>
          <w:tab w:val="num" w:pos="993"/>
        </w:tabs>
        <w:spacing w:before="0" w:after="0"/>
        <w:ind w:left="426" w:hanging="426"/>
        <w:rPr>
          <w:rFonts w:ascii="Arial" w:hAnsi="Arial" w:cs="Arial"/>
        </w:rPr>
      </w:pPr>
      <w:r>
        <w:rPr>
          <w:rFonts w:ascii="Arial" w:hAnsi="Arial" w:cs="Arial"/>
        </w:rPr>
        <w:t>the c</w:t>
      </w:r>
      <w:r w:rsidR="00990216" w:rsidRPr="00375FD4">
        <w:rPr>
          <w:rFonts w:ascii="Arial" w:hAnsi="Arial" w:cs="Arial"/>
        </w:rPr>
        <w:t>ouncil takes advice from its specialist treasury advisers and actively monitors changes in interest rates to inform decisions on the lending of surplus funds, new borrowings and restructurings of existing borrowings; and</w:t>
      </w:r>
    </w:p>
    <w:p w:rsidR="00990216" w:rsidRPr="00375FD4" w:rsidRDefault="00990216" w:rsidP="00EA6E47">
      <w:pPr>
        <w:numPr>
          <w:ilvl w:val="1"/>
          <w:numId w:val="22"/>
        </w:numPr>
        <w:tabs>
          <w:tab w:val="clear" w:pos="1505"/>
          <w:tab w:val="num" w:pos="-1350"/>
          <w:tab w:val="num" w:pos="993"/>
        </w:tabs>
        <w:spacing w:before="0" w:after="0"/>
        <w:ind w:left="426" w:hanging="426"/>
        <w:rPr>
          <w:rFonts w:ascii="Arial" w:hAnsi="Arial" w:cs="Arial"/>
        </w:rPr>
      </w:pPr>
      <w:r w:rsidRPr="00375FD4">
        <w:rPr>
          <w:rFonts w:ascii="Arial" w:hAnsi="Arial" w:cs="Arial"/>
        </w:rPr>
        <w:t>any potential</w:t>
      </w:r>
      <w:r w:rsidR="00EF352D">
        <w:rPr>
          <w:rFonts w:ascii="Arial" w:hAnsi="Arial" w:cs="Arial"/>
        </w:rPr>
        <w:t xml:space="preserve"> for a financial impact on the c</w:t>
      </w:r>
      <w:r w:rsidRPr="00375FD4">
        <w:rPr>
          <w:rFonts w:ascii="Arial" w:hAnsi="Arial" w:cs="Arial"/>
        </w:rPr>
        <w:t>ouncil is also significantly limited by the Scottish Government’s grant distribution mechanism that automatically adjusts for changes in interest rates in th</w:t>
      </w:r>
      <w:r w:rsidR="007F0D1B">
        <w:rPr>
          <w:rFonts w:ascii="Arial" w:hAnsi="Arial" w:cs="Arial"/>
        </w:rPr>
        <w:t>e government grant support t</w:t>
      </w:r>
      <w:r w:rsidR="00EF352D">
        <w:rPr>
          <w:rFonts w:ascii="Arial" w:hAnsi="Arial" w:cs="Arial"/>
        </w:rPr>
        <w:t>he c</w:t>
      </w:r>
      <w:r w:rsidRPr="00375FD4">
        <w:rPr>
          <w:rFonts w:ascii="Arial" w:hAnsi="Arial" w:cs="Arial"/>
        </w:rPr>
        <w:t>ouncil receives for “loan charges”.</w:t>
      </w:r>
    </w:p>
    <w:p w:rsidR="00990216" w:rsidRPr="00375FD4" w:rsidRDefault="00990216" w:rsidP="00EE0C14">
      <w:pPr>
        <w:spacing w:before="0" w:after="0"/>
        <w:jc w:val="both"/>
        <w:rPr>
          <w:rFonts w:ascii="Arial" w:hAnsi="Arial" w:cs="Arial"/>
        </w:rPr>
      </w:pPr>
    </w:p>
    <w:p w:rsidR="00990216" w:rsidRPr="00375FD4" w:rsidRDefault="00990216" w:rsidP="00EE0C14">
      <w:pPr>
        <w:spacing w:before="0" w:after="0"/>
        <w:jc w:val="both"/>
        <w:rPr>
          <w:rFonts w:ascii="Arial" w:hAnsi="Arial" w:cs="Arial"/>
        </w:rPr>
      </w:pPr>
      <w:r w:rsidRPr="00375FD4">
        <w:rPr>
          <w:rFonts w:ascii="Arial" w:hAnsi="Arial" w:cs="Arial"/>
        </w:rPr>
        <w:t>Th</w:t>
      </w:r>
      <w:r w:rsidR="00EF352D">
        <w:rPr>
          <w:rFonts w:ascii="Arial" w:hAnsi="Arial" w:cs="Arial"/>
        </w:rPr>
        <w:t>e interest rate profile of the c</w:t>
      </w:r>
      <w:r w:rsidRPr="00375FD4">
        <w:rPr>
          <w:rFonts w:ascii="Arial" w:hAnsi="Arial" w:cs="Arial"/>
        </w:rPr>
        <w:t>ouncil’s borrowing is as follows:</w:t>
      </w:r>
    </w:p>
    <w:p w:rsidR="00990216" w:rsidRPr="00375FD4" w:rsidRDefault="00990216" w:rsidP="00990216">
      <w:pPr>
        <w:spacing w:before="0" w:after="0"/>
        <w:ind w:left="540" w:hanging="540"/>
        <w:jc w:val="both"/>
        <w:rPr>
          <w:rFonts w:ascii="Arial" w:hAnsi="Arial" w:cs="Arial"/>
        </w:rPr>
      </w:pPr>
    </w:p>
    <w:p w:rsidR="00990216" w:rsidRPr="00375FD4" w:rsidRDefault="00E055E5" w:rsidP="00990216">
      <w:pPr>
        <w:spacing w:before="0" w:after="0"/>
        <w:ind w:firstLine="567"/>
        <w:jc w:val="both"/>
        <w:rPr>
          <w:rFonts w:ascii="Arial" w:hAnsi="Arial" w:cs="Arial"/>
        </w:rPr>
      </w:pPr>
      <w:r w:rsidRPr="00E055E5">
        <w:rPr>
          <w:noProof/>
          <w:lang w:eastAsia="en-GB"/>
        </w:rPr>
        <w:drawing>
          <wp:inline distT="0" distB="0" distL="0" distR="0">
            <wp:extent cx="2529205" cy="653415"/>
            <wp:effectExtent l="0" t="0" r="4445" b="0"/>
            <wp:docPr id="134" name="Picture 134" descr="interest rate profile of councils borrowing"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529205" cy="653415"/>
                    </a:xfrm>
                    <a:prstGeom prst="rect">
                      <a:avLst/>
                    </a:prstGeom>
                    <a:noFill/>
                    <a:ln>
                      <a:noFill/>
                    </a:ln>
                  </pic:spPr>
                </pic:pic>
              </a:graphicData>
            </a:graphic>
          </wp:inline>
        </w:drawing>
      </w:r>
    </w:p>
    <w:p w:rsidR="00990216" w:rsidRPr="00375FD4" w:rsidRDefault="00990216" w:rsidP="00990216">
      <w:pPr>
        <w:spacing w:before="0" w:after="0"/>
        <w:ind w:left="540"/>
        <w:jc w:val="both"/>
        <w:rPr>
          <w:rFonts w:ascii="Arial" w:hAnsi="Arial" w:cs="Arial"/>
        </w:rPr>
      </w:pPr>
    </w:p>
    <w:p w:rsidR="00990216" w:rsidRPr="00375FD4" w:rsidRDefault="00990216" w:rsidP="00EE0C14">
      <w:pPr>
        <w:spacing w:before="0" w:after="0"/>
        <w:rPr>
          <w:rFonts w:ascii="Arial" w:hAnsi="Arial" w:cs="Arial"/>
        </w:rPr>
      </w:pPr>
      <w:r w:rsidRPr="00375FD4">
        <w:rPr>
          <w:rFonts w:ascii="Arial" w:hAnsi="Arial" w:cs="Arial"/>
        </w:rPr>
        <w:t>To illustrate the impact of chan</w:t>
      </w:r>
      <w:r w:rsidR="00EF352D">
        <w:rPr>
          <w:rFonts w:ascii="Arial" w:hAnsi="Arial" w:cs="Arial"/>
        </w:rPr>
        <w:t>ges in interest rates upon the c</w:t>
      </w:r>
      <w:r w:rsidRPr="00375FD4">
        <w:rPr>
          <w:rFonts w:ascii="Arial" w:hAnsi="Arial" w:cs="Arial"/>
        </w:rPr>
        <w:t xml:space="preserve">ouncil, the following table shows </w:t>
      </w:r>
      <w:r w:rsidRPr="009A6255">
        <w:rPr>
          <w:rFonts w:ascii="Arial" w:hAnsi="Arial" w:cs="Arial"/>
        </w:rPr>
        <w:t>the financial effect if rates had</w:t>
      </w:r>
      <w:r w:rsidR="00CA3F5D">
        <w:rPr>
          <w:rFonts w:ascii="Arial" w:hAnsi="Arial" w:cs="Arial"/>
        </w:rPr>
        <w:t xml:space="preserve"> been 1% higher at 31 March</w:t>
      </w:r>
      <w:r w:rsidR="004833D7">
        <w:rPr>
          <w:rFonts w:ascii="Arial" w:hAnsi="Arial" w:cs="Arial"/>
        </w:rPr>
        <w:t xml:space="preserve"> 2020</w:t>
      </w:r>
      <w:r w:rsidRPr="009A6255">
        <w:rPr>
          <w:rFonts w:ascii="Arial" w:hAnsi="Arial" w:cs="Arial"/>
        </w:rPr>
        <w:t>, with all other variables held</w:t>
      </w:r>
      <w:r w:rsidRPr="00375FD4">
        <w:rPr>
          <w:rFonts w:ascii="Arial" w:hAnsi="Arial" w:cs="Arial"/>
        </w:rPr>
        <w:t xml:space="preserve"> constant:</w:t>
      </w:r>
    </w:p>
    <w:p w:rsidR="002C4839" w:rsidRPr="00375FD4" w:rsidRDefault="002C4839" w:rsidP="00990216">
      <w:pPr>
        <w:spacing w:before="0" w:after="0"/>
        <w:ind w:left="540"/>
        <w:jc w:val="both"/>
        <w:rPr>
          <w:rFonts w:ascii="Arial" w:hAnsi="Arial" w:cs="Arial"/>
        </w:rPr>
      </w:pPr>
    </w:p>
    <w:p w:rsidR="002C4839" w:rsidRPr="00375FD4" w:rsidRDefault="007E1B1A" w:rsidP="00990216">
      <w:pPr>
        <w:spacing w:before="0" w:after="0"/>
        <w:ind w:left="540"/>
        <w:jc w:val="both"/>
        <w:rPr>
          <w:rFonts w:ascii="Arial" w:hAnsi="Arial" w:cs="Arial"/>
        </w:rPr>
      </w:pPr>
      <w:r w:rsidRPr="007E1B1A">
        <w:rPr>
          <w:noProof/>
          <w:lang w:eastAsia="en-GB"/>
        </w:rPr>
        <w:drawing>
          <wp:inline distT="0" distB="0" distL="0" distR="0">
            <wp:extent cx="4251325" cy="1947545"/>
            <wp:effectExtent l="0" t="0" r="0" b="0"/>
            <wp:docPr id="54" name="Picture 54" descr="illustration of impact of changes in interest rates" title="Note 25 – Financial Instru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251325" cy="1947545"/>
                    </a:xfrm>
                    <a:prstGeom prst="rect">
                      <a:avLst/>
                    </a:prstGeom>
                    <a:noFill/>
                    <a:ln>
                      <a:noFill/>
                    </a:ln>
                  </pic:spPr>
                </pic:pic>
              </a:graphicData>
            </a:graphic>
          </wp:inline>
        </w:drawing>
      </w:r>
    </w:p>
    <w:p w:rsidR="002C4839" w:rsidRPr="00375FD4" w:rsidRDefault="002C4839" w:rsidP="00990216">
      <w:pPr>
        <w:spacing w:before="0" w:after="0"/>
        <w:ind w:left="540"/>
        <w:jc w:val="both"/>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rPr>
        <w:t>The impact of a 1% fall in interest rates would be as above but with the changes being reversed.</w:t>
      </w:r>
    </w:p>
    <w:p w:rsidR="00990216" w:rsidRDefault="00990216" w:rsidP="00517B49">
      <w:pPr>
        <w:spacing w:before="0" w:after="0"/>
        <w:jc w:val="both"/>
        <w:rPr>
          <w:rFonts w:ascii="Arial" w:hAnsi="Arial" w:cs="Arial"/>
        </w:rPr>
      </w:pPr>
    </w:p>
    <w:p w:rsidR="007E1B1A" w:rsidRPr="00375FD4" w:rsidRDefault="007E1B1A" w:rsidP="00517B49">
      <w:pPr>
        <w:spacing w:before="0" w:after="0"/>
        <w:jc w:val="both"/>
        <w:rPr>
          <w:rFonts w:ascii="Arial" w:hAnsi="Arial" w:cs="Arial"/>
        </w:rPr>
      </w:pPr>
    </w:p>
    <w:p w:rsidR="00517B49" w:rsidRDefault="00517B49" w:rsidP="00C60C0D">
      <w:pPr>
        <w:spacing w:before="0" w:after="0"/>
        <w:jc w:val="both"/>
        <w:rPr>
          <w:rFonts w:ascii="Arial" w:hAnsi="Arial" w:cs="Arial"/>
          <w:b/>
          <w:sz w:val="24"/>
          <w:szCs w:val="24"/>
        </w:rPr>
      </w:pPr>
    </w:p>
    <w:p w:rsidR="00C60C0D" w:rsidRPr="004C104C" w:rsidRDefault="00C60C0D" w:rsidP="00C60C0D">
      <w:pPr>
        <w:spacing w:before="0" w:after="0"/>
        <w:jc w:val="both"/>
        <w:rPr>
          <w:rFonts w:ascii="Arial" w:hAnsi="Arial" w:cs="Arial"/>
          <w:b/>
          <w:sz w:val="24"/>
          <w:szCs w:val="24"/>
        </w:rPr>
      </w:pPr>
      <w:r w:rsidRPr="004C104C">
        <w:rPr>
          <w:rFonts w:ascii="Arial" w:hAnsi="Arial" w:cs="Arial"/>
          <w:b/>
          <w:sz w:val="24"/>
          <w:szCs w:val="24"/>
        </w:rPr>
        <w:lastRenderedPageBreak/>
        <w:t>Notes to the Financial Statements (Cont’d)</w:t>
      </w:r>
    </w:p>
    <w:p w:rsidR="00FF48AC" w:rsidRDefault="00FF48AC" w:rsidP="00FF48AC">
      <w:pPr>
        <w:spacing w:before="0" w:after="0"/>
        <w:jc w:val="both"/>
        <w:rPr>
          <w:rFonts w:ascii="Arial" w:hAnsi="Arial" w:cs="Arial"/>
          <w:b/>
        </w:rPr>
      </w:pPr>
    </w:p>
    <w:p w:rsidR="00FF48AC" w:rsidRPr="00375FD4" w:rsidRDefault="00EA05CA" w:rsidP="00FF48AC">
      <w:pPr>
        <w:spacing w:before="0" w:after="0"/>
        <w:jc w:val="both"/>
        <w:rPr>
          <w:rFonts w:ascii="Arial" w:hAnsi="Arial" w:cs="Arial"/>
          <w:b/>
        </w:rPr>
      </w:pPr>
      <w:r>
        <w:rPr>
          <w:rFonts w:ascii="Arial" w:hAnsi="Arial" w:cs="Arial"/>
          <w:b/>
        </w:rPr>
        <w:t>Note 25</w:t>
      </w:r>
      <w:r w:rsidR="00FF48AC" w:rsidRPr="00375FD4">
        <w:rPr>
          <w:rFonts w:ascii="Arial" w:hAnsi="Arial" w:cs="Arial"/>
          <w:b/>
        </w:rPr>
        <w:t>– Financial Instruments (Cont’d)</w:t>
      </w:r>
    </w:p>
    <w:p w:rsidR="00FF48AC" w:rsidRPr="00375FD4" w:rsidRDefault="00FF48AC" w:rsidP="00FF48AC">
      <w:pPr>
        <w:spacing w:before="0" w:after="0"/>
        <w:ind w:left="540" w:hanging="540"/>
        <w:jc w:val="both"/>
        <w:rPr>
          <w:rFonts w:ascii="Arial" w:hAnsi="Arial" w:cs="Arial"/>
          <w:b/>
          <w:bCs/>
        </w:rPr>
      </w:pPr>
    </w:p>
    <w:p w:rsidR="00FF48AC" w:rsidRPr="00375FD4" w:rsidRDefault="00FF48AC" w:rsidP="00FF48AC">
      <w:pPr>
        <w:spacing w:before="0" w:after="0"/>
        <w:ind w:left="567" w:hanging="540"/>
        <w:rPr>
          <w:rFonts w:ascii="Arial" w:hAnsi="Arial" w:cs="Arial"/>
          <w:b/>
          <w:bCs/>
        </w:rPr>
      </w:pPr>
      <w:r w:rsidRPr="00375FD4">
        <w:rPr>
          <w:rFonts w:ascii="Arial" w:hAnsi="Arial" w:cs="Arial"/>
          <w:b/>
          <w:bCs/>
        </w:rPr>
        <w:t>4)</w:t>
      </w:r>
      <w:r w:rsidRPr="00375FD4">
        <w:rPr>
          <w:rFonts w:ascii="Arial" w:hAnsi="Arial" w:cs="Arial"/>
          <w:b/>
          <w:bCs/>
        </w:rPr>
        <w:tab/>
        <w:t>Nature and Extent of Risks arising from Financial Instruments (Cont’d)</w:t>
      </w:r>
    </w:p>
    <w:p w:rsidR="00FF48AC" w:rsidRDefault="00FF48AC" w:rsidP="00FF48AC">
      <w:pPr>
        <w:spacing w:before="0" w:after="0"/>
        <w:jc w:val="both"/>
        <w:rPr>
          <w:rFonts w:ascii="Arial" w:hAnsi="Arial" w:cs="Arial"/>
          <w:b/>
          <w:bCs/>
        </w:rPr>
      </w:pPr>
    </w:p>
    <w:p w:rsidR="00FF48AC" w:rsidRPr="00375FD4" w:rsidRDefault="00FF48AC" w:rsidP="00FF48AC">
      <w:pPr>
        <w:spacing w:before="0" w:after="0"/>
        <w:jc w:val="both"/>
        <w:rPr>
          <w:rFonts w:ascii="Arial" w:hAnsi="Arial" w:cs="Arial"/>
          <w:b/>
          <w:bCs/>
        </w:rPr>
      </w:pPr>
      <w:r w:rsidRPr="00375FD4">
        <w:rPr>
          <w:rFonts w:ascii="Arial" w:hAnsi="Arial" w:cs="Arial"/>
          <w:b/>
          <w:bCs/>
        </w:rPr>
        <w:t>Foreign Exchange Risk</w:t>
      </w:r>
    </w:p>
    <w:p w:rsidR="00FF48AC" w:rsidRPr="00375FD4" w:rsidRDefault="00FF48AC" w:rsidP="00FF48AC">
      <w:pPr>
        <w:spacing w:before="0" w:after="0"/>
        <w:ind w:hanging="540"/>
        <w:rPr>
          <w:rFonts w:ascii="Arial" w:hAnsi="Arial" w:cs="Arial"/>
        </w:rPr>
      </w:pPr>
      <w:r>
        <w:rPr>
          <w:rFonts w:ascii="Arial" w:hAnsi="Arial" w:cs="Arial"/>
        </w:rPr>
        <w:tab/>
        <w:t>The c</w:t>
      </w:r>
      <w:r w:rsidRPr="00375FD4">
        <w:rPr>
          <w:rFonts w:ascii="Arial" w:hAnsi="Arial" w:cs="Arial"/>
        </w:rPr>
        <w:t>ouncil does not lend or borrow in foreign currencies and has no exposure to gains or losses arising from movements in exchange rates.</w:t>
      </w:r>
    </w:p>
    <w:p w:rsidR="00C60C0D" w:rsidRPr="00375FD4" w:rsidRDefault="00C60C0D" w:rsidP="00C60C0D">
      <w:pPr>
        <w:spacing w:before="0" w:after="0"/>
        <w:jc w:val="both"/>
        <w:rPr>
          <w:rFonts w:ascii="Arial" w:hAnsi="Arial" w:cs="Arial"/>
          <w:b/>
        </w:rPr>
      </w:pPr>
    </w:p>
    <w:p w:rsidR="005D6B82" w:rsidRDefault="00EA05CA" w:rsidP="00FF48AC">
      <w:pPr>
        <w:pStyle w:val="Heading1"/>
        <w:spacing w:before="0"/>
        <w:rPr>
          <w:rFonts w:ascii="Arial" w:hAnsi="Arial" w:cs="Arial"/>
          <w:color w:val="auto"/>
          <w:sz w:val="20"/>
          <w:szCs w:val="20"/>
        </w:rPr>
      </w:pPr>
      <w:r>
        <w:rPr>
          <w:rFonts w:ascii="Arial" w:hAnsi="Arial" w:cs="Arial"/>
          <w:color w:val="auto"/>
          <w:sz w:val="20"/>
          <w:szCs w:val="20"/>
        </w:rPr>
        <w:t>Note 26</w:t>
      </w:r>
      <w:r w:rsidR="00990216" w:rsidRPr="000A3446">
        <w:rPr>
          <w:rFonts w:ascii="Arial" w:hAnsi="Arial" w:cs="Arial"/>
          <w:color w:val="auto"/>
          <w:sz w:val="20"/>
          <w:szCs w:val="20"/>
        </w:rPr>
        <w:t xml:space="preserve"> – Creditors</w:t>
      </w:r>
    </w:p>
    <w:p w:rsidR="00FF48AC" w:rsidRPr="00FF48AC" w:rsidRDefault="00FF48AC" w:rsidP="00FF48AC"/>
    <w:p w:rsidR="00B87FFC" w:rsidRDefault="00A13577" w:rsidP="00990216">
      <w:pPr>
        <w:spacing w:before="0" w:after="0"/>
        <w:rPr>
          <w:rFonts w:ascii="Arial" w:hAnsi="Arial" w:cs="Arial"/>
          <w:b/>
        </w:rPr>
      </w:pPr>
      <w:r w:rsidRPr="00A13577">
        <w:rPr>
          <w:noProof/>
          <w:lang w:eastAsia="en-GB"/>
        </w:rPr>
        <w:drawing>
          <wp:inline distT="0" distB="0" distL="0" distR="0">
            <wp:extent cx="4502150" cy="1295400"/>
            <wp:effectExtent l="0" t="0" r="0" b="0"/>
            <wp:docPr id="233" name="Picture 233" descr="breakdown of creditor types" title="note 26 cred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02150" cy="1295400"/>
                    </a:xfrm>
                    <a:prstGeom prst="rect">
                      <a:avLst/>
                    </a:prstGeom>
                    <a:noFill/>
                    <a:ln>
                      <a:noFill/>
                    </a:ln>
                  </pic:spPr>
                </pic:pic>
              </a:graphicData>
            </a:graphic>
          </wp:inline>
        </w:drawing>
      </w:r>
    </w:p>
    <w:p w:rsidR="00CA3F5D" w:rsidRPr="00375FD4" w:rsidRDefault="00CA3F5D" w:rsidP="00990216">
      <w:pPr>
        <w:spacing w:before="0" w:after="0"/>
        <w:rPr>
          <w:rFonts w:ascii="Arial" w:hAnsi="Arial" w:cs="Arial"/>
          <w:b/>
        </w:rPr>
      </w:pPr>
    </w:p>
    <w:p w:rsidR="00990216" w:rsidRPr="00375FD4" w:rsidRDefault="00EA05CA" w:rsidP="00FF48AC">
      <w:pPr>
        <w:pStyle w:val="Heading1"/>
        <w:spacing w:before="0"/>
        <w:rPr>
          <w:rFonts w:ascii="Arial" w:hAnsi="Arial" w:cs="Arial"/>
        </w:rPr>
      </w:pPr>
      <w:r>
        <w:rPr>
          <w:rFonts w:ascii="Arial" w:hAnsi="Arial" w:cs="Arial"/>
          <w:color w:val="auto"/>
          <w:sz w:val="20"/>
          <w:szCs w:val="20"/>
        </w:rPr>
        <w:t>Note 27</w:t>
      </w:r>
      <w:r w:rsidR="00990216" w:rsidRPr="00C91D62">
        <w:rPr>
          <w:rFonts w:ascii="Arial" w:hAnsi="Arial" w:cs="Arial"/>
          <w:color w:val="auto"/>
          <w:sz w:val="20"/>
          <w:szCs w:val="20"/>
        </w:rPr>
        <w:t xml:space="preserve"> – Provisions</w:t>
      </w:r>
    </w:p>
    <w:p w:rsidR="000D2D6C" w:rsidRPr="00375FD4" w:rsidRDefault="00B87FFC" w:rsidP="00273FE9">
      <w:pPr>
        <w:spacing w:before="0" w:after="0"/>
        <w:rPr>
          <w:rFonts w:ascii="Arial" w:hAnsi="Arial" w:cs="Arial"/>
        </w:rPr>
      </w:pPr>
      <w:r w:rsidRPr="00375FD4">
        <w:rPr>
          <w:rFonts w:ascii="Arial" w:hAnsi="Arial" w:cs="Arial"/>
        </w:rPr>
        <w:tab/>
      </w:r>
      <w:r w:rsidR="00A61513" w:rsidRPr="00A61513">
        <w:rPr>
          <w:noProof/>
          <w:lang w:eastAsia="en-GB"/>
        </w:rPr>
        <w:drawing>
          <wp:inline distT="0" distB="0" distL="0" distR="0">
            <wp:extent cx="4486275" cy="1143000"/>
            <wp:effectExtent l="0" t="0" r="9525" b="0"/>
            <wp:docPr id="10" name="Picture 10" descr="detail of movement on provisions held" title="note 27 pro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486275" cy="1143000"/>
                    </a:xfrm>
                    <a:prstGeom prst="rect">
                      <a:avLst/>
                    </a:prstGeom>
                    <a:noFill/>
                    <a:ln>
                      <a:noFill/>
                    </a:ln>
                  </pic:spPr>
                </pic:pic>
              </a:graphicData>
            </a:graphic>
          </wp:inline>
        </w:drawing>
      </w:r>
    </w:p>
    <w:p w:rsidR="00990216" w:rsidRPr="00375FD4" w:rsidRDefault="00990216" w:rsidP="00C60C0D">
      <w:pPr>
        <w:spacing w:before="0" w:after="0"/>
        <w:jc w:val="both"/>
        <w:rPr>
          <w:rFonts w:ascii="Arial" w:hAnsi="Arial" w:cs="Arial"/>
          <w:b/>
          <w:bCs/>
        </w:rPr>
      </w:pPr>
    </w:p>
    <w:p w:rsidR="00990216" w:rsidRDefault="00990216" w:rsidP="00517B49">
      <w:pPr>
        <w:spacing w:before="0" w:after="0"/>
        <w:rPr>
          <w:rFonts w:ascii="Arial" w:hAnsi="Arial" w:cs="Arial"/>
        </w:rPr>
      </w:pPr>
      <w:r w:rsidRPr="00375FD4">
        <w:rPr>
          <w:rFonts w:ascii="Arial" w:hAnsi="Arial" w:cs="Arial"/>
          <w:b/>
          <w:bCs/>
        </w:rPr>
        <w:t xml:space="preserve">Equal pay claims </w:t>
      </w:r>
      <w:r w:rsidR="003453F6">
        <w:rPr>
          <w:rFonts w:ascii="Arial" w:hAnsi="Arial" w:cs="Arial"/>
          <w:b/>
          <w:bCs/>
        </w:rPr>
        <w:t>and single status payments</w:t>
      </w:r>
      <w:r w:rsidR="00EF352D">
        <w:rPr>
          <w:rFonts w:ascii="Arial" w:hAnsi="Arial" w:cs="Arial"/>
        </w:rPr>
        <w:t>– The c</w:t>
      </w:r>
      <w:r w:rsidRPr="00375FD4">
        <w:rPr>
          <w:rFonts w:ascii="Arial" w:hAnsi="Arial" w:cs="Arial"/>
        </w:rPr>
        <w:t>ouncil has implemented a</w:t>
      </w:r>
      <w:r w:rsidR="000D2D6C">
        <w:rPr>
          <w:rFonts w:ascii="Arial" w:hAnsi="Arial" w:cs="Arial"/>
        </w:rPr>
        <w:t xml:space="preserve"> Single Status pay structure. </w:t>
      </w:r>
      <w:r w:rsidRPr="00375FD4">
        <w:rPr>
          <w:rFonts w:ascii="Arial" w:hAnsi="Arial" w:cs="Arial"/>
        </w:rPr>
        <w:t>This provision is held for possible future equal pay claims through outstanding tribunal cases and revised gradings from the new pay structure.</w:t>
      </w:r>
    </w:p>
    <w:p w:rsidR="00990216" w:rsidRPr="00375FD4" w:rsidRDefault="00990216" w:rsidP="00522D7C">
      <w:pPr>
        <w:spacing w:before="0" w:after="0"/>
        <w:rPr>
          <w:rFonts w:ascii="Arial" w:hAnsi="Arial" w:cs="Arial"/>
          <w:bCs/>
        </w:rPr>
      </w:pPr>
    </w:p>
    <w:p w:rsidR="00990216" w:rsidRPr="000A3446" w:rsidRDefault="00EA05CA" w:rsidP="00917F2A">
      <w:pPr>
        <w:pStyle w:val="Heading1"/>
        <w:spacing w:before="0"/>
        <w:rPr>
          <w:rFonts w:ascii="Arial" w:hAnsi="Arial" w:cs="Arial"/>
          <w:color w:val="auto"/>
          <w:sz w:val="20"/>
          <w:szCs w:val="20"/>
        </w:rPr>
      </w:pPr>
      <w:r>
        <w:rPr>
          <w:rFonts w:ascii="Arial" w:hAnsi="Arial" w:cs="Arial"/>
          <w:color w:val="auto"/>
          <w:sz w:val="20"/>
          <w:szCs w:val="20"/>
        </w:rPr>
        <w:t>Note 28</w:t>
      </w:r>
      <w:r w:rsidR="00990216" w:rsidRPr="000A3446">
        <w:rPr>
          <w:rFonts w:ascii="Arial" w:hAnsi="Arial" w:cs="Arial"/>
          <w:color w:val="auto"/>
          <w:sz w:val="20"/>
          <w:szCs w:val="20"/>
        </w:rPr>
        <w:t xml:space="preserve"> – </w:t>
      </w:r>
      <w:r w:rsidR="00917F2A">
        <w:rPr>
          <w:rFonts w:ascii="Arial" w:hAnsi="Arial" w:cs="Arial"/>
          <w:color w:val="auto"/>
          <w:sz w:val="20"/>
          <w:szCs w:val="20"/>
        </w:rPr>
        <w:t>General Fund and HRA – Reserves and Earmarked Balances</w:t>
      </w:r>
    </w:p>
    <w:p w:rsidR="00990216" w:rsidRPr="00375FD4" w:rsidRDefault="00990216" w:rsidP="00522D7C">
      <w:pPr>
        <w:spacing w:before="0" w:after="0"/>
        <w:ind w:left="720" w:hanging="720"/>
        <w:rPr>
          <w:rFonts w:ascii="Arial" w:hAnsi="Arial" w:cs="Arial"/>
        </w:rPr>
      </w:pPr>
    </w:p>
    <w:p w:rsidR="00990216" w:rsidRPr="00375FD4" w:rsidRDefault="00EF352D" w:rsidP="00517B49">
      <w:pPr>
        <w:spacing w:before="0" w:after="0"/>
        <w:rPr>
          <w:rFonts w:ascii="Arial" w:hAnsi="Arial" w:cs="Arial"/>
        </w:rPr>
      </w:pPr>
      <w:r>
        <w:rPr>
          <w:rFonts w:ascii="Arial" w:hAnsi="Arial" w:cs="Arial"/>
        </w:rPr>
        <w:t>The c</w:t>
      </w:r>
      <w:r w:rsidR="00990216" w:rsidRPr="00375FD4">
        <w:rPr>
          <w:rFonts w:ascii="Arial" w:hAnsi="Arial" w:cs="Arial"/>
        </w:rPr>
        <w:t>ouncil holds reserves on the Balance Sheet in respect of General Fund and HRA brought forward surpluses:</w:t>
      </w:r>
    </w:p>
    <w:p w:rsidR="00990216" w:rsidRPr="00375FD4" w:rsidRDefault="00990216" w:rsidP="00522D7C">
      <w:pPr>
        <w:spacing w:before="0" w:after="0"/>
        <w:ind w:left="720" w:hanging="720"/>
        <w:rPr>
          <w:rFonts w:ascii="Arial" w:hAnsi="Arial" w:cs="Arial"/>
        </w:rPr>
      </w:pPr>
    </w:p>
    <w:p w:rsidR="00990216" w:rsidRPr="009A67C7" w:rsidRDefault="00990216" w:rsidP="00EA6E47">
      <w:pPr>
        <w:pStyle w:val="BodyTextIndent3"/>
        <w:numPr>
          <w:ilvl w:val="0"/>
          <w:numId w:val="27"/>
        </w:numPr>
        <w:tabs>
          <w:tab w:val="clear" w:pos="1080"/>
          <w:tab w:val="num" w:pos="851"/>
        </w:tabs>
        <w:spacing w:before="0" w:after="0"/>
        <w:ind w:left="426"/>
        <w:rPr>
          <w:rFonts w:ascii="Arial" w:hAnsi="Arial" w:cs="Arial"/>
          <w:sz w:val="20"/>
          <w:szCs w:val="20"/>
        </w:rPr>
      </w:pPr>
      <w:r w:rsidRPr="002A18F4">
        <w:rPr>
          <w:rFonts w:ascii="Arial" w:hAnsi="Arial" w:cs="Arial"/>
          <w:sz w:val="20"/>
          <w:szCs w:val="20"/>
        </w:rPr>
        <w:t>The Gener</w:t>
      </w:r>
      <w:r w:rsidR="005D2A22" w:rsidRPr="002A18F4">
        <w:rPr>
          <w:rFonts w:ascii="Arial" w:hAnsi="Arial" w:cs="Arial"/>
          <w:sz w:val="20"/>
          <w:szCs w:val="20"/>
        </w:rPr>
        <w:t xml:space="preserve">al Fund balance stands </w:t>
      </w:r>
      <w:r w:rsidR="005D2A22" w:rsidRPr="009A67C7">
        <w:rPr>
          <w:rFonts w:ascii="Arial" w:hAnsi="Arial" w:cs="Arial"/>
          <w:sz w:val="20"/>
          <w:szCs w:val="20"/>
        </w:rPr>
        <w:t>at £</w:t>
      </w:r>
      <w:r w:rsidR="00935649">
        <w:rPr>
          <w:rFonts w:ascii="Arial" w:hAnsi="Arial" w:cs="Arial"/>
          <w:sz w:val="20"/>
          <w:szCs w:val="20"/>
        </w:rPr>
        <w:t>9.395</w:t>
      </w:r>
      <w:r w:rsidRPr="009A67C7">
        <w:rPr>
          <w:rFonts w:ascii="Arial" w:hAnsi="Arial" w:cs="Arial"/>
          <w:sz w:val="20"/>
          <w:szCs w:val="20"/>
        </w:rPr>
        <w:t>m o</w:t>
      </w:r>
      <w:r w:rsidR="004833D7" w:rsidRPr="009A67C7">
        <w:rPr>
          <w:rFonts w:ascii="Arial" w:hAnsi="Arial" w:cs="Arial"/>
          <w:sz w:val="20"/>
          <w:szCs w:val="20"/>
        </w:rPr>
        <w:t>n 31 March 2020</w:t>
      </w:r>
      <w:r w:rsidR="005D2A22" w:rsidRPr="009A67C7">
        <w:rPr>
          <w:rFonts w:ascii="Arial" w:hAnsi="Arial" w:cs="Arial"/>
          <w:sz w:val="20"/>
          <w:szCs w:val="20"/>
        </w:rPr>
        <w:t>, of which £</w:t>
      </w:r>
      <w:r w:rsidR="004A51EF">
        <w:rPr>
          <w:rFonts w:ascii="Arial" w:hAnsi="Arial" w:cs="Arial"/>
          <w:sz w:val="20"/>
          <w:szCs w:val="20"/>
        </w:rPr>
        <w:t>6</w:t>
      </w:r>
      <w:r w:rsidR="000C3BB2">
        <w:rPr>
          <w:rFonts w:ascii="Arial" w:hAnsi="Arial" w:cs="Arial"/>
          <w:sz w:val="20"/>
          <w:szCs w:val="20"/>
        </w:rPr>
        <w:t>.643</w:t>
      </w:r>
      <w:r w:rsidRPr="009A67C7">
        <w:rPr>
          <w:rFonts w:ascii="Arial" w:hAnsi="Arial" w:cs="Arial"/>
          <w:sz w:val="20"/>
          <w:szCs w:val="20"/>
        </w:rPr>
        <w:t xml:space="preserve">m is earmarked for ringfenced purposes, leaving </w:t>
      </w:r>
      <w:r w:rsidR="00347216" w:rsidRPr="009A67C7">
        <w:rPr>
          <w:rFonts w:ascii="Arial" w:hAnsi="Arial" w:cs="Arial"/>
          <w:sz w:val="20"/>
          <w:szCs w:val="20"/>
        </w:rPr>
        <w:t xml:space="preserve">an unearmarked balance of </w:t>
      </w:r>
      <w:r w:rsidR="00277AF8" w:rsidRPr="009A67C7">
        <w:rPr>
          <w:rFonts w:ascii="Arial" w:hAnsi="Arial" w:cs="Arial"/>
          <w:sz w:val="20"/>
          <w:szCs w:val="20"/>
        </w:rPr>
        <w:t>£</w:t>
      </w:r>
      <w:r w:rsidR="004A51EF">
        <w:rPr>
          <w:rFonts w:ascii="Arial" w:hAnsi="Arial" w:cs="Arial"/>
          <w:sz w:val="20"/>
          <w:szCs w:val="20"/>
        </w:rPr>
        <w:t>2</w:t>
      </w:r>
      <w:r w:rsidR="00935649">
        <w:rPr>
          <w:rFonts w:ascii="Arial" w:hAnsi="Arial" w:cs="Arial"/>
          <w:sz w:val="20"/>
          <w:szCs w:val="20"/>
        </w:rPr>
        <w:t>.752</w:t>
      </w:r>
      <w:r w:rsidRPr="009A67C7">
        <w:rPr>
          <w:rFonts w:ascii="Arial" w:hAnsi="Arial" w:cs="Arial"/>
          <w:sz w:val="20"/>
          <w:szCs w:val="20"/>
        </w:rPr>
        <w:t>m</w:t>
      </w:r>
      <w:r w:rsidR="00237CDF" w:rsidRPr="009A67C7">
        <w:rPr>
          <w:rFonts w:ascii="Arial" w:hAnsi="Arial" w:cs="Arial"/>
          <w:sz w:val="20"/>
          <w:szCs w:val="20"/>
        </w:rPr>
        <w:t xml:space="preserve"> (prudential target £</w:t>
      </w:r>
      <w:r w:rsidR="009A67C7" w:rsidRPr="009A67C7">
        <w:rPr>
          <w:rFonts w:ascii="Arial" w:hAnsi="Arial" w:cs="Arial"/>
          <w:sz w:val="20"/>
          <w:szCs w:val="20"/>
        </w:rPr>
        <w:t>4.305</w:t>
      </w:r>
      <w:r w:rsidR="00237CDF" w:rsidRPr="009A67C7">
        <w:rPr>
          <w:rFonts w:ascii="Arial" w:hAnsi="Arial" w:cs="Arial"/>
          <w:sz w:val="20"/>
          <w:szCs w:val="20"/>
        </w:rPr>
        <w:t>m)</w:t>
      </w:r>
      <w:r w:rsidRPr="009A67C7">
        <w:rPr>
          <w:rFonts w:ascii="Arial" w:hAnsi="Arial" w:cs="Arial"/>
          <w:sz w:val="20"/>
          <w:szCs w:val="20"/>
        </w:rPr>
        <w:t>.</w:t>
      </w:r>
    </w:p>
    <w:p w:rsidR="00990216" w:rsidRPr="00375FD4" w:rsidRDefault="00990216" w:rsidP="00517B49">
      <w:pPr>
        <w:pStyle w:val="BodyTextIndent3"/>
        <w:tabs>
          <w:tab w:val="num" w:pos="851"/>
        </w:tabs>
        <w:spacing w:before="0" w:after="0"/>
        <w:ind w:left="426"/>
        <w:rPr>
          <w:rFonts w:ascii="Arial" w:hAnsi="Arial" w:cs="Arial"/>
          <w:sz w:val="20"/>
          <w:szCs w:val="20"/>
        </w:rPr>
      </w:pPr>
    </w:p>
    <w:p w:rsidR="00BD7FA4" w:rsidRDefault="00990216" w:rsidP="00A82663">
      <w:pPr>
        <w:pStyle w:val="BodyTextIndent3"/>
        <w:tabs>
          <w:tab w:val="num" w:pos="851"/>
        </w:tabs>
        <w:spacing w:before="0" w:after="0"/>
        <w:ind w:left="426" w:hanging="426"/>
        <w:rPr>
          <w:rFonts w:asciiTheme="minorHAnsi" w:eastAsiaTheme="minorHAnsi" w:hAnsiTheme="minorHAnsi" w:cstheme="minorBidi"/>
          <w:sz w:val="22"/>
          <w:szCs w:val="22"/>
        </w:rPr>
      </w:pPr>
      <w:r w:rsidRPr="00375FD4">
        <w:rPr>
          <w:rFonts w:ascii="Arial" w:hAnsi="Arial" w:cs="Arial"/>
          <w:sz w:val="20"/>
          <w:szCs w:val="20"/>
        </w:rPr>
        <w:t>The main earmarked income held for future specific purposes:</w:t>
      </w:r>
    </w:p>
    <w:p w:rsidR="00FF48AC" w:rsidRDefault="004A51EF" w:rsidP="00FF48AC">
      <w:pPr>
        <w:pStyle w:val="BodyTextIndent3"/>
        <w:spacing w:before="0" w:after="0"/>
        <w:ind w:left="1080" w:firstLine="54"/>
        <w:rPr>
          <w:rFonts w:ascii="Arial" w:hAnsi="Arial" w:cs="Arial"/>
          <w:sz w:val="20"/>
          <w:szCs w:val="20"/>
        </w:rPr>
      </w:pPr>
      <w:r w:rsidRPr="004A51EF">
        <w:rPr>
          <w:noProof/>
          <w:lang w:eastAsia="en-GB"/>
        </w:rPr>
        <w:drawing>
          <wp:inline distT="0" distB="0" distL="0" distR="0">
            <wp:extent cx="3669665" cy="1793240"/>
            <wp:effectExtent l="0" t="0" r="6985" b="0"/>
            <wp:docPr id="141" name="Picture 141" descr="detail of general services earmarked balances" title="note28 general fund and HRA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669665" cy="1793240"/>
                    </a:xfrm>
                    <a:prstGeom prst="rect">
                      <a:avLst/>
                    </a:prstGeom>
                    <a:noFill/>
                    <a:ln>
                      <a:noFill/>
                    </a:ln>
                  </pic:spPr>
                </pic:pic>
              </a:graphicData>
            </a:graphic>
          </wp:inline>
        </w:drawing>
      </w:r>
    </w:p>
    <w:p w:rsidR="000C3BB2" w:rsidRDefault="000C3BB2" w:rsidP="00A82663">
      <w:pPr>
        <w:spacing w:before="0" w:after="0"/>
        <w:jc w:val="both"/>
        <w:rPr>
          <w:rFonts w:ascii="Arial" w:hAnsi="Arial" w:cs="Arial"/>
          <w:b/>
          <w:sz w:val="24"/>
          <w:szCs w:val="24"/>
        </w:rPr>
      </w:pPr>
    </w:p>
    <w:p w:rsidR="000C3BB2" w:rsidRDefault="000C3BB2" w:rsidP="00A82663">
      <w:pPr>
        <w:spacing w:before="0" w:after="0"/>
        <w:jc w:val="both"/>
        <w:rPr>
          <w:rFonts w:ascii="Arial" w:hAnsi="Arial" w:cs="Arial"/>
          <w:b/>
          <w:sz w:val="24"/>
          <w:szCs w:val="24"/>
        </w:rPr>
      </w:pPr>
    </w:p>
    <w:p w:rsidR="00A82663" w:rsidRPr="00375FD4" w:rsidRDefault="00A82663" w:rsidP="00A82663">
      <w:pPr>
        <w:spacing w:before="0" w:after="0"/>
        <w:jc w:val="both"/>
        <w:rPr>
          <w:rFonts w:ascii="Arial" w:hAnsi="Arial" w:cs="Arial"/>
          <w:sz w:val="24"/>
          <w:szCs w:val="24"/>
        </w:rPr>
      </w:pPr>
      <w:r w:rsidRPr="00375FD4">
        <w:rPr>
          <w:rFonts w:ascii="Arial" w:hAnsi="Arial" w:cs="Arial"/>
          <w:b/>
          <w:sz w:val="24"/>
          <w:szCs w:val="24"/>
        </w:rPr>
        <w:lastRenderedPageBreak/>
        <w:t>Notes to the Financial Statements (Cont’d)</w:t>
      </w:r>
    </w:p>
    <w:p w:rsidR="00A82663" w:rsidRDefault="00A82663" w:rsidP="00A82663">
      <w:pPr>
        <w:pStyle w:val="BodyTextIndent3"/>
        <w:spacing w:before="0" w:after="0"/>
        <w:ind w:left="1080" w:hanging="360"/>
        <w:rPr>
          <w:rFonts w:ascii="Arial" w:hAnsi="Arial" w:cs="Arial"/>
          <w:sz w:val="20"/>
          <w:szCs w:val="20"/>
        </w:rPr>
      </w:pPr>
    </w:p>
    <w:p w:rsidR="00A82663" w:rsidRDefault="00A82663" w:rsidP="00A82663">
      <w:pPr>
        <w:pStyle w:val="Heading1"/>
        <w:spacing w:before="0"/>
        <w:rPr>
          <w:rFonts w:ascii="Arial" w:hAnsi="Arial" w:cs="Arial"/>
          <w:color w:val="auto"/>
          <w:sz w:val="20"/>
          <w:szCs w:val="20"/>
        </w:rPr>
      </w:pPr>
      <w:r>
        <w:rPr>
          <w:rFonts w:ascii="Arial" w:hAnsi="Arial" w:cs="Arial"/>
          <w:color w:val="auto"/>
          <w:sz w:val="20"/>
          <w:szCs w:val="20"/>
        </w:rPr>
        <w:t>Note 28</w:t>
      </w:r>
      <w:r w:rsidRPr="000A3446">
        <w:rPr>
          <w:rFonts w:ascii="Arial" w:hAnsi="Arial" w:cs="Arial"/>
          <w:color w:val="auto"/>
          <w:sz w:val="20"/>
          <w:szCs w:val="20"/>
        </w:rPr>
        <w:t xml:space="preserve"> – </w:t>
      </w:r>
      <w:r>
        <w:rPr>
          <w:rFonts w:ascii="Arial" w:hAnsi="Arial" w:cs="Arial"/>
          <w:color w:val="auto"/>
          <w:sz w:val="20"/>
          <w:szCs w:val="20"/>
        </w:rPr>
        <w:t xml:space="preserve">General Fund and HRA – </w:t>
      </w:r>
      <w:r w:rsidRPr="000A3446">
        <w:rPr>
          <w:rFonts w:ascii="Arial" w:hAnsi="Arial" w:cs="Arial"/>
          <w:color w:val="auto"/>
          <w:sz w:val="20"/>
          <w:szCs w:val="20"/>
        </w:rPr>
        <w:t>Reserves and Earmarked Balances</w:t>
      </w:r>
      <w:r>
        <w:rPr>
          <w:rFonts w:ascii="Arial" w:hAnsi="Arial" w:cs="Arial"/>
          <w:color w:val="auto"/>
          <w:sz w:val="20"/>
          <w:szCs w:val="20"/>
        </w:rPr>
        <w:t xml:space="preserve"> (Cont’d)</w:t>
      </w:r>
    </w:p>
    <w:p w:rsidR="00C60C0D" w:rsidRPr="00375FD4" w:rsidRDefault="00C60C0D" w:rsidP="00C60C0D">
      <w:pPr>
        <w:pStyle w:val="BodyTextIndent3"/>
        <w:spacing w:before="0" w:after="0"/>
        <w:ind w:left="0"/>
        <w:rPr>
          <w:rFonts w:ascii="Arial" w:hAnsi="Arial" w:cs="Arial"/>
          <w:sz w:val="20"/>
          <w:szCs w:val="20"/>
        </w:rPr>
      </w:pPr>
    </w:p>
    <w:p w:rsidR="00990216" w:rsidRPr="00307231" w:rsidRDefault="00990216" w:rsidP="00B576E3">
      <w:pPr>
        <w:pStyle w:val="BodyTextIndent3"/>
        <w:spacing w:before="0" w:after="0"/>
        <w:ind w:left="426" w:hanging="360"/>
        <w:jc w:val="both"/>
        <w:rPr>
          <w:rFonts w:ascii="Arial" w:hAnsi="Arial" w:cs="Arial"/>
          <w:sz w:val="20"/>
          <w:szCs w:val="20"/>
        </w:rPr>
      </w:pPr>
      <w:r w:rsidRPr="005671AD">
        <w:rPr>
          <w:rFonts w:ascii="Arial" w:hAnsi="Arial" w:cs="Arial"/>
          <w:sz w:val="20"/>
          <w:szCs w:val="20"/>
        </w:rPr>
        <w:t>(2)</w:t>
      </w:r>
      <w:r w:rsidRPr="005671AD">
        <w:rPr>
          <w:rFonts w:ascii="Arial" w:hAnsi="Arial" w:cs="Arial"/>
          <w:b/>
          <w:sz w:val="20"/>
          <w:szCs w:val="20"/>
        </w:rPr>
        <w:tab/>
      </w:r>
      <w:r w:rsidRPr="005671AD">
        <w:rPr>
          <w:rFonts w:ascii="Arial" w:hAnsi="Arial" w:cs="Arial"/>
          <w:sz w:val="20"/>
          <w:szCs w:val="20"/>
        </w:rPr>
        <w:t>The</w:t>
      </w:r>
      <w:r w:rsidR="005D2A22" w:rsidRPr="005671AD">
        <w:rPr>
          <w:rFonts w:ascii="Arial" w:hAnsi="Arial" w:cs="Arial"/>
          <w:sz w:val="20"/>
          <w:szCs w:val="20"/>
        </w:rPr>
        <w:t xml:space="preserve"> HRA balance is </w:t>
      </w:r>
      <w:r w:rsidR="005D2A22" w:rsidRPr="008A6A34">
        <w:rPr>
          <w:rFonts w:ascii="Arial" w:hAnsi="Arial" w:cs="Arial"/>
          <w:sz w:val="20"/>
          <w:szCs w:val="20"/>
        </w:rPr>
        <w:t>currently £</w:t>
      </w:r>
      <w:r w:rsidR="00935649">
        <w:rPr>
          <w:rFonts w:ascii="Arial" w:hAnsi="Arial" w:cs="Arial"/>
          <w:sz w:val="20"/>
          <w:szCs w:val="20"/>
        </w:rPr>
        <w:t>3.924</w:t>
      </w:r>
      <w:r w:rsidRPr="008A6A34">
        <w:rPr>
          <w:rFonts w:ascii="Arial" w:hAnsi="Arial" w:cs="Arial"/>
          <w:sz w:val="20"/>
          <w:szCs w:val="20"/>
        </w:rPr>
        <w:t>m as</w:t>
      </w:r>
      <w:r w:rsidRPr="005671AD">
        <w:rPr>
          <w:rFonts w:ascii="Arial" w:hAnsi="Arial" w:cs="Arial"/>
          <w:sz w:val="20"/>
          <w:szCs w:val="20"/>
        </w:rPr>
        <w:t xml:space="preserve"> a</w:t>
      </w:r>
      <w:r w:rsidR="00DC0A4C">
        <w:rPr>
          <w:rFonts w:ascii="Arial" w:hAnsi="Arial" w:cs="Arial"/>
          <w:sz w:val="20"/>
          <w:szCs w:val="20"/>
        </w:rPr>
        <w:t>t 31 March 2020</w:t>
      </w:r>
      <w:r w:rsidR="00307231" w:rsidRPr="005671AD">
        <w:rPr>
          <w:rFonts w:ascii="Arial" w:hAnsi="Arial" w:cs="Arial"/>
          <w:sz w:val="20"/>
          <w:szCs w:val="20"/>
        </w:rPr>
        <w:t xml:space="preserve">, </w:t>
      </w:r>
      <w:r w:rsidR="00307231" w:rsidRPr="008A6A34">
        <w:rPr>
          <w:rFonts w:ascii="Arial" w:hAnsi="Arial" w:cs="Arial"/>
          <w:sz w:val="20"/>
          <w:szCs w:val="20"/>
        </w:rPr>
        <w:t>of which £</w:t>
      </w:r>
      <w:r w:rsidR="00935649">
        <w:rPr>
          <w:rFonts w:ascii="Arial" w:hAnsi="Arial" w:cs="Arial"/>
          <w:sz w:val="20"/>
          <w:szCs w:val="20"/>
        </w:rPr>
        <w:t>3.041</w:t>
      </w:r>
      <w:r w:rsidRPr="008A6A34">
        <w:rPr>
          <w:rFonts w:ascii="Arial" w:hAnsi="Arial" w:cs="Arial"/>
          <w:sz w:val="20"/>
          <w:szCs w:val="20"/>
        </w:rPr>
        <w:t xml:space="preserve">m is earmarked for ring fenced purposes, leaving </w:t>
      </w:r>
      <w:r w:rsidR="005D2A22" w:rsidRPr="008A6A34">
        <w:rPr>
          <w:rFonts w:ascii="Arial" w:hAnsi="Arial" w:cs="Arial"/>
          <w:sz w:val="20"/>
          <w:szCs w:val="20"/>
        </w:rPr>
        <w:t>an unearmarked balance of £</w:t>
      </w:r>
      <w:r w:rsidR="00B576E3">
        <w:rPr>
          <w:rFonts w:ascii="Arial" w:hAnsi="Arial" w:cs="Arial"/>
          <w:sz w:val="20"/>
          <w:szCs w:val="20"/>
        </w:rPr>
        <w:t>0.883</w:t>
      </w:r>
      <w:r w:rsidRPr="008A6A34">
        <w:rPr>
          <w:rFonts w:ascii="Arial" w:hAnsi="Arial" w:cs="Arial"/>
          <w:sz w:val="20"/>
          <w:szCs w:val="20"/>
        </w:rPr>
        <w:t>m.</w:t>
      </w:r>
    </w:p>
    <w:p w:rsidR="00990216" w:rsidRPr="00375FD4" w:rsidRDefault="00990216" w:rsidP="00990216">
      <w:pPr>
        <w:tabs>
          <w:tab w:val="left" w:pos="2070"/>
        </w:tabs>
        <w:spacing w:before="0" w:after="0"/>
        <w:ind w:left="1260" w:hanging="540"/>
        <w:jc w:val="both"/>
        <w:rPr>
          <w:rFonts w:ascii="Arial" w:hAnsi="Arial" w:cs="Arial"/>
          <w:u w:val="single"/>
        </w:rPr>
      </w:pPr>
    </w:p>
    <w:p w:rsidR="00B87FFC" w:rsidRPr="00375FD4" w:rsidRDefault="00990216" w:rsidP="00FF48AC">
      <w:pPr>
        <w:pStyle w:val="BodyTextIndent3"/>
        <w:spacing w:before="0" w:after="0"/>
        <w:ind w:left="0"/>
        <w:rPr>
          <w:rFonts w:ascii="Arial" w:hAnsi="Arial" w:cs="Arial"/>
          <w:sz w:val="20"/>
          <w:szCs w:val="20"/>
        </w:rPr>
      </w:pPr>
      <w:r w:rsidRPr="00375FD4">
        <w:rPr>
          <w:rFonts w:ascii="Arial" w:hAnsi="Arial" w:cs="Arial"/>
          <w:sz w:val="20"/>
          <w:szCs w:val="20"/>
        </w:rPr>
        <w:t>The earmarked balance held fo</w:t>
      </w:r>
      <w:r w:rsidR="00B87FFC" w:rsidRPr="00375FD4">
        <w:rPr>
          <w:rFonts w:ascii="Arial" w:hAnsi="Arial" w:cs="Arial"/>
          <w:sz w:val="20"/>
          <w:szCs w:val="20"/>
        </w:rPr>
        <w:t>r future specific purposes is:-</w:t>
      </w:r>
    </w:p>
    <w:p w:rsidR="00B87FFC" w:rsidRPr="00375FD4" w:rsidRDefault="00935649" w:rsidP="00785F41">
      <w:pPr>
        <w:pStyle w:val="BodyTextIndent3"/>
        <w:spacing w:before="0" w:after="0"/>
        <w:ind w:left="1134"/>
        <w:rPr>
          <w:rFonts w:ascii="Arial" w:hAnsi="Arial" w:cs="Arial"/>
          <w:sz w:val="20"/>
          <w:szCs w:val="20"/>
        </w:rPr>
      </w:pPr>
      <w:r w:rsidRPr="00935649">
        <w:rPr>
          <w:noProof/>
          <w:lang w:eastAsia="en-GB"/>
        </w:rPr>
        <w:drawing>
          <wp:inline distT="0" distB="0" distL="0" distR="0">
            <wp:extent cx="4128770" cy="815975"/>
            <wp:effectExtent l="0" t="0" r="5080" b="3175"/>
            <wp:docPr id="56" name="Picture 56" descr="detail of housing revenue account earmarked blaances" title="General Fund and HRA – Reserves and Earmarked Bala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128770" cy="815975"/>
                    </a:xfrm>
                    <a:prstGeom prst="rect">
                      <a:avLst/>
                    </a:prstGeom>
                    <a:noFill/>
                    <a:ln>
                      <a:noFill/>
                    </a:ln>
                  </pic:spPr>
                </pic:pic>
              </a:graphicData>
            </a:graphic>
          </wp:inline>
        </w:drawing>
      </w:r>
    </w:p>
    <w:p w:rsidR="00B87FFC" w:rsidRPr="00375FD4" w:rsidRDefault="00B87FFC" w:rsidP="00D35158">
      <w:pPr>
        <w:pStyle w:val="BodyTextIndent3"/>
        <w:spacing w:before="0" w:after="0"/>
        <w:ind w:left="1134"/>
        <w:rPr>
          <w:rFonts w:ascii="Arial" w:hAnsi="Arial" w:cs="Arial"/>
          <w:b/>
        </w:rPr>
      </w:pPr>
    </w:p>
    <w:p w:rsidR="00990216" w:rsidRDefault="00EA05CA" w:rsidP="00B87FFC">
      <w:pPr>
        <w:pStyle w:val="Heading1"/>
        <w:spacing w:before="0"/>
        <w:rPr>
          <w:rFonts w:ascii="Arial" w:hAnsi="Arial" w:cs="Arial"/>
          <w:color w:val="auto"/>
          <w:sz w:val="20"/>
          <w:szCs w:val="20"/>
        </w:rPr>
      </w:pPr>
      <w:r>
        <w:rPr>
          <w:rFonts w:ascii="Arial" w:hAnsi="Arial" w:cs="Arial"/>
          <w:color w:val="auto"/>
          <w:sz w:val="20"/>
          <w:szCs w:val="20"/>
        </w:rPr>
        <w:t>Note 29</w:t>
      </w:r>
      <w:r w:rsidR="004E5FB5">
        <w:rPr>
          <w:rFonts w:ascii="Arial" w:hAnsi="Arial" w:cs="Arial"/>
          <w:color w:val="auto"/>
          <w:sz w:val="20"/>
          <w:szCs w:val="20"/>
        </w:rPr>
        <w:t xml:space="preserve"> – </w:t>
      </w:r>
      <w:r w:rsidR="00917F2A">
        <w:rPr>
          <w:rFonts w:ascii="Arial" w:hAnsi="Arial" w:cs="Arial"/>
          <w:color w:val="auto"/>
          <w:sz w:val="20"/>
          <w:szCs w:val="20"/>
        </w:rPr>
        <w:t xml:space="preserve">Other </w:t>
      </w:r>
      <w:r w:rsidR="00990216" w:rsidRPr="000A3446">
        <w:rPr>
          <w:rFonts w:ascii="Arial" w:hAnsi="Arial" w:cs="Arial"/>
          <w:color w:val="auto"/>
          <w:sz w:val="20"/>
          <w:szCs w:val="20"/>
        </w:rPr>
        <w:t>Reserves</w:t>
      </w:r>
    </w:p>
    <w:p w:rsidR="004E5FB5" w:rsidRPr="004E5FB5" w:rsidRDefault="004E5FB5" w:rsidP="004E5FB5">
      <w:pPr>
        <w:spacing w:before="0" w:after="0"/>
        <w:jc w:val="both"/>
        <w:rPr>
          <w:rFonts w:ascii="Arial" w:hAnsi="Arial" w:cs="Arial"/>
          <w:b/>
          <w:bCs/>
        </w:rPr>
      </w:pPr>
    </w:p>
    <w:p w:rsidR="004E5FB5" w:rsidRPr="00375FD4" w:rsidRDefault="004E5FB5" w:rsidP="00517B49">
      <w:pPr>
        <w:pStyle w:val="ListParagraph"/>
        <w:spacing w:before="0" w:after="0"/>
        <w:ind w:left="0"/>
        <w:rPr>
          <w:rFonts w:ascii="Arial" w:hAnsi="Arial" w:cs="Arial"/>
        </w:rPr>
      </w:pPr>
      <w:r w:rsidRPr="00375FD4">
        <w:rPr>
          <w:rFonts w:ascii="Arial" w:hAnsi="Arial" w:cs="Arial"/>
        </w:rPr>
        <w:t>Reserves are created by appropriating amounts from the General Fund balance in the Movement in Reserves Statement. When expenditure is financed from a reserve, it is charged to the appropriate service to score against the Surplus or Deficit on the Provision of Services in the Comprehensive Income and Expenditure Statement.  The reserve is then appropriated back into the General Fund balance in the Movement in Reserve Statement so that there is no net effect on council tax.</w:t>
      </w:r>
    </w:p>
    <w:p w:rsidR="004E5FB5" w:rsidRPr="00375FD4" w:rsidRDefault="004E5FB5" w:rsidP="00517B49">
      <w:pPr>
        <w:spacing w:before="0" w:after="0"/>
        <w:rPr>
          <w:rFonts w:ascii="Arial" w:hAnsi="Arial" w:cs="Arial"/>
          <w:b/>
        </w:rPr>
      </w:pPr>
    </w:p>
    <w:p w:rsidR="004E5FB5" w:rsidRPr="004E5FB5" w:rsidRDefault="004E5FB5" w:rsidP="00517B49">
      <w:pPr>
        <w:pStyle w:val="ListParagraph"/>
        <w:spacing w:before="0" w:after="0"/>
        <w:ind w:left="0"/>
        <w:rPr>
          <w:rFonts w:ascii="Arial" w:hAnsi="Arial" w:cs="Arial"/>
        </w:rPr>
      </w:pPr>
      <w:r w:rsidRPr="00375FD4">
        <w:rPr>
          <w:rFonts w:ascii="Arial" w:hAnsi="Arial" w:cs="Arial"/>
        </w:rPr>
        <w:t>Certain reserves are kept to manage the accounting processes for non-current assets, financial instruments and retirement benefits and that do not represent usable r</w:t>
      </w:r>
      <w:r w:rsidR="00EF352D">
        <w:rPr>
          <w:rFonts w:ascii="Arial" w:hAnsi="Arial" w:cs="Arial"/>
        </w:rPr>
        <w:t>esources for the c</w:t>
      </w:r>
      <w:r w:rsidRPr="00375FD4">
        <w:rPr>
          <w:rFonts w:ascii="Arial" w:hAnsi="Arial" w:cs="Arial"/>
        </w:rPr>
        <w:t xml:space="preserve">ouncil. </w:t>
      </w:r>
    </w:p>
    <w:p w:rsidR="00B87FFC" w:rsidRPr="00375FD4" w:rsidRDefault="00B87FFC" w:rsidP="00517B49">
      <w:pPr>
        <w:rPr>
          <w:rFonts w:ascii="Arial" w:hAnsi="Arial" w:cs="Arial"/>
        </w:rPr>
      </w:pPr>
    </w:p>
    <w:p w:rsidR="004E5FB5" w:rsidRDefault="00990216" w:rsidP="00517B49">
      <w:pPr>
        <w:spacing w:before="0" w:after="0"/>
        <w:rPr>
          <w:rFonts w:ascii="Arial" w:hAnsi="Arial" w:cs="Arial"/>
        </w:rPr>
      </w:pPr>
      <w:r w:rsidRPr="004E5FB5">
        <w:rPr>
          <w:rFonts w:ascii="Arial" w:hAnsi="Arial" w:cs="Arial"/>
          <w:b/>
        </w:rPr>
        <w:t>Usable reserves</w:t>
      </w:r>
      <w:r w:rsidRPr="00375FD4">
        <w:rPr>
          <w:rFonts w:ascii="Arial" w:hAnsi="Arial" w:cs="Arial"/>
        </w:rPr>
        <w:t xml:space="preserve"> </w:t>
      </w:r>
    </w:p>
    <w:p w:rsidR="004E5FB5" w:rsidRDefault="004E5FB5" w:rsidP="00517B49">
      <w:pPr>
        <w:spacing w:before="0" w:after="0"/>
        <w:rPr>
          <w:rFonts w:ascii="Arial" w:hAnsi="Arial" w:cs="Arial"/>
        </w:rPr>
      </w:pPr>
    </w:p>
    <w:p w:rsidR="00990216" w:rsidRDefault="00367770" w:rsidP="00517B49">
      <w:pPr>
        <w:spacing w:before="0" w:after="0"/>
        <w:rPr>
          <w:rFonts w:ascii="Arial" w:hAnsi="Arial" w:cs="Arial"/>
        </w:rPr>
      </w:pPr>
      <w:r>
        <w:rPr>
          <w:rFonts w:ascii="Arial" w:hAnsi="Arial" w:cs="Arial"/>
        </w:rPr>
        <w:t>Us</w:t>
      </w:r>
      <w:r w:rsidR="004E5FB5">
        <w:rPr>
          <w:rFonts w:ascii="Arial" w:hAnsi="Arial" w:cs="Arial"/>
        </w:rPr>
        <w:t>able r</w:t>
      </w:r>
      <w:r w:rsidR="00990216" w:rsidRPr="00375FD4">
        <w:rPr>
          <w:rFonts w:ascii="Arial" w:hAnsi="Arial" w:cs="Arial"/>
        </w:rPr>
        <w:t>eserves</w:t>
      </w:r>
      <w:r w:rsidR="004E5FB5">
        <w:rPr>
          <w:rFonts w:ascii="Arial" w:hAnsi="Arial" w:cs="Arial"/>
        </w:rPr>
        <w:t xml:space="preserve"> are those that</w:t>
      </w:r>
      <w:r w:rsidR="00EF352D">
        <w:rPr>
          <w:rFonts w:ascii="Arial" w:hAnsi="Arial" w:cs="Arial"/>
        </w:rPr>
        <w:t xml:space="preserve"> the c</w:t>
      </w:r>
      <w:r w:rsidR="00990216" w:rsidRPr="00375FD4">
        <w:rPr>
          <w:rFonts w:ascii="Arial" w:hAnsi="Arial" w:cs="Arial"/>
        </w:rPr>
        <w:t>ouncil is able to apply to fund expenditure or reduce taxation and comprise of both capital and revenue reserves.  Movement in the revenue reserves during the year are outlined in the Movement in Reserves Statement, however, a summary is shown below:</w:t>
      </w:r>
    </w:p>
    <w:p w:rsidR="004E5FB5" w:rsidRPr="00375FD4" w:rsidRDefault="004E5FB5" w:rsidP="004E5FB5">
      <w:pPr>
        <w:spacing w:before="0" w:after="0"/>
        <w:ind w:left="709"/>
        <w:jc w:val="both"/>
        <w:rPr>
          <w:rFonts w:ascii="Arial" w:hAnsi="Arial" w:cs="Arial"/>
        </w:rPr>
      </w:pPr>
    </w:p>
    <w:p w:rsidR="00990216" w:rsidRPr="00375FD4" w:rsidRDefault="00CD6808" w:rsidP="00D35158">
      <w:pPr>
        <w:spacing w:before="0" w:after="0"/>
        <w:ind w:left="709"/>
        <w:jc w:val="both"/>
        <w:rPr>
          <w:rFonts w:ascii="Arial" w:hAnsi="Arial" w:cs="Arial"/>
        </w:rPr>
      </w:pPr>
      <w:r w:rsidRPr="00CD6808">
        <w:rPr>
          <w:noProof/>
          <w:lang w:eastAsia="en-GB"/>
        </w:rPr>
        <w:drawing>
          <wp:inline distT="0" distB="0" distL="0" distR="0">
            <wp:extent cx="3746500" cy="1454150"/>
            <wp:effectExtent l="0" t="0" r="6350" b="0"/>
            <wp:docPr id="254" name="Picture 254" descr="a list of usable reserves held by the council as at 31 march 2020" title="usable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746500" cy="1454150"/>
                    </a:xfrm>
                    <a:prstGeom prst="rect">
                      <a:avLst/>
                    </a:prstGeom>
                    <a:noFill/>
                    <a:ln>
                      <a:noFill/>
                    </a:ln>
                  </pic:spPr>
                </pic:pic>
              </a:graphicData>
            </a:graphic>
          </wp:inline>
        </w:drawing>
      </w:r>
    </w:p>
    <w:p w:rsidR="00C60C0D" w:rsidRDefault="00C60C0D" w:rsidP="00990216">
      <w:pPr>
        <w:spacing w:before="0" w:after="0"/>
        <w:ind w:left="709"/>
        <w:jc w:val="both"/>
        <w:rPr>
          <w:rFonts w:ascii="Arial" w:hAnsi="Arial" w:cs="Arial"/>
          <w:b/>
        </w:rPr>
      </w:pPr>
    </w:p>
    <w:p w:rsidR="00FF48AC" w:rsidRPr="00375FD4" w:rsidRDefault="00FF48AC" w:rsidP="00FF48AC">
      <w:pPr>
        <w:spacing w:before="0" w:after="0"/>
        <w:rPr>
          <w:rFonts w:ascii="Arial" w:hAnsi="Arial" w:cs="Arial"/>
          <w:b/>
        </w:rPr>
      </w:pPr>
      <w:r w:rsidRPr="00375FD4">
        <w:rPr>
          <w:rFonts w:ascii="Arial" w:hAnsi="Arial" w:cs="Arial"/>
          <w:b/>
        </w:rPr>
        <w:t>General Fund Revenue Reserve</w:t>
      </w:r>
    </w:p>
    <w:p w:rsidR="00FF48AC" w:rsidRPr="00375FD4" w:rsidRDefault="00FF48AC" w:rsidP="00FF48AC">
      <w:pPr>
        <w:spacing w:before="0" w:after="0"/>
        <w:rPr>
          <w:rFonts w:ascii="Arial" w:hAnsi="Arial" w:cs="Arial"/>
        </w:rPr>
      </w:pPr>
      <w:r w:rsidRPr="00375FD4">
        <w:rPr>
          <w:rFonts w:ascii="Arial" w:hAnsi="Arial" w:cs="Arial"/>
        </w:rPr>
        <w:t>The General Fund is hel</w:t>
      </w:r>
      <w:r>
        <w:rPr>
          <w:rFonts w:ascii="Arial" w:hAnsi="Arial" w:cs="Arial"/>
        </w:rPr>
        <w:t>d for services provided by the c</w:t>
      </w:r>
      <w:r w:rsidRPr="00375FD4">
        <w:rPr>
          <w:rFonts w:ascii="Arial" w:hAnsi="Arial" w:cs="Arial"/>
        </w:rPr>
        <w:t>ouncil through Revenue Support Grant funded through the Scotti</w:t>
      </w:r>
      <w:r>
        <w:rPr>
          <w:rFonts w:ascii="Arial" w:hAnsi="Arial" w:cs="Arial"/>
        </w:rPr>
        <w:t>sh Government and council tax.</w:t>
      </w:r>
      <w:r w:rsidRPr="00375FD4">
        <w:rPr>
          <w:rFonts w:ascii="Arial" w:hAnsi="Arial" w:cs="Arial"/>
        </w:rPr>
        <w:t xml:space="preserve"> It excludes the Housing Revenue Account. This reserve holds funds not yet spent.</w:t>
      </w:r>
    </w:p>
    <w:p w:rsidR="00FF48AC" w:rsidRPr="00375FD4" w:rsidRDefault="00FF48AC" w:rsidP="00FF48AC">
      <w:pPr>
        <w:spacing w:before="0" w:after="0"/>
        <w:rPr>
          <w:rFonts w:ascii="Arial" w:hAnsi="Arial" w:cs="Arial"/>
        </w:rPr>
      </w:pPr>
    </w:p>
    <w:p w:rsidR="00FF48AC" w:rsidRPr="00375FD4" w:rsidRDefault="00FF48AC" w:rsidP="00FF48AC">
      <w:pPr>
        <w:spacing w:before="0" w:after="0"/>
        <w:rPr>
          <w:rFonts w:ascii="Arial" w:hAnsi="Arial" w:cs="Arial"/>
        </w:rPr>
      </w:pPr>
      <w:r w:rsidRPr="00375FD4">
        <w:rPr>
          <w:rFonts w:ascii="Arial" w:hAnsi="Arial" w:cs="Arial"/>
          <w:b/>
        </w:rPr>
        <w:t>Housing Revenue Account Revenue Reserve</w:t>
      </w:r>
    </w:p>
    <w:p w:rsidR="00FF48AC" w:rsidRPr="00375FD4" w:rsidRDefault="00FF48AC" w:rsidP="00FF48AC">
      <w:pPr>
        <w:spacing w:before="0" w:after="0"/>
        <w:rPr>
          <w:rFonts w:ascii="Arial" w:hAnsi="Arial" w:cs="Arial"/>
        </w:rPr>
      </w:pPr>
      <w:r>
        <w:rPr>
          <w:rFonts w:ascii="Arial" w:hAnsi="Arial" w:cs="Arial"/>
        </w:rPr>
        <w:t>The c</w:t>
      </w:r>
      <w:r w:rsidRPr="00375FD4">
        <w:rPr>
          <w:rFonts w:ascii="Arial" w:hAnsi="Arial" w:cs="Arial"/>
        </w:rPr>
        <w:t>ouncil is required by the Local Government and Housing Act (Scotland) 1987 to keep a Housing Revenue Account (HRA) which records all revenue expenditure and income relating to the provision of council dwellings and related services. This reserve holds funds not yet spent.</w:t>
      </w:r>
    </w:p>
    <w:p w:rsidR="00FF48AC" w:rsidRPr="00375FD4" w:rsidRDefault="00FF48AC" w:rsidP="00FF48AC">
      <w:pPr>
        <w:spacing w:before="0" w:after="0"/>
        <w:rPr>
          <w:rFonts w:ascii="Arial" w:hAnsi="Arial" w:cs="Arial"/>
        </w:rPr>
      </w:pPr>
    </w:p>
    <w:p w:rsidR="00FF48AC" w:rsidRPr="00375FD4" w:rsidRDefault="00FF48AC" w:rsidP="00FF48AC">
      <w:pPr>
        <w:spacing w:before="0" w:after="0"/>
        <w:rPr>
          <w:rFonts w:ascii="Arial" w:hAnsi="Arial" w:cs="Arial"/>
        </w:rPr>
      </w:pPr>
      <w:r w:rsidRPr="00375FD4">
        <w:rPr>
          <w:rFonts w:ascii="Arial" w:hAnsi="Arial" w:cs="Arial"/>
          <w:b/>
        </w:rPr>
        <w:t>Capital Receipts Reserves</w:t>
      </w:r>
    </w:p>
    <w:p w:rsidR="00FF48AC" w:rsidRPr="00375FD4" w:rsidRDefault="00FF48AC" w:rsidP="00FF48AC">
      <w:pPr>
        <w:spacing w:before="0" w:after="0"/>
        <w:rPr>
          <w:rFonts w:ascii="Arial" w:hAnsi="Arial" w:cs="Arial"/>
        </w:rPr>
      </w:pPr>
      <w:r w:rsidRPr="00375FD4">
        <w:rPr>
          <w:rFonts w:ascii="Arial" w:hAnsi="Arial" w:cs="Arial"/>
        </w:rPr>
        <w:t>Capital receipts from asset sales are retained within this Reserve and used to fund planned capital expenditure.</w:t>
      </w:r>
    </w:p>
    <w:p w:rsidR="00FF48AC" w:rsidRDefault="00FF48AC" w:rsidP="00517B49">
      <w:pPr>
        <w:spacing w:before="0" w:after="0"/>
        <w:jc w:val="both"/>
        <w:rPr>
          <w:rFonts w:ascii="Arial" w:hAnsi="Arial" w:cs="Arial"/>
          <w:b/>
        </w:rPr>
      </w:pPr>
    </w:p>
    <w:p w:rsidR="0099361E" w:rsidRDefault="0099361E" w:rsidP="00517B49">
      <w:pPr>
        <w:spacing w:before="0" w:after="0"/>
        <w:jc w:val="both"/>
        <w:rPr>
          <w:rFonts w:ascii="Arial" w:hAnsi="Arial" w:cs="Arial"/>
          <w:b/>
        </w:rPr>
      </w:pPr>
    </w:p>
    <w:p w:rsidR="0099361E" w:rsidRDefault="0099361E" w:rsidP="00517B49">
      <w:pPr>
        <w:spacing w:before="0" w:after="0"/>
        <w:jc w:val="both"/>
        <w:rPr>
          <w:rFonts w:ascii="Arial" w:hAnsi="Arial" w:cs="Arial"/>
          <w:b/>
        </w:rPr>
      </w:pPr>
    </w:p>
    <w:p w:rsidR="002A2091" w:rsidRDefault="002A2091" w:rsidP="00517B49">
      <w:pPr>
        <w:spacing w:before="0" w:after="0"/>
        <w:jc w:val="both"/>
        <w:rPr>
          <w:rFonts w:ascii="Arial" w:hAnsi="Arial" w:cs="Arial"/>
          <w:b/>
        </w:rPr>
      </w:pPr>
    </w:p>
    <w:p w:rsidR="0099361E" w:rsidRPr="00375FD4" w:rsidRDefault="0099361E" w:rsidP="0099361E">
      <w:pPr>
        <w:pStyle w:val="BodyTextIndent3"/>
        <w:spacing w:before="0" w:after="0"/>
        <w:ind w:left="0"/>
        <w:rPr>
          <w:rFonts w:ascii="Arial" w:hAnsi="Arial" w:cs="Arial"/>
          <w:sz w:val="24"/>
          <w:szCs w:val="24"/>
        </w:rPr>
      </w:pPr>
      <w:r w:rsidRPr="00375FD4">
        <w:rPr>
          <w:rFonts w:ascii="Arial" w:hAnsi="Arial" w:cs="Arial"/>
          <w:b/>
          <w:sz w:val="24"/>
          <w:szCs w:val="24"/>
        </w:rPr>
        <w:lastRenderedPageBreak/>
        <w:t>Notes to the Financial Statements (Cont’d)</w:t>
      </w:r>
    </w:p>
    <w:p w:rsidR="0099361E" w:rsidRPr="00375FD4" w:rsidRDefault="0099361E" w:rsidP="0099361E">
      <w:pPr>
        <w:spacing w:before="0" w:after="0"/>
        <w:jc w:val="both"/>
        <w:rPr>
          <w:rFonts w:ascii="Arial" w:hAnsi="Arial" w:cs="Arial"/>
          <w:b/>
        </w:rPr>
      </w:pPr>
    </w:p>
    <w:p w:rsidR="0099361E" w:rsidRPr="00C60C0D" w:rsidRDefault="0099361E" w:rsidP="0099361E">
      <w:pPr>
        <w:pStyle w:val="Heading1"/>
        <w:spacing w:before="0"/>
        <w:rPr>
          <w:rFonts w:ascii="Arial" w:hAnsi="Arial" w:cs="Arial"/>
          <w:color w:val="auto"/>
          <w:sz w:val="20"/>
          <w:szCs w:val="20"/>
        </w:rPr>
      </w:pPr>
      <w:r>
        <w:rPr>
          <w:rFonts w:ascii="Arial" w:hAnsi="Arial" w:cs="Arial"/>
          <w:color w:val="auto"/>
          <w:sz w:val="20"/>
          <w:szCs w:val="20"/>
        </w:rPr>
        <w:t xml:space="preserve">Note 29 – Other </w:t>
      </w:r>
      <w:r w:rsidRPr="000A3446">
        <w:rPr>
          <w:rFonts w:ascii="Arial" w:hAnsi="Arial" w:cs="Arial"/>
          <w:color w:val="auto"/>
          <w:sz w:val="20"/>
          <w:szCs w:val="20"/>
        </w:rPr>
        <w:t>Reserves</w:t>
      </w:r>
      <w:r>
        <w:rPr>
          <w:rFonts w:ascii="Arial" w:hAnsi="Arial" w:cs="Arial"/>
          <w:color w:val="auto"/>
          <w:sz w:val="20"/>
          <w:szCs w:val="20"/>
        </w:rPr>
        <w:t xml:space="preserve"> (Cont’d)</w:t>
      </w:r>
    </w:p>
    <w:p w:rsidR="0099361E" w:rsidRDefault="0099361E" w:rsidP="00517B49">
      <w:pPr>
        <w:spacing w:before="0" w:after="0"/>
        <w:jc w:val="both"/>
        <w:rPr>
          <w:rFonts w:ascii="Arial" w:hAnsi="Arial" w:cs="Arial"/>
          <w:b/>
        </w:rPr>
      </w:pPr>
    </w:p>
    <w:p w:rsidR="00990216" w:rsidRPr="00375FD4" w:rsidRDefault="00990216" w:rsidP="00517B49">
      <w:pPr>
        <w:spacing w:before="0" w:after="0"/>
        <w:jc w:val="both"/>
        <w:rPr>
          <w:rFonts w:ascii="Arial" w:hAnsi="Arial" w:cs="Arial"/>
        </w:rPr>
      </w:pPr>
      <w:r w:rsidRPr="00375FD4">
        <w:rPr>
          <w:rFonts w:ascii="Arial" w:hAnsi="Arial" w:cs="Arial"/>
          <w:b/>
        </w:rPr>
        <w:t xml:space="preserve">Capital Grant </w:t>
      </w:r>
      <w:r w:rsidR="00935649">
        <w:rPr>
          <w:rFonts w:ascii="Arial" w:hAnsi="Arial" w:cs="Arial"/>
          <w:b/>
        </w:rPr>
        <w:t xml:space="preserve">and Reserves </w:t>
      </w:r>
      <w:r w:rsidRPr="00375FD4">
        <w:rPr>
          <w:rFonts w:ascii="Arial" w:hAnsi="Arial" w:cs="Arial"/>
          <w:b/>
        </w:rPr>
        <w:t>Unapplied Reserve</w:t>
      </w:r>
    </w:p>
    <w:p w:rsidR="00990216" w:rsidRPr="00375FD4" w:rsidRDefault="00990216" w:rsidP="00517B49">
      <w:pPr>
        <w:spacing w:before="0" w:after="0"/>
        <w:rPr>
          <w:rFonts w:ascii="Arial" w:hAnsi="Arial" w:cs="Arial"/>
        </w:rPr>
      </w:pPr>
      <w:r w:rsidRPr="00375FD4">
        <w:rPr>
          <w:rFonts w:ascii="Arial" w:hAnsi="Arial" w:cs="Arial"/>
        </w:rPr>
        <w:t>Grants and ot</w:t>
      </w:r>
      <w:r w:rsidR="00EF352D">
        <w:rPr>
          <w:rFonts w:ascii="Arial" w:hAnsi="Arial" w:cs="Arial"/>
        </w:rPr>
        <w:t>her contributions given to the c</w:t>
      </w:r>
      <w:r w:rsidRPr="00375FD4">
        <w:rPr>
          <w:rFonts w:ascii="Arial" w:hAnsi="Arial" w:cs="Arial"/>
        </w:rPr>
        <w:t xml:space="preserve">ouncil are retained within this Reserve until all conditions agreed by the grant provider are </w:t>
      </w:r>
      <w:r w:rsidRPr="00CD6808">
        <w:rPr>
          <w:rFonts w:ascii="Arial" w:hAnsi="Arial" w:cs="Arial"/>
        </w:rPr>
        <w:t>satisfied.</w:t>
      </w:r>
      <w:r w:rsidR="00935649" w:rsidRPr="00CD6808">
        <w:rPr>
          <w:rFonts w:ascii="Arial" w:hAnsi="Arial" w:cs="Arial"/>
        </w:rPr>
        <w:t xml:space="preserve"> This Reserve is also used to fund transformational projects from capital receipts.</w:t>
      </w:r>
    </w:p>
    <w:p w:rsidR="00A82663" w:rsidRDefault="00A82663" w:rsidP="00517B49">
      <w:pPr>
        <w:spacing w:before="0" w:after="0"/>
        <w:rPr>
          <w:rFonts w:ascii="Arial" w:hAnsi="Arial" w:cs="Arial"/>
          <w:b/>
        </w:rPr>
      </w:pPr>
    </w:p>
    <w:p w:rsidR="00990216" w:rsidRPr="00375FD4" w:rsidRDefault="00990216" w:rsidP="00517B49">
      <w:pPr>
        <w:spacing w:before="0" w:after="0"/>
        <w:rPr>
          <w:rFonts w:ascii="Arial" w:hAnsi="Arial" w:cs="Arial"/>
        </w:rPr>
      </w:pPr>
      <w:r w:rsidRPr="00375FD4">
        <w:rPr>
          <w:rFonts w:ascii="Arial" w:hAnsi="Arial" w:cs="Arial"/>
          <w:b/>
        </w:rPr>
        <w:t>Capital Items Replacement Fund (Other)</w:t>
      </w:r>
    </w:p>
    <w:p w:rsidR="00990216" w:rsidRPr="00375FD4" w:rsidRDefault="00990216" w:rsidP="00517B49">
      <w:pPr>
        <w:spacing w:before="0" w:after="0"/>
        <w:rPr>
          <w:rFonts w:ascii="Arial" w:hAnsi="Arial" w:cs="Arial"/>
        </w:rPr>
      </w:pPr>
      <w:r w:rsidRPr="00375FD4">
        <w:rPr>
          <w:rFonts w:ascii="Arial" w:hAnsi="Arial" w:cs="Arial"/>
        </w:rPr>
        <w:t>This reserve holds funds which are retained and used for the renewal or repair of school non-current assets.</w:t>
      </w:r>
    </w:p>
    <w:p w:rsidR="00990216" w:rsidRPr="00375FD4" w:rsidRDefault="00990216" w:rsidP="00517B49">
      <w:pPr>
        <w:spacing w:before="0" w:after="0"/>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b/>
        </w:rPr>
        <w:t>Capital Reserve</w:t>
      </w:r>
    </w:p>
    <w:p w:rsidR="00990216" w:rsidRPr="00375FD4" w:rsidRDefault="00990216" w:rsidP="00517B49">
      <w:pPr>
        <w:spacing w:before="0" w:after="0"/>
        <w:rPr>
          <w:rFonts w:ascii="Arial" w:hAnsi="Arial" w:cs="Arial"/>
        </w:rPr>
      </w:pPr>
      <w:r w:rsidRPr="00375FD4">
        <w:rPr>
          <w:rFonts w:ascii="Arial" w:hAnsi="Arial" w:cs="Arial"/>
        </w:rPr>
        <w:t xml:space="preserve">This reserve holds funds which are retained for the funding of the Public Private Partnership (PPP) unitary charge </w:t>
      </w:r>
      <w:r w:rsidR="00B04593">
        <w:rPr>
          <w:rFonts w:ascii="Arial" w:hAnsi="Arial" w:cs="Arial"/>
        </w:rPr>
        <w:t xml:space="preserve">for schools regeneration </w:t>
      </w:r>
      <w:r w:rsidRPr="00375FD4">
        <w:rPr>
          <w:rFonts w:ascii="Arial" w:hAnsi="Arial" w:cs="Arial"/>
        </w:rPr>
        <w:t>on a specific annual phased amount</w:t>
      </w:r>
      <w:r w:rsidR="000D72FB">
        <w:rPr>
          <w:rFonts w:ascii="Arial" w:hAnsi="Arial" w:cs="Arial"/>
        </w:rPr>
        <w:t xml:space="preserve"> (also known as the Schools Regeneration Sinking Fund)</w:t>
      </w:r>
      <w:r w:rsidRPr="00375FD4">
        <w:rPr>
          <w:rFonts w:ascii="Arial" w:hAnsi="Arial" w:cs="Arial"/>
        </w:rPr>
        <w:t>.</w:t>
      </w:r>
    </w:p>
    <w:p w:rsidR="004E5FB5" w:rsidRDefault="004E5FB5" w:rsidP="00517B49">
      <w:pPr>
        <w:pStyle w:val="NoSpacing"/>
        <w:spacing w:before="0" w:after="0"/>
        <w:ind w:hanging="709"/>
        <w:rPr>
          <w:rFonts w:ascii="Arial" w:hAnsi="Arial" w:cs="Arial"/>
          <w:b/>
        </w:rPr>
      </w:pPr>
    </w:p>
    <w:p w:rsidR="004E5FB5" w:rsidRDefault="00990216" w:rsidP="00B04593">
      <w:pPr>
        <w:pStyle w:val="NoSpacing"/>
        <w:spacing w:before="0" w:after="0"/>
        <w:rPr>
          <w:rFonts w:ascii="Arial" w:hAnsi="Arial" w:cs="Arial"/>
        </w:rPr>
      </w:pPr>
      <w:r w:rsidRPr="004E5FB5">
        <w:rPr>
          <w:rFonts w:ascii="Arial" w:hAnsi="Arial" w:cs="Arial"/>
          <w:b/>
        </w:rPr>
        <w:t>Unusable reserves</w:t>
      </w:r>
      <w:r w:rsidRPr="00375FD4">
        <w:rPr>
          <w:rFonts w:ascii="Arial" w:hAnsi="Arial" w:cs="Arial"/>
        </w:rPr>
        <w:t xml:space="preserve"> </w:t>
      </w:r>
    </w:p>
    <w:p w:rsidR="00BC4A21" w:rsidRDefault="004E5FB5" w:rsidP="008704D9">
      <w:pPr>
        <w:pStyle w:val="NoSpacing"/>
        <w:spacing w:before="0" w:after="0"/>
        <w:rPr>
          <w:rFonts w:ascii="Arial" w:hAnsi="Arial" w:cs="Arial"/>
        </w:rPr>
      </w:pPr>
      <w:r>
        <w:rPr>
          <w:rFonts w:ascii="Arial" w:hAnsi="Arial" w:cs="Arial"/>
        </w:rPr>
        <w:t>Unusable reserves are those</w:t>
      </w:r>
      <w:r w:rsidR="00EF352D">
        <w:rPr>
          <w:rFonts w:ascii="Arial" w:hAnsi="Arial" w:cs="Arial"/>
        </w:rPr>
        <w:t xml:space="preserve"> that the c</w:t>
      </w:r>
      <w:r w:rsidR="00990216" w:rsidRPr="00375FD4">
        <w:rPr>
          <w:rFonts w:ascii="Arial" w:hAnsi="Arial" w:cs="Arial"/>
        </w:rPr>
        <w:t>ouncil is not able to utilise to provide services and comprise of:-</w:t>
      </w:r>
    </w:p>
    <w:p w:rsidR="008704D9" w:rsidRDefault="008704D9" w:rsidP="008704D9">
      <w:pPr>
        <w:pStyle w:val="NoSpacing"/>
        <w:spacing w:before="0" w:after="0"/>
        <w:rPr>
          <w:rFonts w:ascii="Arial" w:hAnsi="Arial" w:cs="Arial"/>
        </w:rPr>
      </w:pPr>
    </w:p>
    <w:p w:rsidR="00277AF8" w:rsidRDefault="00935649" w:rsidP="00A4356B">
      <w:pPr>
        <w:pStyle w:val="NoSpacing"/>
        <w:spacing w:before="0" w:after="0"/>
        <w:rPr>
          <w:rFonts w:ascii="Arial" w:hAnsi="Arial" w:cs="Arial"/>
        </w:rPr>
      </w:pPr>
      <w:r w:rsidRPr="00935649">
        <w:rPr>
          <w:noProof/>
          <w:lang w:eastAsia="en-GB"/>
        </w:rPr>
        <w:drawing>
          <wp:inline distT="0" distB="0" distL="0" distR="0">
            <wp:extent cx="4065270" cy="1294130"/>
            <wp:effectExtent l="0" t="0" r="0" b="1270"/>
            <wp:docPr id="60" name="Picture 60" descr="listing of unusable reserves"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065270" cy="1294130"/>
                    </a:xfrm>
                    <a:prstGeom prst="rect">
                      <a:avLst/>
                    </a:prstGeom>
                    <a:noFill/>
                    <a:ln>
                      <a:noFill/>
                    </a:ln>
                  </pic:spPr>
                </pic:pic>
              </a:graphicData>
            </a:graphic>
          </wp:inline>
        </w:drawing>
      </w:r>
    </w:p>
    <w:p w:rsidR="0059733C" w:rsidRPr="00375FD4" w:rsidRDefault="0059733C" w:rsidP="00A4356B">
      <w:pPr>
        <w:pStyle w:val="NoSpacing"/>
        <w:spacing w:before="0" w:after="0"/>
        <w:rPr>
          <w:rFonts w:ascii="Arial" w:hAnsi="Arial" w:cs="Arial"/>
        </w:rPr>
      </w:pPr>
    </w:p>
    <w:p w:rsidR="00990216" w:rsidRPr="00375FD4" w:rsidRDefault="00990216" w:rsidP="00517B49">
      <w:pPr>
        <w:spacing w:before="0" w:after="0"/>
        <w:jc w:val="both"/>
        <w:rPr>
          <w:rFonts w:ascii="Arial" w:hAnsi="Arial" w:cs="Arial"/>
          <w:b/>
        </w:rPr>
      </w:pPr>
      <w:r w:rsidRPr="00375FD4">
        <w:rPr>
          <w:rFonts w:ascii="Arial" w:hAnsi="Arial" w:cs="Arial"/>
          <w:b/>
        </w:rPr>
        <w:t>Capital Adjustment Account</w:t>
      </w:r>
    </w:p>
    <w:p w:rsidR="00990216" w:rsidRPr="00375FD4" w:rsidRDefault="00990216" w:rsidP="00517B49">
      <w:pPr>
        <w:spacing w:before="0" w:after="0"/>
        <w:rPr>
          <w:rFonts w:ascii="Arial" w:hAnsi="Arial" w:cs="Arial"/>
        </w:rPr>
      </w:pPr>
      <w:r w:rsidRPr="00375FD4">
        <w:rPr>
          <w:rFonts w:ascii="Arial" w:hAnsi="Arial" w:cs="Arial"/>
        </w:rPr>
        <w:t>The capital adjustment account absorbs the timing difference arising from the different arrangements for accounting for the consumption of non current assets and for financing the acquisition, construction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to the revaluation reserve to convert fair value figures to a historical cost basis).  The account is credited wit</w:t>
      </w:r>
      <w:r w:rsidR="00EF352D">
        <w:rPr>
          <w:rFonts w:ascii="Arial" w:hAnsi="Arial" w:cs="Arial"/>
        </w:rPr>
        <w:t>h the amounts set aside by the c</w:t>
      </w:r>
      <w:r w:rsidRPr="00375FD4">
        <w:rPr>
          <w:rFonts w:ascii="Arial" w:hAnsi="Arial" w:cs="Arial"/>
        </w:rPr>
        <w:t>ouncil as finance for the costs of acquisition, construction and enhancement.</w:t>
      </w:r>
    </w:p>
    <w:p w:rsidR="00990216" w:rsidRPr="00375FD4" w:rsidRDefault="00990216" w:rsidP="00517B49">
      <w:pPr>
        <w:spacing w:before="0" w:after="0"/>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rPr>
        <w:t>The account contains revaluation gains accumulated on property, plant and equipment before 1 April 2007, the date that the revaluation reserve was created to hold such gains. The movement in reserve statement provides detail of the source of all the transactions posted to the account.</w:t>
      </w:r>
    </w:p>
    <w:p w:rsidR="00C60C0D" w:rsidRDefault="00C60C0D">
      <w:pPr>
        <w:spacing w:before="0" w:after="200" w:line="276" w:lineRule="auto"/>
        <w:rPr>
          <w:rFonts w:ascii="Arial" w:hAnsi="Arial" w:cs="Arial"/>
        </w:rPr>
      </w:pPr>
      <w:r>
        <w:rPr>
          <w:rFonts w:ascii="Arial" w:hAnsi="Arial" w:cs="Arial"/>
        </w:rPr>
        <w:br w:type="page"/>
      </w:r>
    </w:p>
    <w:p w:rsidR="00C60C0D" w:rsidRPr="00375FD4" w:rsidRDefault="00C60C0D" w:rsidP="00C60C0D">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C60C0D" w:rsidRPr="00375FD4" w:rsidRDefault="00C60C0D" w:rsidP="00C60C0D">
      <w:pPr>
        <w:rPr>
          <w:rFonts w:ascii="Arial" w:hAnsi="Arial" w:cs="Arial"/>
        </w:rPr>
      </w:pPr>
    </w:p>
    <w:p w:rsidR="00C60C0D" w:rsidRDefault="00EA05CA" w:rsidP="00C60C0D">
      <w:pPr>
        <w:pStyle w:val="Heading1"/>
        <w:spacing w:before="0"/>
        <w:rPr>
          <w:rFonts w:ascii="Arial" w:hAnsi="Arial" w:cs="Arial"/>
          <w:b w:val="0"/>
        </w:rPr>
      </w:pPr>
      <w:r>
        <w:rPr>
          <w:rFonts w:ascii="Arial" w:hAnsi="Arial" w:cs="Arial"/>
          <w:color w:val="auto"/>
          <w:sz w:val="20"/>
          <w:szCs w:val="20"/>
        </w:rPr>
        <w:t>Note 29</w:t>
      </w:r>
      <w:r w:rsidR="00C60C0D">
        <w:rPr>
          <w:rFonts w:ascii="Arial" w:hAnsi="Arial" w:cs="Arial"/>
          <w:color w:val="auto"/>
          <w:sz w:val="20"/>
          <w:szCs w:val="20"/>
        </w:rPr>
        <w:t xml:space="preserve"> – </w:t>
      </w:r>
      <w:r w:rsidR="00917F2A">
        <w:rPr>
          <w:rFonts w:ascii="Arial" w:hAnsi="Arial" w:cs="Arial"/>
          <w:color w:val="auto"/>
          <w:sz w:val="20"/>
          <w:szCs w:val="20"/>
        </w:rPr>
        <w:t xml:space="preserve">Other </w:t>
      </w:r>
      <w:r w:rsidR="00C60C0D" w:rsidRPr="000A3446">
        <w:rPr>
          <w:rFonts w:ascii="Arial" w:hAnsi="Arial" w:cs="Arial"/>
          <w:color w:val="auto"/>
          <w:sz w:val="20"/>
          <w:szCs w:val="20"/>
        </w:rPr>
        <w:t>Reserves</w:t>
      </w:r>
      <w:r w:rsidR="00C60C0D">
        <w:rPr>
          <w:rFonts w:ascii="Arial" w:hAnsi="Arial" w:cs="Arial"/>
          <w:color w:val="auto"/>
          <w:sz w:val="20"/>
          <w:szCs w:val="20"/>
        </w:rPr>
        <w:t xml:space="preserve"> (Cont’d)</w:t>
      </w:r>
      <w:r w:rsidR="00C60C0D" w:rsidRPr="00375FD4">
        <w:rPr>
          <w:rFonts w:ascii="Arial" w:hAnsi="Arial" w:cs="Arial"/>
          <w:b w:val="0"/>
        </w:rPr>
        <w:tab/>
      </w:r>
    </w:p>
    <w:p w:rsidR="00990216" w:rsidRDefault="00990216" w:rsidP="00990216">
      <w:pPr>
        <w:spacing w:before="0" w:after="0"/>
        <w:jc w:val="both"/>
        <w:rPr>
          <w:rFonts w:ascii="Arial" w:hAnsi="Arial" w:cs="Arial"/>
        </w:rPr>
      </w:pPr>
    </w:p>
    <w:p w:rsidR="00C60C0D" w:rsidRPr="00375FD4" w:rsidRDefault="00C60C0D" w:rsidP="00517B49">
      <w:pPr>
        <w:spacing w:before="0" w:after="0"/>
        <w:jc w:val="both"/>
        <w:rPr>
          <w:rFonts w:ascii="Arial" w:hAnsi="Arial" w:cs="Arial"/>
          <w:b/>
        </w:rPr>
      </w:pPr>
      <w:r w:rsidRPr="00375FD4">
        <w:rPr>
          <w:rFonts w:ascii="Arial" w:hAnsi="Arial" w:cs="Arial"/>
          <w:b/>
        </w:rPr>
        <w:t>Capital Adjustment Account</w:t>
      </w:r>
      <w:r>
        <w:rPr>
          <w:rFonts w:ascii="Arial" w:hAnsi="Arial" w:cs="Arial"/>
          <w:b/>
        </w:rPr>
        <w:t xml:space="preserve"> (Cont’d)</w:t>
      </w:r>
    </w:p>
    <w:p w:rsidR="00990216" w:rsidRPr="00375FD4" w:rsidRDefault="00990216" w:rsidP="0005365F">
      <w:pPr>
        <w:spacing w:before="0" w:after="0"/>
        <w:jc w:val="both"/>
        <w:rPr>
          <w:rFonts w:ascii="Arial" w:hAnsi="Arial" w:cs="Arial"/>
          <w:b/>
        </w:rPr>
      </w:pPr>
    </w:p>
    <w:p w:rsidR="00990216" w:rsidRDefault="00935649" w:rsidP="00990216">
      <w:pPr>
        <w:spacing w:before="0" w:after="0"/>
        <w:ind w:left="709"/>
        <w:jc w:val="both"/>
        <w:rPr>
          <w:rFonts w:ascii="Arial" w:hAnsi="Arial" w:cs="Arial"/>
          <w:b/>
        </w:rPr>
      </w:pPr>
      <w:r w:rsidRPr="00935649">
        <w:rPr>
          <w:noProof/>
          <w:lang w:eastAsia="en-GB"/>
        </w:rPr>
        <w:drawing>
          <wp:inline distT="0" distB="0" distL="0" distR="0">
            <wp:extent cx="4733925" cy="2405380"/>
            <wp:effectExtent l="0" t="0" r="9525" b="0"/>
            <wp:docPr id="128" name="Picture 128" descr="detail of movement on capital adjustment account"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733925" cy="2405380"/>
                    </a:xfrm>
                    <a:prstGeom prst="rect">
                      <a:avLst/>
                    </a:prstGeom>
                    <a:noFill/>
                    <a:ln>
                      <a:noFill/>
                    </a:ln>
                  </pic:spPr>
                </pic:pic>
              </a:graphicData>
            </a:graphic>
          </wp:inline>
        </w:drawing>
      </w:r>
    </w:p>
    <w:p w:rsidR="002A2091" w:rsidRPr="00375FD4" w:rsidRDefault="002A2091" w:rsidP="00990216">
      <w:pPr>
        <w:spacing w:before="0" w:after="0"/>
        <w:ind w:left="709"/>
        <w:jc w:val="both"/>
        <w:rPr>
          <w:rFonts w:ascii="Arial" w:hAnsi="Arial" w:cs="Arial"/>
          <w:b/>
        </w:rPr>
      </w:pPr>
    </w:p>
    <w:p w:rsidR="00990216" w:rsidRPr="00375FD4" w:rsidRDefault="00990216" w:rsidP="00517B49">
      <w:pPr>
        <w:spacing w:before="0" w:after="0"/>
        <w:jc w:val="both"/>
        <w:rPr>
          <w:rFonts w:ascii="Arial" w:hAnsi="Arial" w:cs="Arial"/>
          <w:b/>
        </w:rPr>
      </w:pPr>
      <w:r w:rsidRPr="00375FD4">
        <w:rPr>
          <w:rFonts w:ascii="Arial" w:hAnsi="Arial" w:cs="Arial"/>
          <w:b/>
        </w:rPr>
        <w:t>Revaluation Reserve</w:t>
      </w:r>
    </w:p>
    <w:p w:rsidR="00990216" w:rsidRPr="00375FD4" w:rsidRDefault="00990216" w:rsidP="00517B49">
      <w:pPr>
        <w:spacing w:before="0" w:after="0"/>
        <w:jc w:val="both"/>
        <w:rPr>
          <w:rFonts w:ascii="Arial" w:hAnsi="Arial" w:cs="Arial"/>
          <w:b/>
        </w:rPr>
      </w:pPr>
    </w:p>
    <w:p w:rsidR="00990216" w:rsidRPr="00375FD4" w:rsidRDefault="00990216" w:rsidP="00517B49">
      <w:pPr>
        <w:spacing w:before="0" w:after="0"/>
        <w:rPr>
          <w:rFonts w:ascii="Arial" w:hAnsi="Arial" w:cs="Arial"/>
        </w:rPr>
      </w:pPr>
      <w:r w:rsidRPr="00375FD4">
        <w:rPr>
          <w:rFonts w:ascii="Arial" w:hAnsi="Arial" w:cs="Arial"/>
        </w:rPr>
        <w:t xml:space="preserve">The revaluation reserve </w:t>
      </w:r>
      <w:r w:rsidR="001118C4">
        <w:rPr>
          <w:rFonts w:ascii="Arial" w:hAnsi="Arial" w:cs="Arial"/>
        </w:rPr>
        <w:t>contains the gains made b</w:t>
      </w:r>
      <w:r w:rsidR="00EF352D">
        <w:rPr>
          <w:rFonts w:ascii="Arial" w:hAnsi="Arial" w:cs="Arial"/>
        </w:rPr>
        <w:t>y the c</w:t>
      </w:r>
      <w:r w:rsidRPr="00375FD4">
        <w:rPr>
          <w:rFonts w:ascii="Arial" w:hAnsi="Arial" w:cs="Arial"/>
        </w:rPr>
        <w:t>ouncil arising from increases in the value of its property, plant and equipment (and intangible assets).  The balance is reduced when assets with accumulated gains are:</w:t>
      </w:r>
    </w:p>
    <w:p w:rsidR="00990216" w:rsidRPr="00375FD4" w:rsidRDefault="00990216" w:rsidP="00517B49">
      <w:pPr>
        <w:spacing w:before="0" w:after="0"/>
        <w:rPr>
          <w:rFonts w:ascii="Arial" w:hAnsi="Arial" w:cs="Arial"/>
        </w:rPr>
      </w:pPr>
    </w:p>
    <w:p w:rsidR="00990216" w:rsidRPr="00375FD4" w:rsidRDefault="00990216" w:rsidP="00EA6E47">
      <w:pPr>
        <w:numPr>
          <w:ilvl w:val="0"/>
          <w:numId w:val="30"/>
        </w:numPr>
        <w:tabs>
          <w:tab w:val="clear" w:pos="1080"/>
          <w:tab w:val="num" w:pos="709"/>
        </w:tabs>
        <w:spacing w:before="0" w:after="0"/>
        <w:ind w:left="0" w:firstLine="0"/>
        <w:rPr>
          <w:rFonts w:ascii="Arial" w:hAnsi="Arial" w:cs="Arial"/>
        </w:rPr>
      </w:pPr>
      <w:r w:rsidRPr="00375FD4">
        <w:rPr>
          <w:rFonts w:ascii="Arial" w:hAnsi="Arial" w:cs="Arial"/>
        </w:rPr>
        <w:t>re valued downwards or impaired and the gains are lost;</w:t>
      </w:r>
    </w:p>
    <w:p w:rsidR="00990216" w:rsidRPr="00375FD4" w:rsidRDefault="00990216" w:rsidP="00EA6E47">
      <w:pPr>
        <w:numPr>
          <w:ilvl w:val="0"/>
          <w:numId w:val="30"/>
        </w:numPr>
        <w:tabs>
          <w:tab w:val="clear" w:pos="1080"/>
          <w:tab w:val="num" w:pos="709"/>
        </w:tabs>
        <w:spacing w:before="0" w:after="0"/>
        <w:ind w:left="0" w:firstLine="0"/>
        <w:rPr>
          <w:rFonts w:ascii="Arial" w:hAnsi="Arial" w:cs="Arial"/>
        </w:rPr>
      </w:pPr>
      <w:r w:rsidRPr="00375FD4">
        <w:rPr>
          <w:rFonts w:ascii="Arial" w:hAnsi="Arial" w:cs="Arial"/>
        </w:rPr>
        <w:t>used in the provision of services and the gains are consumed through depreciation; or</w:t>
      </w:r>
    </w:p>
    <w:p w:rsidR="00990216" w:rsidRPr="00375FD4" w:rsidRDefault="00990216" w:rsidP="00EA6E47">
      <w:pPr>
        <w:numPr>
          <w:ilvl w:val="0"/>
          <w:numId w:val="30"/>
        </w:numPr>
        <w:tabs>
          <w:tab w:val="clear" w:pos="1080"/>
          <w:tab w:val="num" w:pos="709"/>
        </w:tabs>
        <w:spacing w:before="0" w:after="0"/>
        <w:ind w:left="0" w:firstLine="0"/>
        <w:rPr>
          <w:rFonts w:ascii="Arial" w:hAnsi="Arial" w:cs="Arial"/>
        </w:rPr>
      </w:pPr>
      <w:r w:rsidRPr="00375FD4">
        <w:rPr>
          <w:rFonts w:ascii="Arial" w:hAnsi="Arial" w:cs="Arial"/>
        </w:rPr>
        <w:t>disposed of and the gains are realised.</w:t>
      </w:r>
    </w:p>
    <w:p w:rsidR="00990216" w:rsidRPr="00375FD4" w:rsidRDefault="00990216" w:rsidP="00517B49">
      <w:pPr>
        <w:spacing w:before="0" w:after="0"/>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rPr>
        <w:t>The reserve contains only revaluation gains accumulated since 1 April 2007, the date that the reserve was created.  Accumulated gains arising before that date are consolidated into the balance on the capital adjustment account.</w:t>
      </w:r>
    </w:p>
    <w:p w:rsidR="00990216" w:rsidRPr="00375FD4" w:rsidRDefault="00990216" w:rsidP="00990216">
      <w:pPr>
        <w:spacing w:before="0" w:after="0"/>
        <w:ind w:left="720"/>
        <w:jc w:val="both"/>
        <w:rPr>
          <w:rFonts w:ascii="Arial" w:hAnsi="Arial" w:cs="Arial"/>
          <w:b/>
        </w:rPr>
      </w:pPr>
    </w:p>
    <w:p w:rsidR="00B31481" w:rsidRDefault="0099361E" w:rsidP="00517B49">
      <w:pPr>
        <w:spacing w:before="0" w:after="0"/>
        <w:rPr>
          <w:rFonts w:ascii="Arial" w:hAnsi="Arial" w:cs="Arial"/>
          <w:b/>
        </w:rPr>
      </w:pPr>
      <w:r w:rsidRPr="0099361E">
        <w:rPr>
          <w:noProof/>
          <w:lang w:eastAsia="en-GB"/>
        </w:rPr>
        <w:drawing>
          <wp:inline distT="0" distB="0" distL="0" distR="0">
            <wp:extent cx="4690745" cy="1472565"/>
            <wp:effectExtent l="0" t="0" r="0" b="0"/>
            <wp:docPr id="142" name="Picture 142" descr="movement in revaluatino reserve"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690745" cy="1472565"/>
                    </a:xfrm>
                    <a:prstGeom prst="rect">
                      <a:avLst/>
                    </a:prstGeom>
                    <a:noFill/>
                    <a:ln>
                      <a:noFill/>
                    </a:ln>
                  </pic:spPr>
                </pic:pic>
              </a:graphicData>
            </a:graphic>
          </wp:inline>
        </w:drawing>
      </w:r>
    </w:p>
    <w:p w:rsidR="00BE7BDA" w:rsidRDefault="00BE7BDA" w:rsidP="00517B49">
      <w:pPr>
        <w:spacing w:before="0" w:after="0"/>
        <w:rPr>
          <w:rFonts w:ascii="Arial" w:hAnsi="Arial" w:cs="Arial"/>
          <w:b/>
        </w:rPr>
      </w:pPr>
    </w:p>
    <w:p w:rsidR="00990216" w:rsidRPr="00375FD4" w:rsidRDefault="00990216" w:rsidP="00517B49">
      <w:pPr>
        <w:spacing w:before="0" w:after="0"/>
        <w:rPr>
          <w:rFonts w:ascii="Arial" w:hAnsi="Arial" w:cs="Arial"/>
          <w:b/>
        </w:rPr>
      </w:pPr>
      <w:r w:rsidRPr="00375FD4">
        <w:rPr>
          <w:rFonts w:ascii="Arial" w:hAnsi="Arial" w:cs="Arial"/>
          <w:b/>
        </w:rPr>
        <w:t>Pension Reserve</w:t>
      </w:r>
    </w:p>
    <w:p w:rsidR="00990216" w:rsidRPr="00375FD4" w:rsidRDefault="00990216" w:rsidP="00517B49">
      <w:pPr>
        <w:spacing w:before="0" w:after="0"/>
        <w:rPr>
          <w:rFonts w:ascii="Arial" w:hAnsi="Arial" w:cs="Arial"/>
          <w:b/>
        </w:rPr>
      </w:pPr>
    </w:p>
    <w:p w:rsidR="00517B49" w:rsidRPr="00A4356B" w:rsidRDefault="00990216" w:rsidP="00A4356B">
      <w:pPr>
        <w:spacing w:before="0" w:after="0"/>
        <w:rPr>
          <w:rFonts w:ascii="Arial" w:hAnsi="Arial" w:cs="Arial"/>
        </w:rPr>
      </w:pPr>
      <w:r w:rsidRPr="00375FD4">
        <w:rPr>
          <w:rFonts w:ascii="Arial" w:hAnsi="Arial" w:cs="Arial"/>
        </w:rPr>
        <w:t>The pension reserve absorbs the timing differences arising from the different arrangements for accounting for post employment benefits and for funding benefits in accordance w</w:t>
      </w:r>
      <w:r w:rsidR="00EF352D">
        <w:rPr>
          <w:rFonts w:ascii="Arial" w:hAnsi="Arial" w:cs="Arial"/>
        </w:rPr>
        <w:t>ith statutory provisions.  The c</w:t>
      </w:r>
      <w:r w:rsidRPr="00375FD4">
        <w:rPr>
          <w:rFonts w:ascii="Arial" w:hAnsi="Arial" w:cs="Arial"/>
        </w:rPr>
        <w:t>ouncil accounts for post employment benefits in the comprehensive income and expenditure as the benefits are earned by employees accruing years of service, updating the liabilities recognised to reflect inflation, changing assumptions and investment returns on any resources set aside to meet the costs.  However statutory arrangements requires benefit</w:t>
      </w:r>
      <w:r w:rsidR="001118C4">
        <w:rPr>
          <w:rFonts w:ascii="Arial" w:hAnsi="Arial" w:cs="Arial"/>
        </w:rPr>
        <w:t>s earned to be fina</w:t>
      </w:r>
      <w:r w:rsidR="00EF352D">
        <w:rPr>
          <w:rFonts w:ascii="Arial" w:hAnsi="Arial" w:cs="Arial"/>
        </w:rPr>
        <w:t>nced as the c</w:t>
      </w:r>
      <w:r w:rsidRPr="00375FD4">
        <w:rPr>
          <w:rFonts w:ascii="Arial" w:hAnsi="Arial" w:cs="Arial"/>
        </w:rPr>
        <w:t>ouncil makes employer’s contributions to pension funds or eventually pays any pension for whi</w:t>
      </w:r>
      <w:r w:rsidR="00C60C0D">
        <w:rPr>
          <w:rFonts w:ascii="Arial" w:hAnsi="Arial" w:cs="Arial"/>
        </w:rPr>
        <w:t xml:space="preserve">ch it is directly responsible. </w:t>
      </w:r>
    </w:p>
    <w:p w:rsidR="0005365F" w:rsidRDefault="0005365F" w:rsidP="00C60C0D">
      <w:pPr>
        <w:spacing w:before="0" w:after="0"/>
        <w:jc w:val="both"/>
        <w:rPr>
          <w:rFonts w:ascii="Arial" w:hAnsi="Arial" w:cs="Arial"/>
          <w:b/>
          <w:sz w:val="24"/>
          <w:szCs w:val="24"/>
        </w:rPr>
      </w:pPr>
    </w:p>
    <w:p w:rsidR="00C60C0D" w:rsidRPr="00375FD4" w:rsidRDefault="00C60C0D" w:rsidP="00C60C0D">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C60C0D" w:rsidRPr="00375FD4" w:rsidRDefault="00C60C0D" w:rsidP="00C60C0D">
      <w:pPr>
        <w:rPr>
          <w:rFonts w:ascii="Arial" w:hAnsi="Arial" w:cs="Arial"/>
        </w:rPr>
      </w:pPr>
    </w:p>
    <w:p w:rsidR="00C60C0D" w:rsidRDefault="00EA05CA" w:rsidP="00C60C0D">
      <w:pPr>
        <w:pStyle w:val="Heading1"/>
        <w:spacing w:before="0"/>
        <w:rPr>
          <w:rFonts w:ascii="Arial" w:hAnsi="Arial" w:cs="Arial"/>
          <w:b w:val="0"/>
        </w:rPr>
      </w:pPr>
      <w:r>
        <w:rPr>
          <w:rFonts w:ascii="Arial" w:hAnsi="Arial" w:cs="Arial"/>
          <w:color w:val="auto"/>
          <w:sz w:val="20"/>
          <w:szCs w:val="20"/>
        </w:rPr>
        <w:t>Note 29</w:t>
      </w:r>
      <w:r w:rsidR="00C60C0D">
        <w:rPr>
          <w:rFonts w:ascii="Arial" w:hAnsi="Arial" w:cs="Arial"/>
          <w:color w:val="auto"/>
          <w:sz w:val="20"/>
          <w:szCs w:val="20"/>
        </w:rPr>
        <w:t xml:space="preserve"> – </w:t>
      </w:r>
      <w:r w:rsidR="00917F2A">
        <w:rPr>
          <w:rFonts w:ascii="Arial" w:hAnsi="Arial" w:cs="Arial"/>
          <w:color w:val="auto"/>
          <w:sz w:val="20"/>
          <w:szCs w:val="20"/>
        </w:rPr>
        <w:t xml:space="preserve">Other </w:t>
      </w:r>
      <w:r w:rsidR="00C60C0D" w:rsidRPr="000A3446">
        <w:rPr>
          <w:rFonts w:ascii="Arial" w:hAnsi="Arial" w:cs="Arial"/>
          <w:color w:val="auto"/>
          <w:sz w:val="20"/>
          <w:szCs w:val="20"/>
        </w:rPr>
        <w:t>Reserves</w:t>
      </w:r>
      <w:r w:rsidR="00C60C0D">
        <w:rPr>
          <w:rFonts w:ascii="Arial" w:hAnsi="Arial" w:cs="Arial"/>
          <w:color w:val="auto"/>
          <w:sz w:val="20"/>
          <w:szCs w:val="20"/>
        </w:rPr>
        <w:t xml:space="preserve"> (Cont’d)</w:t>
      </w:r>
      <w:r w:rsidR="00C60C0D" w:rsidRPr="00375FD4">
        <w:rPr>
          <w:rFonts w:ascii="Arial" w:hAnsi="Arial" w:cs="Arial"/>
          <w:b w:val="0"/>
        </w:rPr>
        <w:tab/>
      </w:r>
    </w:p>
    <w:p w:rsidR="00C60C0D" w:rsidRDefault="00C60C0D" w:rsidP="00B87FFC">
      <w:pPr>
        <w:spacing w:before="0" w:after="0"/>
        <w:ind w:left="720"/>
        <w:jc w:val="both"/>
        <w:rPr>
          <w:rFonts w:ascii="Arial" w:hAnsi="Arial" w:cs="Arial"/>
        </w:rPr>
      </w:pPr>
    </w:p>
    <w:p w:rsidR="00C60C0D" w:rsidRPr="00375FD4" w:rsidRDefault="00C60C0D" w:rsidP="00517B49">
      <w:pPr>
        <w:spacing w:before="0" w:after="0"/>
        <w:rPr>
          <w:rFonts w:ascii="Arial" w:hAnsi="Arial" w:cs="Arial"/>
          <w:b/>
        </w:rPr>
      </w:pPr>
      <w:r w:rsidRPr="00375FD4">
        <w:rPr>
          <w:rFonts w:ascii="Arial" w:hAnsi="Arial" w:cs="Arial"/>
          <w:b/>
        </w:rPr>
        <w:t>Pension Reserve</w:t>
      </w:r>
      <w:r>
        <w:rPr>
          <w:rFonts w:ascii="Arial" w:hAnsi="Arial" w:cs="Arial"/>
          <w:b/>
        </w:rPr>
        <w:t xml:space="preserve"> (Cont’d)</w:t>
      </w:r>
    </w:p>
    <w:p w:rsidR="00C60C0D" w:rsidRDefault="00C60C0D" w:rsidP="00C60C0D">
      <w:pPr>
        <w:spacing w:before="0" w:after="0"/>
        <w:jc w:val="both"/>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rPr>
        <w:t>The debit balance on the pensions reserve therefore shows a substantial shortfall in the benefits earned by past and current e</w:t>
      </w:r>
      <w:r w:rsidR="00EF352D">
        <w:rPr>
          <w:rFonts w:ascii="Arial" w:hAnsi="Arial" w:cs="Arial"/>
        </w:rPr>
        <w:t>mployees and the resources the c</w:t>
      </w:r>
      <w:r w:rsidRPr="00375FD4">
        <w:rPr>
          <w:rFonts w:ascii="Arial" w:hAnsi="Arial" w:cs="Arial"/>
        </w:rPr>
        <w:t xml:space="preserve">ouncil has </w:t>
      </w:r>
      <w:r w:rsidR="00386A2D" w:rsidRPr="00375FD4">
        <w:rPr>
          <w:rFonts w:ascii="Arial" w:hAnsi="Arial" w:cs="Arial"/>
        </w:rPr>
        <w:t>set aside</w:t>
      </w:r>
      <w:r w:rsidRPr="00375FD4">
        <w:rPr>
          <w:rFonts w:ascii="Arial" w:hAnsi="Arial" w:cs="Arial"/>
        </w:rPr>
        <w:t xml:space="preserve"> to meet them.  The statutory arrangements will ensure that funding will have been set aside by the time </w:t>
      </w:r>
      <w:r w:rsidR="00B87FFC" w:rsidRPr="00375FD4">
        <w:rPr>
          <w:rFonts w:ascii="Arial" w:hAnsi="Arial" w:cs="Arial"/>
        </w:rPr>
        <w:t>the benefits come to be paid.</w:t>
      </w:r>
    </w:p>
    <w:p w:rsidR="00B87FFC" w:rsidRPr="00375FD4" w:rsidRDefault="00B87FFC" w:rsidP="00B87FFC">
      <w:pPr>
        <w:spacing w:before="0" w:after="0"/>
        <w:ind w:left="720"/>
        <w:jc w:val="both"/>
        <w:rPr>
          <w:rFonts w:ascii="Arial" w:hAnsi="Arial" w:cs="Arial"/>
        </w:rPr>
      </w:pPr>
    </w:p>
    <w:p w:rsidR="00990216" w:rsidRPr="00375FD4" w:rsidRDefault="00035177" w:rsidP="00B87FFC">
      <w:pPr>
        <w:spacing w:before="0" w:after="0"/>
        <w:ind w:left="720"/>
        <w:jc w:val="both"/>
        <w:rPr>
          <w:rFonts w:ascii="Arial" w:hAnsi="Arial" w:cs="Arial"/>
          <w:b/>
        </w:rPr>
      </w:pPr>
      <w:r w:rsidRPr="00035177">
        <w:rPr>
          <w:noProof/>
          <w:lang w:eastAsia="en-GB"/>
        </w:rPr>
        <w:drawing>
          <wp:inline distT="0" distB="0" distL="0" distR="0">
            <wp:extent cx="4606925" cy="1139190"/>
            <wp:effectExtent l="0" t="0" r="3175" b="3810"/>
            <wp:docPr id="151" name="Picture 151" descr="movement in pension reserve"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606925" cy="1139190"/>
                    </a:xfrm>
                    <a:prstGeom prst="rect">
                      <a:avLst/>
                    </a:prstGeom>
                    <a:noFill/>
                    <a:ln>
                      <a:noFill/>
                    </a:ln>
                  </pic:spPr>
                </pic:pic>
              </a:graphicData>
            </a:graphic>
          </wp:inline>
        </w:drawing>
      </w:r>
    </w:p>
    <w:p w:rsidR="00990216" w:rsidRPr="00375FD4" w:rsidRDefault="00990216" w:rsidP="00990216">
      <w:pPr>
        <w:spacing w:before="0" w:after="0"/>
        <w:ind w:firstLine="720"/>
        <w:rPr>
          <w:rFonts w:ascii="Arial" w:hAnsi="Arial" w:cs="Arial"/>
          <w:b/>
        </w:rPr>
      </w:pPr>
    </w:p>
    <w:p w:rsidR="00990216" w:rsidRPr="00375FD4" w:rsidRDefault="00990216" w:rsidP="00517B49">
      <w:pPr>
        <w:spacing w:before="0" w:after="0"/>
        <w:rPr>
          <w:rFonts w:ascii="Arial" w:hAnsi="Arial" w:cs="Arial"/>
          <w:b/>
        </w:rPr>
      </w:pPr>
      <w:r w:rsidRPr="00375FD4">
        <w:rPr>
          <w:rFonts w:ascii="Arial" w:hAnsi="Arial" w:cs="Arial"/>
          <w:b/>
        </w:rPr>
        <w:t>Employee Statutory Adjustment Account</w:t>
      </w:r>
    </w:p>
    <w:p w:rsidR="00990216" w:rsidRPr="00375FD4" w:rsidRDefault="00990216" w:rsidP="00517B49">
      <w:pPr>
        <w:spacing w:before="0" w:after="0"/>
        <w:rPr>
          <w:rFonts w:ascii="Arial" w:hAnsi="Arial" w:cs="Arial"/>
          <w:b/>
        </w:rPr>
      </w:pPr>
    </w:p>
    <w:p w:rsidR="00990216" w:rsidRPr="00375FD4" w:rsidRDefault="00990216" w:rsidP="00517B49">
      <w:pPr>
        <w:spacing w:before="0" w:after="0"/>
        <w:rPr>
          <w:rFonts w:ascii="Arial" w:hAnsi="Arial" w:cs="Arial"/>
        </w:rPr>
      </w:pPr>
      <w:r w:rsidRPr="00375FD4">
        <w:rPr>
          <w:rFonts w:ascii="Arial" w:hAnsi="Arial" w:cs="Arial"/>
        </w:rPr>
        <w:t>The Employee Statutory Adjustment Account absorbs the differences that would otherwise arise on the general fund balance from accruing for compensated absences earned but not taken in the year, e.g. annual leave entitlement carried forward at 31 March.  Statutory arrangements require that the impact on the general fund balance is neutralised by transfers to or from this account.</w:t>
      </w:r>
    </w:p>
    <w:p w:rsidR="00990216" w:rsidRPr="00375FD4" w:rsidRDefault="00990216" w:rsidP="00990216">
      <w:pPr>
        <w:spacing w:before="0" w:after="0"/>
        <w:ind w:left="720"/>
        <w:jc w:val="both"/>
        <w:rPr>
          <w:rFonts w:ascii="Arial" w:hAnsi="Arial" w:cs="Arial"/>
        </w:rPr>
      </w:pPr>
    </w:p>
    <w:p w:rsidR="004E5FB5" w:rsidRDefault="00035177" w:rsidP="00990216">
      <w:pPr>
        <w:spacing w:before="0" w:after="0"/>
        <w:ind w:firstLine="720"/>
        <w:rPr>
          <w:rFonts w:ascii="Arial" w:hAnsi="Arial" w:cs="Arial"/>
          <w:b/>
        </w:rPr>
      </w:pPr>
      <w:r w:rsidRPr="00035177">
        <w:rPr>
          <w:noProof/>
          <w:lang w:eastAsia="en-GB"/>
        </w:rPr>
        <w:drawing>
          <wp:inline distT="0" distB="0" distL="0" distR="0">
            <wp:extent cx="4558030" cy="815975"/>
            <wp:effectExtent l="0" t="0" r="0" b="3175"/>
            <wp:docPr id="152" name="Picture 152" descr="movement in employee statutory adjustment account"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558030" cy="815975"/>
                    </a:xfrm>
                    <a:prstGeom prst="rect">
                      <a:avLst/>
                    </a:prstGeom>
                    <a:noFill/>
                    <a:ln>
                      <a:noFill/>
                    </a:ln>
                  </pic:spPr>
                </pic:pic>
              </a:graphicData>
            </a:graphic>
          </wp:inline>
        </w:drawing>
      </w:r>
    </w:p>
    <w:p w:rsidR="00CC4B2C" w:rsidRDefault="00CC4B2C" w:rsidP="00990216">
      <w:pPr>
        <w:spacing w:before="0" w:after="0"/>
        <w:ind w:firstLine="720"/>
        <w:rPr>
          <w:rFonts w:ascii="Arial" w:hAnsi="Arial" w:cs="Arial"/>
          <w:b/>
        </w:rPr>
      </w:pPr>
    </w:p>
    <w:p w:rsidR="00990216" w:rsidRPr="00375FD4" w:rsidRDefault="00990216" w:rsidP="00517B49">
      <w:pPr>
        <w:spacing w:before="0" w:after="0"/>
        <w:rPr>
          <w:rFonts w:ascii="Arial" w:hAnsi="Arial" w:cs="Arial"/>
          <w:b/>
        </w:rPr>
      </w:pPr>
      <w:r w:rsidRPr="00375FD4">
        <w:rPr>
          <w:rFonts w:ascii="Arial" w:hAnsi="Arial" w:cs="Arial"/>
          <w:b/>
        </w:rPr>
        <w:t>Financial Instruments Adjustment Account</w:t>
      </w:r>
    </w:p>
    <w:p w:rsidR="00990216" w:rsidRPr="00375FD4" w:rsidRDefault="00990216" w:rsidP="00990216">
      <w:pPr>
        <w:spacing w:before="0" w:after="0"/>
        <w:rPr>
          <w:rFonts w:ascii="Arial" w:hAnsi="Arial" w:cs="Arial"/>
        </w:rPr>
      </w:pPr>
    </w:p>
    <w:p w:rsidR="00990216" w:rsidRPr="00375FD4" w:rsidRDefault="00990216" w:rsidP="00517B49">
      <w:pPr>
        <w:spacing w:before="0" w:after="0"/>
        <w:rPr>
          <w:rFonts w:ascii="Arial" w:hAnsi="Arial" w:cs="Arial"/>
        </w:rPr>
      </w:pPr>
      <w:r w:rsidRPr="00375FD4">
        <w:rPr>
          <w:rFonts w:ascii="Arial" w:hAnsi="Arial" w:cs="Arial"/>
        </w:rPr>
        <w:t>The financial instruments adjustment account absorbs the timing difference arising from the different arrangements for accounting for income and expenses relating to certain financial instruments and for bearing losses or benefiting from ga</w:t>
      </w:r>
      <w:r w:rsidR="007F0D1B">
        <w:rPr>
          <w:rFonts w:ascii="Arial" w:hAnsi="Arial" w:cs="Arial"/>
        </w:rPr>
        <w:t xml:space="preserve">ins per statutory provisions. The </w:t>
      </w:r>
      <w:r w:rsidR="00EF352D">
        <w:rPr>
          <w:rFonts w:ascii="Arial" w:hAnsi="Arial" w:cs="Arial"/>
        </w:rPr>
        <w:t>c</w:t>
      </w:r>
      <w:r w:rsidRPr="00375FD4">
        <w:rPr>
          <w:rFonts w:ascii="Arial" w:hAnsi="Arial" w:cs="Arial"/>
        </w:rPr>
        <w:t>ouncil uses the account to manage premiums paid on the early redemption of loans.  Premiums are debited to the comprehensive income and expenditure statement when they are incurred, but reversed out of the general fund balance to the account in the m</w:t>
      </w:r>
      <w:r w:rsidR="007F0D1B">
        <w:rPr>
          <w:rFonts w:ascii="Arial" w:hAnsi="Arial" w:cs="Arial"/>
        </w:rPr>
        <w:t xml:space="preserve">ovement in reserves statement. </w:t>
      </w:r>
      <w:r w:rsidRPr="00375FD4">
        <w:rPr>
          <w:rFonts w:ascii="Arial" w:hAnsi="Arial" w:cs="Arial"/>
        </w:rPr>
        <w:t>Over time, the expense is posted back to the general fund balance in accordance with statutory arrangements for spreading the burden on co</w:t>
      </w:r>
      <w:r w:rsidR="00EF352D">
        <w:rPr>
          <w:rFonts w:ascii="Arial" w:hAnsi="Arial" w:cs="Arial"/>
        </w:rPr>
        <w:t>uncil tax. In the c</w:t>
      </w:r>
      <w:r w:rsidRPr="00375FD4">
        <w:rPr>
          <w:rFonts w:ascii="Arial" w:hAnsi="Arial" w:cs="Arial"/>
        </w:rPr>
        <w:t xml:space="preserve">ouncil’s case, this period is the unexpired term that was outstanding on the </w:t>
      </w:r>
      <w:r w:rsidR="007F0D1B">
        <w:rPr>
          <w:rFonts w:ascii="Arial" w:hAnsi="Arial" w:cs="Arial"/>
        </w:rPr>
        <w:t xml:space="preserve">loans when they were redeemed. </w:t>
      </w:r>
      <w:r w:rsidRPr="00375FD4">
        <w:rPr>
          <w:rFonts w:ascii="Arial" w:hAnsi="Arial" w:cs="Arial"/>
        </w:rPr>
        <w:t>As a result, the balance on</w:t>
      </w:r>
      <w:r w:rsidR="00DC0A4C">
        <w:rPr>
          <w:rFonts w:ascii="Arial" w:hAnsi="Arial" w:cs="Arial"/>
        </w:rPr>
        <w:t xml:space="preserve"> the account as at 31 March 2020</w:t>
      </w:r>
      <w:r w:rsidRPr="00375FD4">
        <w:rPr>
          <w:rFonts w:ascii="Arial" w:hAnsi="Arial" w:cs="Arial"/>
        </w:rPr>
        <w:t xml:space="preserve"> will be charged </w:t>
      </w:r>
      <w:r w:rsidRPr="00E505C1">
        <w:rPr>
          <w:rFonts w:ascii="Arial" w:hAnsi="Arial" w:cs="Arial"/>
        </w:rPr>
        <w:t xml:space="preserve">to the General Fund </w:t>
      </w:r>
      <w:r w:rsidR="00C2137A" w:rsidRPr="00E505C1">
        <w:rPr>
          <w:rFonts w:ascii="Arial" w:hAnsi="Arial" w:cs="Arial"/>
        </w:rPr>
        <w:t>over th</w:t>
      </w:r>
      <w:r w:rsidR="00DC0A4C">
        <w:rPr>
          <w:rFonts w:ascii="Arial" w:hAnsi="Arial" w:cs="Arial"/>
        </w:rPr>
        <w:t xml:space="preserve">e next </w:t>
      </w:r>
      <w:r w:rsidR="00DC0A4C" w:rsidRPr="00DC0A4C">
        <w:rPr>
          <w:rFonts w:ascii="Arial" w:hAnsi="Arial" w:cs="Arial"/>
        </w:rPr>
        <w:t>thirty-eight</w:t>
      </w:r>
      <w:r w:rsidR="00C2137A" w:rsidRPr="00E505C1">
        <w:rPr>
          <w:rFonts w:ascii="Arial" w:hAnsi="Arial" w:cs="Arial"/>
        </w:rPr>
        <w:t xml:space="preserve"> years.</w:t>
      </w:r>
    </w:p>
    <w:p w:rsidR="00C2137A" w:rsidRPr="00375FD4" w:rsidRDefault="00C2137A" w:rsidP="00C2137A">
      <w:pPr>
        <w:spacing w:before="0" w:after="0"/>
        <w:ind w:left="720"/>
        <w:jc w:val="both"/>
        <w:rPr>
          <w:rFonts w:ascii="Arial" w:hAnsi="Arial" w:cs="Arial"/>
        </w:rPr>
      </w:pPr>
    </w:p>
    <w:p w:rsidR="008657CA" w:rsidRDefault="00EA05CA" w:rsidP="00C2137A">
      <w:pPr>
        <w:spacing w:before="0" w:after="0"/>
        <w:ind w:left="720"/>
        <w:jc w:val="both"/>
        <w:rPr>
          <w:rFonts w:ascii="Arial" w:hAnsi="Arial" w:cs="Arial"/>
        </w:rPr>
      </w:pPr>
      <w:r w:rsidRPr="00EA05CA">
        <w:rPr>
          <w:noProof/>
          <w:lang w:eastAsia="en-GB"/>
        </w:rPr>
        <w:drawing>
          <wp:inline distT="0" distB="0" distL="0" distR="0">
            <wp:extent cx="4643120" cy="1139825"/>
            <wp:effectExtent l="0" t="0" r="5080" b="3175"/>
            <wp:docPr id="242" name="Picture 242" descr="movement in financial instruments adjustment account" title="note 29 other res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643120" cy="1139825"/>
                    </a:xfrm>
                    <a:prstGeom prst="rect">
                      <a:avLst/>
                    </a:prstGeom>
                    <a:noFill/>
                    <a:ln>
                      <a:noFill/>
                    </a:ln>
                  </pic:spPr>
                </pic:pic>
              </a:graphicData>
            </a:graphic>
          </wp:inline>
        </w:drawing>
      </w:r>
    </w:p>
    <w:p w:rsidR="004E5FB5" w:rsidRDefault="004E5FB5" w:rsidP="00C2137A">
      <w:pPr>
        <w:spacing w:before="0" w:after="0"/>
        <w:ind w:left="720"/>
        <w:jc w:val="both"/>
        <w:rPr>
          <w:rFonts w:ascii="Arial" w:hAnsi="Arial" w:cs="Arial"/>
        </w:rPr>
      </w:pPr>
    </w:p>
    <w:p w:rsidR="00754072" w:rsidRPr="00375FD4" w:rsidRDefault="00754072" w:rsidP="00C2137A">
      <w:pPr>
        <w:spacing w:before="0" w:after="0"/>
        <w:ind w:left="720"/>
        <w:jc w:val="both"/>
        <w:rPr>
          <w:rFonts w:ascii="Arial" w:hAnsi="Arial" w:cs="Arial"/>
        </w:rPr>
      </w:pPr>
    </w:p>
    <w:p w:rsidR="00C60C0D" w:rsidRDefault="00C60C0D" w:rsidP="00C60C0D">
      <w:pPr>
        <w:spacing w:before="0" w:after="0"/>
        <w:jc w:val="both"/>
        <w:rPr>
          <w:rFonts w:ascii="Arial" w:hAnsi="Arial" w:cs="Arial"/>
          <w:b/>
          <w:sz w:val="24"/>
          <w:szCs w:val="24"/>
        </w:rPr>
      </w:pPr>
    </w:p>
    <w:p w:rsidR="00DC0A4C" w:rsidRDefault="00DC0A4C" w:rsidP="00C60C0D">
      <w:pPr>
        <w:spacing w:before="0" w:after="0"/>
        <w:jc w:val="both"/>
        <w:rPr>
          <w:rFonts w:ascii="Arial" w:hAnsi="Arial" w:cs="Arial"/>
          <w:b/>
          <w:sz w:val="24"/>
          <w:szCs w:val="24"/>
        </w:rPr>
      </w:pPr>
    </w:p>
    <w:p w:rsidR="00DC0A4C" w:rsidRDefault="00DC0A4C" w:rsidP="00C60C0D">
      <w:pPr>
        <w:spacing w:before="0" w:after="0"/>
        <w:jc w:val="both"/>
        <w:rPr>
          <w:rFonts w:ascii="Arial" w:hAnsi="Arial" w:cs="Arial"/>
          <w:b/>
          <w:sz w:val="24"/>
          <w:szCs w:val="24"/>
        </w:rPr>
      </w:pPr>
    </w:p>
    <w:p w:rsidR="00C60C0D" w:rsidRPr="00375FD4" w:rsidRDefault="00C60C0D" w:rsidP="00C60C0D">
      <w:pPr>
        <w:spacing w:before="0" w:after="0"/>
        <w:jc w:val="both"/>
        <w:rPr>
          <w:rFonts w:ascii="Arial" w:hAnsi="Arial" w:cs="Arial"/>
          <w:b/>
          <w:sz w:val="24"/>
          <w:szCs w:val="24"/>
        </w:rPr>
      </w:pPr>
      <w:r w:rsidRPr="00375FD4">
        <w:rPr>
          <w:rFonts w:ascii="Arial" w:hAnsi="Arial" w:cs="Arial"/>
          <w:b/>
          <w:sz w:val="24"/>
          <w:szCs w:val="24"/>
        </w:rPr>
        <w:lastRenderedPageBreak/>
        <w:t>Notes to the Financial Statements (Cont’d)</w:t>
      </w:r>
    </w:p>
    <w:p w:rsidR="00C60C0D" w:rsidRPr="00375FD4" w:rsidRDefault="00C60C0D" w:rsidP="00C60C0D">
      <w:pPr>
        <w:spacing w:before="0" w:after="0"/>
        <w:jc w:val="both"/>
        <w:rPr>
          <w:rFonts w:ascii="Arial" w:hAnsi="Arial" w:cs="Arial"/>
          <w:b/>
        </w:rPr>
      </w:pPr>
    </w:p>
    <w:p w:rsidR="00990216" w:rsidRPr="000A3446" w:rsidRDefault="00EA05CA" w:rsidP="00C2137A">
      <w:pPr>
        <w:pStyle w:val="Heading1"/>
        <w:spacing w:before="0"/>
        <w:rPr>
          <w:rFonts w:ascii="Arial" w:hAnsi="Arial" w:cs="Arial"/>
          <w:color w:val="auto"/>
          <w:sz w:val="20"/>
          <w:szCs w:val="20"/>
        </w:rPr>
      </w:pPr>
      <w:r>
        <w:rPr>
          <w:rFonts w:ascii="Arial" w:hAnsi="Arial" w:cs="Arial"/>
          <w:color w:val="auto"/>
          <w:sz w:val="20"/>
          <w:szCs w:val="20"/>
        </w:rPr>
        <w:t>Note 30</w:t>
      </w:r>
      <w:r w:rsidR="00990216" w:rsidRPr="004E5FB5">
        <w:rPr>
          <w:rFonts w:ascii="Arial" w:hAnsi="Arial" w:cs="Arial"/>
          <w:color w:val="auto"/>
          <w:sz w:val="20"/>
          <w:szCs w:val="20"/>
        </w:rPr>
        <w:t xml:space="preserve"> – Contingent Assets or Liabilities</w:t>
      </w:r>
      <w:r w:rsidR="00990216" w:rsidRPr="000A3446">
        <w:rPr>
          <w:rFonts w:ascii="Arial" w:hAnsi="Arial" w:cs="Arial"/>
          <w:color w:val="auto"/>
          <w:sz w:val="20"/>
          <w:szCs w:val="20"/>
        </w:rPr>
        <w:t xml:space="preserve"> </w:t>
      </w:r>
    </w:p>
    <w:p w:rsidR="004E5FB5" w:rsidRPr="004E5FB5" w:rsidRDefault="004E5FB5" w:rsidP="004E5FB5">
      <w:pPr>
        <w:spacing w:before="0" w:after="0"/>
        <w:jc w:val="both"/>
        <w:rPr>
          <w:rFonts w:ascii="Arial" w:hAnsi="Arial" w:cs="Arial"/>
          <w:b/>
          <w:bCs/>
        </w:rPr>
      </w:pPr>
    </w:p>
    <w:p w:rsidR="004E5FB5" w:rsidRPr="000A5EDE" w:rsidRDefault="004E5FB5" w:rsidP="00517B49">
      <w:pPr>
        <w:pStyle w:val="ListParagraph"/>
        <w:spacing w:before="0" w:after="0"/>
        <w:ind w:left="0"/>
        <w:rPr>
          <w:rFonts w:ascii="Arial" w:hAnsi="Arial" w:cs="Arial"/>
        </w:rPr>
      </w:pPr>
      <w:r w:rsidRPr="000A5EDE">
        <w:rPr>
          <w:rFonts w:ascii="Arial" w:hAnsi="Arial" w:cs="Arial"/>
        </w:rPr>
        <w:t xml:space="preserve">A contingent asset arises where an event </w:t>
      </w:r>
      <w:r w:rsidR="00EF352D" w:rsidRPr="000A5EDE">
        <w:rPr>
          <w:rFonts w:ascii="Arial" w:hAnsi="Arial" w:cs="Arial"/>
        </w:rPr>
        <w:t>has taken place that gives the c</w:t>
      </w:r>
      <w:r w:rsidRPr="000A5EDE">
        <w:rPr>
          <w:rFonts w:ascii="Arial" w:hAnsi="Arial" w:cs="Arial"/>
        </w:rPr>
        <w:t>ouncil a possible asset whose existent will only be confirmed by the occurrence or otherwise of uncertain future events not wh</w:t>
      </w:r>
      <w:r w:rsidR="00EF352D" w:rsidRPr="000A5EDE">
        <w:rPr>
          <w:rFonts w:ascii="Arial" w:hAnsi="Arial" w:cs="Arial"/>
        </w:rPr>
        <w:t>olly within the control of the c</w:t>
      </w:r>
      <w:r w:rsidRPr="000A5EDE">
        <w:rPr>
          <w:rFonts w:ascii="Arial" w:hAnsi="Arial" w:cs="Arial"/>
        </w:rPr>
        <w:t>ouncil. Contingent assets are not recognised in the Balance Sheet but disclosed in a note to the accounts where it is probable that there will be an inflow of economic benefits.</w:t>
      </w:r>
    </w:p>
    <w:p w:rsidR="004E5FB5" w:rsidRPr="000A5EDE" w:rsidRDefault="004E5FB5" w:rsidP="00517B49">
      <w:pPr>
        <w:pStyle w:val="ListParagraph"/>
        <w:spacing w:before="0" w:after="0"/>
        <w:ind w:left="0"/>
        <w:rPr>
          <w:rFonts w:ascii="Arial" w:hAnsi="Arial" w:cs="Arial"/>
          <w:b/>
          <w:bCs/>
        </w:rPr>
      </w:pPr>
    </w:p>
    <w:p w:rsidR="004E5FB5" w:rsidRPr="000A5EDE" w:rsidRDefault="004E5FB5" w:rsidP="00517B49">
      <w:pPr>
        <w:pStyle w:val="ListParagraph"/>
        <w:spacing w:before="0" w:after="0"/>
        <w:ind w:left="0"/>
        <w:rPr>
          <w:rFonts w:ascii="Arial" w:hAnsi="Arial" w:cs="Arial"/>
        </w:rPr>
      </w:pPr>
      <w:r w:rsidRPr="000A5EDE">
        <w:rPr>
          <w:rFonts w:ascii="Arial" w:hAnsi="Arial" w:cs="Arial"/>
        </w:rPr>
        <w:t xml:space="preserve">A contingent liability arises where an event </w:t>
      </w:r>
      <w:r w:rsidR="00EF352D" w:rsidRPr="000A5EDE">
        <w:rPr>
          <w:rFonts w:ascii="Arial" w:hAnsi="Arial" w:cs="Arial"/>
        </w:rPr>
        <w:t>has taken place that gives the c</w:t>
      </w:r>
      <w:r w:rsidRPr="000A5EDE">
        <w:rPr>
          <w:rFonts w:ascii="Arial" w:hAnsi="Arial" w:cs="Arial"/>
        </w:rPr>
        <w:t>ouncil a possible obligation whose existence will only be confirmed by the occurrence or otherwise of uncertain future events, not wh</w:t>
      </w:r>
      <w:r w:rsidR="00EF352D" w:rsidRPr="000A5EDE">
        <w:rPr>
          <w:rFonts w:ascii="Arial" w:hAnsi="Arial" w:cs="Arial"/>
        </w:rPr>
        <w:t>olly within the control of the c</w:t>
      </w:r>
      <w:r w:rsidRPr="000A5EDE">
        <w:rPr>
          <w:rFonts w:ascii="Arial" w:hAnsi="Arial" w:cs="Arial"/>
        </w:rPr>
        <w:t xml:space="preserve">ouncil. Contingent liabilities also arise in circumstances where a provision would otherwise be made but either it is not probable that an outflow of resources will be required or the amount of the obligation cannot be measured reliably. </w:t>
      </w:r>
      <w:r w:rsidR="007F0D1B" w:rsidRPr="000A5EDE">
        <w:rPr>
          <w:rFonts w:ascii="Arial" w:hAnsi="Arial" w:cs="Arial"/>
        </w:rPr>
        <w:t xml:space="preserve">Contingent </w:t>
      </w:r>
      <w:r w:rsidRPr="000A5EDE">
        <w:rPr>
          <w:rFonts w:ascii="Arial" w:hAnsi="Arial" w:cs="Arial"/>
        </w:rPr>
        <w:t>liabilities are not recognised in the Balance Sheet but are disclosed as a note to the accounts, unless the possibility of an outflow of resources embodying economic benefits or service potential is remote.</w:t>
      </w:r>
    </w:p>
    <w:p w:rsidR="004E5FB5" w:rsidRPr="000A5EDE" w:rsidRDefault="004E5FB5" w:rsidP="00517B49">
      <w:pPr>
        <w:spacing w:before="0" w:after="0"/>
        <w:jc w:val="both"/>
        <w:rPr>
          <w:rFonts w:ascii="Arial" w:hAnsi="Arial" w:cs="Arial"/>
          <w:b/>
        </w:rPr>
      </w:pPr>
    </w:p>
    <w:p w:rsidR="00BB1A49" w:rsidRPr="000A5EDE" w:rsidRDefault="00BB1A49" w:rsidP="00BB1A49">
      <w:pPr>
        <w:rPr>
          <w:rFonts w:ascii="Arial" w:hAnsi="Arial" w:cs="Arial"/>
        </w:rPr>
      </w:pPr>
      <w:r w:rsidRPr="000A5EDE">
        <w:rPr>
          <w:rFonts w:ascii="Arial" w:hAnsi="Arial" w:cs="Arial"/>
        </w:rPr>
        <w:t xml:space="preserve">The council has a residual contingent liability relating to those workers who have yet to settle their pay protection claims. </w:t>
      </w:r>
    </w:p>
    <w:p w:rsidR="00BB1A49" w:rsidRPr="000A5EDE" w:rsidRDefault="00BB1A49" w:rsidP="00BB1A49">
      <w:pPr>
        <w:ind w:left="720" w:hanging="720"/>
        <w:rPr>
          <w:rFonts w:ascii="Arial" w:hAnsi="Arial" w:cs="Arial"/>
        </w:rPr>
      </w:pPr>
    </w:p>
    <w:p w:rsidR="00BB1A49" w:rsidRPr="000A5EDE" w:rsidRDefault="00EE32D7" w:rsidP="00BB1A49">
      <w:pPr>
        <w:rPr>
          <w:rFonts w:ascii="Arial" w:hAnsi="Arial" w:cs="Arial"/>
        </w:rPr>
      </w:pPr>
      <w:r>
        <w:rPr>
          <w:rFonts w:ascii="Arial" w:hAnsi="Arial" w:cs="Arial"/>
        </w:rPr>
        <w:t>T</w:t>
      </w:r>
      <w:r w:rsidR="00BB1A49" w:rsidRPr="000A5EDE">
        <w:rPr>
          <w:rFonts w:ascii="Arial" w:hAnsi="Arial" w:cs="Arial"/>
        </w:rPr>
        <w:t>he council has a potential contingent liability relating to paid holiday entitlement. UK employers are bound by employment law in relation the definition of paid holiday entitlement. Case law has clarified that all pay elements intrinsically linked to the performance of a contract of employment should be included in the calculation of holiday pay, including payments made for additional working. The council adjusted the method of calculation in August 2014 (backdated in line with the leave year to April) and has included on-going costs within the long term financial strategy. The legal position remains subject to challenge however, given the action taken, any potential claim by employees for any retrospective payments is likely to be minimal. As a result, whilst recognising there may be such a requirement, it is not possible to quantify such.</w:t>
      </w:r>
    </w:p>
    <w:p w:rsidR="00EE32D7" w:rsidRDefault="00EE32D7" w:rsidP="00517B49">
      <w:pPr>
        <w:spacing w:before="0" w:after="0"/>
        <w:rPr>
          <w:rFonts w:ascii="Arial" w:hAnsi="Arial" w:cs="Arial"/>
        </w:rPr>
      </w:pPr>
    </w:p>
    <w:p w:rsidR="00EE32D7" w:rsidRPr="0041042B" w:rsidRDefault="00EE32D7" w:rsidP="00EE32D7">
      <w:pPr>
        <w:spacing w:before="0" w:after="0"/>
        <w:rPr>
          <w:rFonts w:ascii="Arial" w:hAnsi="Arial" w:cs="Arial"/>
        </w:rPr>
      </w:pPr>
      <w:r w:rsidRPr="0041042B">
        <w:rPr>
          <w:rFonts w:ascii="Arial" w:hAnsi="Arial" w:cs="Arial"/>
        </w:rPr>
        <w:t>The Limitation (Childhood Abuse) (Scotland) Act 2017 Section 1 removes the limitation period for actions of damages in respect of personal injuries resulting from childhood abuse. At this stage the extent of any potential liability is unknown.</w:t>
      </w:r>
    </w:p>
    <w:p w:rsidR="00960159" w:rsidRPr="0041042B" w:rsidRDefault="00960159" w:rsidP="00EE32D7">
      <w:pPr>
        <w:spacing w:before="0" w:after="0"/>
        <w:rPr>
          <w:rFonts w:ascii="Arial" w:hAnsi="Arial" w:cs="Arial"/>
        </w:rPr>
      </w:pPr>
    </w:p>
    <w:p w:rsidR="00960159" w:rsidRPr="0041042B" w:rsidRDefault="00960159" w:rsidP="00960159">
      <w:pPr>
        <w:spacing w:before="0" w:after="0"/>
        <w:rPr>
          <w:rFonts w:ascii="Arial" w:hAnsi="Arial" w:cs="Arial"/>
        </w:rPr>
      </w:pPr>
      <w:r w:rsidRPr="0041042B">
        <w:rPr>
          <w:rFonts w:ascii="Arial" w:hAnsi="Arial" w:cs="Arial"/>
        </w:rPr>
        <w:t>The Council agreed on 24 June 2020 to provide West Dunbartonshire Leisure Trust with a letter of comfort to confirm the council’s commitment to the ongoing financial sustainability of the Trust, on a joint planning approach in relation to future service provision through the recovery and beyond. At this stage the extent or likelihood of any potential liability is unknown.</w:t>
      </w:r>
    </w:p>
    <w:p w:rsidR="00960159" w:rsidRPr="0041042B" w:rsidRDefault="00960159" w:rsidP="00960159">
      <w:pPr>
        <w:spacing w:before="0" w:after="0"/>
        <w:rPr>
          <w:rFonts w:ascii="Arial" w:hAnsi="Arial" w:cs="Arial"/>
        </w:rPr>
      </w:pPr>
    </w:p>
    <w:p w:rsidR="00960159" w:rsidRPr="0041042B" w:rsidRDefault="00960159" w:rsidP="00960159">
      <w:pPr>
        <w:jc w:val="both"/>
        <w:rPr>
          <w:rFonts w:ascii="Arial" w:hAnsi="Arial" w:cs="Arial"/>
        </w:rPr>
      </w:pPr>
      <w:r w:rsidRPr="0041042B">
        <w:rPr>
          <w:rFonts w:ascii="Arial" w:hAnsi="Arial" w:cs="Arial"/>
        </w:rPr>
        <w:t>The Council has provided the Clydebank Property Company’s external auditors with an acknowledgement that the company’s forecast projections indicate that continued availability of funding from the council may be required in order to enable the Company to continue to meet its liabilities as they fall due, which would will be delivered through the provision of loan funding if and when required. At this stage the extent or likelihood of any potential support is unknown.</w:t>
      </w:r>
    </w:p>
    <w:p w:rsidR="00B12F18" w:rsidRPr="0041042B" w:rsidRDefault="00B12F18" w:rsidP="00EE32D7">
      <w:pPr>
        <w:spacing w:before="0" w:after="0"/>
        <w:rPr>
          <w:rFonts w:ascii="Arial" w:hAnsi="Arial" w:cs="Arial"/>
        </w:rPr>
      </w:pPr>
    </w:p>
    <w:p w:rsidR="00B12F18" w:rsidRPr="00B12F18" w:rsidRDefault="00C1619A" w:rsidP="00B12F18">
      <w:pPr>
        <w:spacing w:before="0" w:after="0"/>
        <w:rPr>
          <w:rFonts w:ascii="Arial" w:hAnsi="Arial" w:cs="Arial"/>
        </w:rPr>
      </w:pPr>
      <w:r w:rsidRPr="0041042B">
        <w:rPr>
          <w:rFonts w:ascii="Arial" w:hAnsi="Arial" w:cs="Arial"/>
        </w:rPr>
        <w:t xml:space="preserve">A recent legal ruling in relation to the Goodwin equal treatment case in the Teachers’ Pension Scheme may have an impact across other public service </w:t>
      </w:r>
      <w:r w:rsidR="009B533E" w:rsidRPr="0041042B">
        <w:rPr>
          <w:rFonts w:ascii="Arial" w:hAnsi="Arial" w:cs="Arial"/>
        </w:rPr>
        <w:t xml:space="preserve">pension </w:t>
      </w:r>
      <w:r w:rsidRPr="0041042B">
        <w:rPr>
          <w:rFonts w:ascii="Arial" w:hAnsi="Arial" w:cs="Arial"/>
        </w:rPr>
        <w:t>schemes. Regulatory amendments will now need to be considered to extend</w:t>
      </w:r>
      <w:r w:rsidR="009B533E" w:rsidRPr="0041042B">
        <w:rPr>
          <w:rFonts w:ascii="Arial" w:hAnsi="Arial" w:cs="Arial"/>
        </w:rPr>
        <w:t xml:space="preserve"> the</w:t>
      </w:r>
      <w:r w:rsidRPr="0041042B">
        <w:rPr>
          <w:rFonts w:ascii="Arial" w:hAnsi="Arial" w:cs="Arial"/>
        </w:rPr>
        <w:t xml:space="preserve"> </w:t>
      </w:r>
      <w:r w:rsidR="009B533E" w:rsidRPr="0041042B">
        <w:rPr>
          <w:rFonts w:ascii="Arial" w:hAnsi="Arial" w:cs="Arial"/>
        </w:rPr>
        <w:t xml:space="preserve">pension </w:t>
      </w:r>
      <w:r w:rsidRPr="0041042B">
        <w:rPr>
          <w:rFonts w:ascii="Arial" w:hAnsi="Arial" w:cs="Arial"/>
        </w:rPr>
        <w:t xml:space="preserve">entitlement of male survivors of female </w:t>
      </w:r>
      <w:r w:rsidR="009B533E" w:rsidRPr="0041042B">
        <w:rPr>
          <w:rFonts w:ascii="Arial" w:hAnsi="Arial" w:cs="Arial"/>
        </w:rPr>
        <w:t xml:space="preserve">pension scheme </w:t>
      </w:r>
      <w:r w:rsidRPr="0041042B">
        <w:rPr>
          <w:rFonts w:ascii="Arial" w:hAnsi="Arial" w:cs="Arial"/>
        </w:rPr>
        <w:t>members.</w:t>
      </w:r>
      <w:r w:rsidR="009B533E" w:rsidRPr="0041042B">
        <w:rPr>
          <w:rFonts w:ascii="Arial" w:hAnsi="Arial" w:cs="Arial"/>
        </w:rPr>
        <w:t xml:space="preserve"> </w:t>
      </w:r>
      <w:r w:rsidR="00B12F18" w:rsidRPr="0041042B">
        <w:rPr>
          <w:rFonts w:ascii="Arial" w:hAnsi="Arial" w:cs="Arial"/>
        </w:rPr>
        <w:t>The consequences may impact on future pension contributions rates but initial indications suggest that any impact would be immaterial.</w:t>
      </w:r>
      <w:r w:rsidRPr="00C1619A">
        <w:t xml:space="preserve"> </w:t>
      </w:r>
    </w:p>
    <w:p w:rsidR="00B12F18" w:rsidRDefault="00B12F18" w:rsidP="00EE32D7">
      <w:pPr>
        <w:spacing w:before="0" w:after="0"/>
        <w:rPr>
          <w:rFonts w:ascii="Arial" w:hAnsi="Arial" w:cs="Arial"/>
        </w:rPr>
      </w:pPr>
    </w:p>
    <w:p w:rsidR="00EE32D7" w:rsidRDefault="00EE32D7" w:rsidP="00EE32D7">
      <w:pPr>
        <w:spacing w:before="0" w:after="0"/>
        <w:rPr>
          <w:rFonts w:ascii="Arial" w:hAnsi="Arial" w:cs="Arial"/>
        </w:rPr>
      </w:pPr>
      <w:r w:rsidRPr="000A5EDE">
        <w:rPr>
          <w:rFonts w:ascii="Arial" w:hAnsi="Arial" w:cs="Arial"/>
        </w:rPr>
        <w:t>The council is not aware of any other contingent assets or liabilities which may be outstanding.</w:t>
      </w:r>
    </w:p>
    <w:p w:rsidR="00990216" w:rsidRPr="00375FD4" w:rsidRDefault="00990216" w:rsidP="00522D7C">
      <w:pPr>
        <w:spacing w:before="0" w:after="0"/>
        <w:ind w:left="720" w:hanging="720"/>
        <w:rPr>
          <w:rFonts w:ascii="Arial" w:hAnsi="Arial" w:cs="Arial"/>
        </w:rPr>
      </w:pPr>
    </w:p>
    <w:p w:rsidR="00990216" w:rsidRPr="000A3446" w:rsidRDefault="009D7DFF" w:rsidP="00522D7C">
      <w:pPr>
        <w:pStyle w:val="Heading1"/>
        <w:spacing w:before="0"/>
        <w:rPr>
          <w:rFonts w:ascii="Arial" w:hAnsi="Arial" w:cs="Arial"/>
          <w:color w:val="auto"/>
          <w:sz w:val="20"/>
          <w:szCs w:val="20"/>
        </w:rPr>
      </w:pPr>
      <w:r w:rsidRPr="00B438B2">
        <w:rPr>
          <w:rFonts w:ascii="Arial" w:hAnsi="Arial" w:cs="Arial"/>
          <w:color w:val="auto"/>
          <w:sz w:val="20"/>
          <w:szCs w:val="20"/>
        </w:rPr>
        <w:t>Not</w:t>
      </w:r>
      <w:r w:rsidR="00EA05CA" w:rsidRPr="00B438B2">
        <w:rPr>
          <w:rFonts w:ascii="Arial" w:hAnsi="Arial" w:cs="Arial"/>
          <w:color w:val="auto"/>
          <w:sz w:val="20"/>
          <w:szCs w:val="20"/>
        </w:rPr>
        <w:t>e 31</w:t>
      </w:r>
      <w:r w:rsidR="00990216" w:rsidRPr="00B438B2">
        <w:rPr>
          <w:rFonts w:ascii="Arial" w:hAnsi="Arial" w:cs="Arial"/>
          <w:color w:val="auto"/>
          <w:sz w:val="20"/>
          <w:szCs w:val="20"/>
        </w:rPr>
        <w:t xml:space="preserve"> – Financial Guarantee</w:t>
      </w:r>
    </w:p>
    <w:p w:rsidR="00990216" w:rsidRPr="00375FD4" w:rsidRDefault="00990216" w:rsidP="00522D7C">
      <w:pPr>
        <w:spacing w:before="0" w:after="0"/>
        <w:ind w:left="720" w:hanging="720"/>
        <w:rPr>
          <w:rFonts w:ascii="Arial" w:hAnsi="Arial" w:cs="Arial"/>
        </w:rPr>
      </w:pPr>
    </w:p>
    <w:p w:rsidR="00990216" w:rsidRDefault="00990216" w:rsidP="00517B49">
      <w:pPr>
        <w:spacing w:before="0" w:after="0"/>
        <w:rPr>
          <w:rFonts w:ascii="Arial" w:hAnsi="Arial" w:cs="Arial"/>
        </w:rPr>
      </w:pPr>
      <w:r w:rsidRPr="00375FD4">
        <w:rPr>
          <w:rFonts w:ascii="Arial" w:hAnsi="Arial" w:cs="Arial"/>
        </w:rPr>
        <w:t>In terms of West Dunbartonshire Leisure Trust’s admission to the S</w:t>
      </w:r>
      <w:r w:rsidR="00EF352D">
        <w:rPr>
          <w:rFonts w:ascii="Arial" w:hAnsi="Arial" w:cs="Arial"/>
        </w:rPr>
        <w:t>trathclyde Pension Scheme, the c</w:t>
      </w:r>
      <w:r w:rsidRPr="00375FD4">
        <w:rPr>
          <w:rFonts w:ascii="Arial" w:hAnsi="Arial" w:cs="Arial"/>
        </w:rPr>
        <w:t>ouncil has guaranteed to accept liability for any unfunded pension costs should they cease to exist, withdraw from the Scheme or become unable to me</w:t>
      </w:r>
      <w:r w:rsidR="00EF352D">
        <w:rPr>
          <w:rFonts w:ascii="Arial" w:hAnsi="Arial" w:cs="Arial"/>
        </w:rPr>
        <w:t>et any unfunded liability. The c</w:t>
      </w:r>
      <w:r w:rsidRPr="00375FD4">
        <w:rPr>
          <w:rFonts w:ascii="Arial" w:hAnsi="Arial" w:cs="Arial"/>
        </w:rPr>
        <w:t xml:space="preserve">ouncil has not quantified the possible liability. </w:t>
      </w:r>
    </w:p>
    <w:p w:rsidR="00990216" w:rsidRPr="000A3446" w:rsidRDefault="00990216" w:rsidP="00E9373A">
      <w:pPr>
        <w:pStyle w:val="Heading1"/>
        <w:spacing w:before="0"/>
        <w:rPr>
          <w:rFonts w:ascii="Arial" w:hAnsi="Arial" w:cs="Arial"/>
          <w:color w:val="auto"/>
          <w:sz w:val="24"/>
          <w:szCs w:val="24"/>
        </w:rPr>
      </w:pPr>
      <w:r w:rsidRPr="009D7DFF">
        <w:rPr>
          <w:rFonts w:ascii="Arial" w:hAnsi="Arial" w:cs="Arial"/>
          <w:color w:val="auto"/>
          <w:sz w:val="24"/>
          <w:szCs w:val="24"/>
        </w:rPr>
        <w:lastRenderedPageBreak/>
        <w:t>Movement on the Housing Revenue Account Statement</w:t>
      </w:r>
    </w:p>
    <w:p w:rsidR="00990216" w:rsidRPr="00375FD4" w:rsidRDefault="00990216" w:rsidP="00990216">
      <w:pPr>
        <w:spacing w:before="0" w:after="0"/>
        <w:rPr>
          <w:rFonts w:ascii="Arial" w:hAnsi="Arial" w:cs="Arial"/>
          <w:b/>
        </w:rPr>
      </w:pPr>
    </w:p>
    <w:p w:rsidR="00990216" w:rsidRPr="00375FD4" w:rsidRDefault="00990216" w:rsidP="00522D7C">
      <w:pPr>
        <w:spacing w:before="0" w:after="0"/>
        <w:rPr>
          <w:rFonts w:ascii="Arial" w:hAnsi="Arial" w:cs="Arial"/>
        </w:rPr>
      </w:pPr>
      <w:r w:rsidRPr="00375FD4">
        <w:rPr>
          <w:rFonts w:ascii="Arial" w:hAnsi="Arial" w:cs="Arial"/>
        </w:rPr>
        <w:t xml:space="preserve">This statement shows the movement in the year on the housing revenue account reserve.  The surplus or (deficit) on the housing revenue account income and expenditure statement is reconciled to the surplus or deficit for the year on the housing revenue account balance, calculated in accordance with the Housing (Scotland) Act 1987. </w:t>
      </w:r>
    </w:p>
    <w:p w:rsidR="00990216" w:rsidRPr="00375FD4" w:rsidRDefault="00990216" w:rsidP="00990216">
      <w:pPr>
        <w:spacing w:before="0" w:after="0"/>
        <w:rPr>
          <w:rFonts w:ascii="Arial" w:hAnsi="Arial" w:cs="Arial"/>
        </w:rPr>
      </w:pPr>
    </w:p>
    <w:p w:rsidR="00990216" w:rsidRPr="00375FD4" w:rsidRDefault="008A3385" w:rsidP="00990216">
      <w:pPr>
        <w:spacing w:before="0" w:after="0"/>
        <w:rPr>
          <w:rFonts w:ascii="Arial" w:hAnsi="Arial" w:cs="Arial"/>
          <w:b/>
        </w:rPr>
      </w:pPr>
      <w:r w:rsidRPr="008A3385">
        <w:rPr>
          <w:noProof/>
          <w:lang w:eastAsia="en-GB"/>
        </w:rPr>
        <w:drawing>
          <wp:inline distT="0" distB="0" distL="0" distR="0">
            <wp:extent cx="5731510" cy="3810090"/>
            <wp:effectExtent l="0" t="0" r="2540" b="0"/>
            <wp:docPr id="250" name="Picture 250" descr="movement on the housing revenue account" title="housing revenu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31510" cy="3810090"/>
                    </a:xfrm>
                    <a:prstGeom prst="rect">
                      <a:avLst/>
                    </a:prstGeom>
                    <a:noFill/>
                    <a:ln>
                      <a:noFill/>
                    </a:ln>
                  </pic:spPr>
                </pic:pic>
              </a:graphicData>
            </a:graphic>
          </wp:inline>
        </w:drawing>
      </w:r>
    </w:p>
    <w:p w:rsidR="00990216" w:rsidRPr="000A3446" w:rsidRDefault="00990216" w:rsidP="00E9373A">
      <w:pPr>
        <w:pStyle w:val="Heading1"/>
        <w:spacing w:before="0"/>
        <w:rPr>
          <w:rFonts w:ascii="Arial" w:hAnsi="Arial" w:cs="Arial"/>
          <w:color w:val="auto"/>
          <w:sz w:val="24"/>
          <w:szCs w:val="24"/>
        </w:rPr>
      </w:pPr>
      <w:r w:rsidRPr="00375FD4">
        <w:rPr>
          <w:rFonts w:ascii="Arial" w:hAnsi="Arial" w:cs="Arial"/>
        </w:rPr>
        <w:br w:type="page"/>
      </w:r>
      <w:r w:rsidRPr="000A3446">
        <w:rPr>
          <w:rFonts w:ascii="Arial" w:hAnsi="Arial" w:cs="Arial"/>
          <w:color w:val="auto"/>
          <w:sz w:val="24"/>
          <w:szCs w:val="24"/>
        </w:rPr>
        <w:lastRenderedPageBreak/>
        <w:t>Housing Revenue Account Income and Expenditure Statement</w:t>
      </w:r>
    </w:p>
    <w:p w:rsidR="00990216" w:rsidRPr="00375FD4" w:rsidRDefault="00990216" w:rsidP="00990216">
      <w:pPr>
        <w:spacing w:before="0" w:after="0"/>
        <w:rPr>
          <w:rFonts w:ascii="Arial" w:hAnsi="Arial" w:cs="Arial"/>
          <w:b/>
        </w:rPr>
      </w:pPr>
    </w:p>
    <w:p w:rsidR="00990216" w:rsidRDefault="00990216" w:rsidP="00522D7C">
      <w:pPr>
        <w:spacing w:before="0" w:after="0"/>
        <w:rPr>
          <w:rFonts w:ascii="Arial" w:hAnsi="Arial" w:cs="Arial"/>
        </w:rPr>
      </w:pPr>
      <w:r w:rsidRPr="00375FD4">
        <w:rPr>
          <w:rFonts w:ascii="Arial" w:hAnsi="Arial" w:cs="Arial"/>
        </w:rPr>
        <w:t>The HRA income and expenditure statement shows the economic cost in the year of providing housing services in accordance with generally accepted accounting practices rather than the amount to be funded fro</w:t>
      </w:r>
      <w:r w:rsidR="007F0D1B">
        <w:rPr>
          <w:rFonts w:ascii="Arial" w:hAnsi="Arial" w:cs="Arial"/>
        </w:rPr>
        <w:t>m re</w:t>
      </w:r>
      <w:r w:rsidR="00EF352D">
        <w:rPr>
          <w:rFonts w:ascii="Arial" w:hAnsi="Arial" w:cs="Arial"/>
        </w:rPr>
        <w:t>nts and government grants. The c</w:t>
      </w:r>
      <w:r w:rsidRPr="00375FD4">
        <w:rPr>
          <w:rFonts w:ascii="Arial" w:hAnsi="Arial" w:cs="Arial"/>
        </w:rPr>
        <w:t>ouncil charges rents to cover expenditure in accordance with regulations; this may be different from the accounting cost.  The increase or decrease in the year, on the basis of which rents are raised, is shown in the Movement on the HRA Statement.</w:t>
      </w:r>
    </w:p>
    <w:p w:rsidR="00990216" w:rsidRPr="00375FD4" w:rsidRDefault="00990216" w:rsidP="00990216">
      <w:pPr>
        <w:spacing w:before="0" w:after="0"/>
        <w:rPr>
          <w:rFonts w:ascii="Arial" w:hAnsi="Arial" w:cs="Arial"/>
        </w:rPr>
      </w:pPr>
    </w:p>
    <w:p w:rsidR="00990216" w:rsidRPr="00375FD4" w:rsidRDefault="00F75943" w:rsidP="00990216">
      <w:pPr>
        <w:spacing w:before="0" w:after="0"/>
        <w:rPr>
          <w:rFonts w:ascii="Arial" w:hAnsi="Arial" w:cs="Arial"/>
          <w:b/>
        </w:rPr>
      </w:pPr>
      <w:r w:rsidRPr="00F75943">
        <w:rPr>
          <w:noProof/>
          <w:lang w:eastAsia="en-GB"/>
        </w:rPr>
        <w:drawing>
          <wp:inline distT="0" distB="0" distL="0" distR="0" wp14:anchorId="0C4A633E" wp14:editId="1CCE0B2E">
            <wp:extent cx="5731510" cy="4042311"/>
            <wp:effectExtent l="0" t="0" r="2540" b="0"/>
            <wp:docPr id="255" name="Picture 255" descr="housing revenue account income and expenditure statement" title="housing revenu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731510" cy="4042311"/>
                    </a:xfrm>
                    <a:prstGeom prst="rect">
                      <a:avLst/>
                    </a:prstGeom>
                    <a:noFill/>
                    <a:ln>
                      <a:noFill/>
                    </a:ln>
                  </pic:spPr>
                </pic:pic>
              </a:graphicData>
            </a:graphic>
          </wp:inline>
        </w:drawing>
      </w:r>
    </w:p>
    <w:p w:rsidR="00E9373A" w:rsidRPr="00375FD4" w:rsidRDefault="00E9373A">
      <w:pPr>
        <w:spacing w:before="0" w:after="200" w:line="276" w:lineRule="auto"/>
        <w:rPr>
          <w:rFonts w:ascii="Arial" w:hAnsi="Arial" w:cs="Arial"/>
          <w:b/>
        </w:rPr>
      </w:pPr>
      <w:r w:rsidRPr="00375FD4">
        <w:rPr>
          <w:rFonts w:ascii="Arial" w:hAnsi="Arial" w:cs="Arial"/>
          <w:b/>
        </w:rPr>
        <w:br w:type="page"/>
      </w:r>
    </w:p>
    <w:p w:rsidR="00990216" w:rsidRPr="000A3446" w:rsidRDefault="00990216" w:rsidP="00E9373A">
      <w:pPr>
        <w:pStyle w:val="Heading1"/>
        <w:spacing w:before="0"/>
        <w:rPr>
          <w:rFonts w:ascii="Arial" w:hAnsi="Arial" w:cs="Arial"/>
          <w:color w:val="auto"/>
          <w:sz w:val="24"/>
          <w:szCs w:val="24"/>
        </w:rPr>
      </w:pPr>
      <w:r w:rsidRPr="000A3446">
        <w:rPr>
          <w:rFonts w:ascii="Arial" w:hAnsi="Arial" w:cs="Arial"/>
          <w:color w:val="auto"/>
          <w:sz w:val="24"/>
          <w:szCs w:val="24"/>
        </w:rPr>
        <w:lastRenderedPageBreak/>
        <w:t>Notes to the Housing Revenue Account Income and Expenditure Statement</w:t>
      </w:r>
    </w:p>
    <w:p w:rsidR="00990216" w:rsidRPr="00375FD4" w:rsidRDefault="00990216" w:rsidP="00E9373A">
      <w:pPr>
        <w:pStyle w:val="Heading1"/>
        <w:spacing w:before="0"/>
        <w:rPr>
          <w:rFonts w:ascii="Arial" w:hAnsi="Arial" w:cs="Arial"/>
          <w:sz w:val="24"/>
          <w:szCs w:val="24"/>
        </w:rPr>
      </w:pPr>
    </w:p>
    <w:p w:rsidR="00990216" w:rsidRPr="00375FD4" w:rsidRDefault="00990216" w:rsidP="00990216">
      <w:pPr>
        <w:pStyle w:val="ListParagraph"/>
        <w:spacing w:before="0" w:after="0"/>
        <w:ind w:left="0"/>
        <w:rPr>
          <w:rFonts w:ascii="Arial" w:hAnsi="Arial" w:cs="Arial"/>
          <w:b/>
        </w:rPr>
      </w:pPr>
      <w:r w:rsidRPr="00375FD4">
        <w:rPr>
          <w:rFonts w:ascii="Arial" w:hAnsi="Arial" w:cs="Arial"/>
          <w:b/>
        </w:rPr>
        <w:t>Note 1 - The number and types of dwellings in t</w:t>
      </w:r>
      <w:r w:rsidR="00EF352D">
        <w:rPr>
          <w:rFonts w:ascii="Arial" w:hAnsi="Arial" w:cs="Arial"/>
          <w:b/>
        </w:rPr>
        <w:t>he c</w:t>
      </w:r>
      <w:r w:rsidRPr="00375FD4">
        <w:rPr>
          <w:rFonts w:ascii="Arial" w:hAnsi="Arial" w:cs="Arial"/>
          <w:b/>
        </w:rPr>
        <w:t>ouncil’s stock</w:t>
      </w:r>
    </w:p>
    <w:p w:rsidR="00990216" w:rsidRPr="00375FD4" w:rsidRDefault="00EF352D" w:rsidP="003F6A00">
      <w:pPr>
        <w:pStyle w:val="ListParagraph"/>
        <w:spacing w:before="0" w:after="0"/>
        <w:ind w:left="0"/>
        <w:rPr>
          <w:rFonts w:ascii="Arial" w:hAnsi="Arial" w:cs="Arial"/>
        </w:rPr>
      </w:pPr>
      <w:r w:rsidRPr="004F2F43">
        <w:rPr>
          <w:rFonts w:ascii="Arial" w:hAnsi="Arial" w:cs="Arial"/>
        </w:rPr>
        <w:t>The c</w:t>
      </w:r>
      <w:r w:rsidR="00990216" w:rsidRPr="004F2F43">
        <w:rPr>
          <w:rFonts w:ascii="Arial" w:hAnsi="Arial" w:cs="Arial"/>
        </w:rPr>
        <w:t>ouncil was</w:t>
      </w:r>
      <w:r w:rsidR="009376F7" w:rsidRPr="004F2F43">
        <w:rPr>
          <w:rFonts w:ascii="Arial" w:hAnsi="Arial" w:cs="Arial"/>
        </w:rPr>
        <w:t xml:space="preserve"> responsible for </w:t>
      </w:r>
      <w:r w:rsidR="009376F7" w:rsidRPr="00F75943">
        <w:rPr>
          <w:rFonts w:ascii="Arial" w:hAnsi="Arial" w:cs="Arial"/>
        </w:rPr>
        <w:t>managing 10,</w:t>
      </w:r>
      <w:r w:rsidR="00F75943" w:rsidRPr="00F75943">
        <w:rPr>
          <w:rFonts w:ascii="Arial" w:hAnsi="Arial" w:cs="Arial"/>
        </w:rPr>
        <w:t>042</w:t>
      </w:r>
      <w:r w:rsidR="009A6255" w:rsidRPr="004F2F43">
        <w:rPr>
          <w:rFonts w:ascii="Arial" w:hAnsi="Arial" w:cs="Arial"/>
        </w:rPr>
        <w:t xml:space="preserve"> d</w:t>
      </w:r>
      <w:r w:rsidR="00763164">
        <w:rPr>
          <w:rFonts w:ascii="Arial" w:hAnsi="Arial" w:cs="Arial"/>
        </w:rPr>
        <w:t>wellings during 2019/20 (10,397 in 2018/19</w:t>
      </w:r>
      <w:r w:rsidR="00990216" w:rsidRPr="004F2F43">
        <w:rPr>
          <w:rFonts w:ascii="Arial" w:hAnsi="Arial" w:cs="Arial"/>
        </w:rPr>
        <w:t>). The</w:t>
      </w:r>
      <w:r w:rsidR="00990216" w:rsidRPr="00375FD4">
        <w:rPr>
          <w:rFonts w:ascii="Arial" w:hAnsi="Arial" w:cs="Arial"/>
        </w:rPr>
        <w:t xml:space="preserve"> following shows an analysis of these dwellings by type. </w:t>
      </w:r>
    </w:p>
    <w:p w:rsidR="009C3529" w:rsidRPr="00375FD4" w:rsidRDefault="00E9373A" w:rsidP="00990216">
      <w:pPr>
        <w:spacing w:before="0" w:after="0"/>
        <w:rPr>
          <w:rFonts w:ascii="Arial" w:hAnsi="Arial" w:cs="Arial"/>
        </w:rPr>
      </w:pPr>
      <w:r w:rsidRPr="00375FD4">
        <w:rPr>
          <w:rFonts w:ascii="Arial" w:hAnsi="Arial" w:cs="Arial"/>
        </w:rPr>
        <w:tab/>
      </w:r>
    </w:p>
    <w:p w:rsidR="00990216" w:rsidRPr="00375FD4" w:rsidRDefault="00F75943" w:rsidP="00990216">
      <w:pPr>
        <w:spacing w:before="0" w:after="0"/>
        <w:rPr>
          <w:rFonts w:ascii="Arial" w:hAnsi="Arial" w:cs="Arial"/>
        </w:rPr>
      </w:pPr>
      <w:r w:rsidRPr="00F75943">
        <w:rPr>
          <w:noProof/>
          <w:lang w:eastAsia="en-GB"/>
        </w:rPr>
        <w:drawing>
          <wp:inline distT="0" distB="0" distL="0" distR="0">
            <wp:extent cx="4505325" cy="2276475"/>
            <wp:effectExtent l="0" t="0" r="9525" b="9525"/>
            <wp:docPr id="33" name="Picture 33" descr="number and types of dwellings" title="housing revenue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05325" cy="2276475"/>
                    </a:xfrm>
                    <a:prstGeom prst="rect">
                      <a:avLst/>
                    </a:prstGeom>
                    <a:noFill/>
                    <a:ln>
                      <a:noFill/>
                    </a:ln>
                  </pic:spPr>
                </pic:pic>
              </a:graphicData>
            </a:graphic>
          </wp:inline>
        </w:drawing>
      </w:r>
    </w:p>
    <w:p w:rsidR="00E518BB" w:rsidRPr="00B960E4" w:rsidRDefault="00B960E4" w:rsidP="00B960E4">
      <w:pPr>
        <w:spacing w:before="0" w:after="0"/>
        <w:rPr>
          <w:rFonts w:ascii="Arial" w:hAnsi="Arial" w:cs="Arial"/>
        </w:rPr>
      </w:pPr>
      <w:r>
        <w:rPr>
          <w:rFonts w:ascii="Arial" w:hAnsi="Arial" w:cs="Arial"/>
        </w:rPr>
        <w:tab/>
      </w:r>
    </w:p>
    <w:p w:rsidR="00990216" w:rsidRPr="00375FD4" w:rsidRDefault="00990216" w:rsidP="00990216">
      <w:pPr>
        <w:pStyle w:val="ListParagraph"/>
        <w:spacing w:before="0" w:after="0"/>
        <w:ind w:hanging="720"/>
        <w:rPr>
          <w:rFonts w:ascii="Arial" w:hAnsi="Arial" w:cs="Arial"/>
          <w:b/>
        </w:rPr>
      </w:pPr>
      <w:r w:rsidRPr="00375FD4">
        <w:rPr>
          <w:rFonts w:ascii="Arial" w:hAnsi="Arial" w:cs="Arial"/>
          <w:b/>
        </w:rPr>
        <w:t>Note 2 – Dwelling Rents</w:t>
      </w:r>
    </w:p>
    <w:p w:rsidR="00990216" w:rsidRPr="00682524" w:rsidRDefault="00B04593" w:rsidP="003F6A00">
      <w:pPr>
        <w:pStyle w:val="ListParagraph"/>
        <w:spacing w:before="0" w:after="0"/>
        <w:ind w:left="0"/>
        <w:rPr>
          <w:rFonts w:ascii="Arial" w:hAnsi="Arial" w:cs="Arial"/>
          <w:highlight w:val="yellow"/>
        </w:rPr>
      </w:pPr>
      <w:r>
        <w:rPr>
          <w:rFonts w:ascii="Arial" w:hAnsi="Arial" w:cs="Arial"/>
        </w:rPr>
        <w:t xml:space="preserve">The </w:t>
      </w:r>
      <w:r w:rsidRPr="002160C4">
        <w:rPr>
          <w:rFonts w:ascii="Arial" w:hAnsi="Arial" w:cs="Arial"/>
        </w:rPr>
        <w:t>£</w:t>
      </w:r>
      <w:r w:rsidR="002160C4" w:rsidRPr="002160C4">
        <w:rPr>
          <w:rFonts w:ascii="Arial" w:hAnsi="Arial" w:cs="Arial"/>
        </w:rPr>
        <w:t>40.871</w:t>
      </w:r>
      <w:r w:rsidRPr="002160C4">
        <w:rPr>
          <w:rFonts w:ascii="Arial" w:hAnsi="Arial" w:cs="Arial"/>
        </w:rPr>
        <w:t>m</w:t>
      </w:r>
      <w:r>
        <w:rPr>
          <w:rFonts w:ascii="Arial" w:hAnsi="Arial" w:cs="Arial"/>
        </w:rPr>
        <w:t xml:space="preserve"> noted in the Income and Expenditure Statement</w:t>
      </w:r>
      <w:r w:rsidR="00990216" w:rsidRPr="00682524">
        <w:rPr>
          <w:rFonts w:ascii="Arial" w:hAnsi="Arial" w:cs="Arial"/>
        </w:rPr>
        <w:t xml:space="preserve"> is the total rental income less voids c</w:t>
      </w:r>
      <w:r w:rsidR="009D5A8E" w:rsidRPr="00682524">
        <w:rPr>
          <w:rFonts w:ascii="Arial" w:hAnsi="Arial" w:cs="Arial"/>
        </w:rPr>
        <w:t>hargeable</w:t>
      </w:r>
      <w:r w:rsidR="009376F7" w:rsidRPr="00682524">
        <w:rPr>
          <w:rFonts w:ascii="Arial" w:hAnsi="Arial" w:cs="Arial"/>
        </w:rPr>
        <w:t xml:space="preserve"> for </w:t>
      </w:r>
      <w:r w:rsidR="009376F7" w:rsidRPr="002160C4">
        <w:rPr>
          <w:rFonts w:ascii="Arial" w:hAnsi="Arial" w:cs="Arial"/>
        </w:rPr>
        <w:t>the year of £</w:t>
      </w:r>
      <w:r w:rsidR="00AE0663" w:rsidRPr="002160C4">
        <w:rPr>
          <w:rFonts w:ascii="Arial" w:hAnsi="Arial" w:cs="Arial"/>
        </w:rPr>
        <w:t>0.</w:t>
      </w:r>
      <w:r w:rsidR="002160C4" w:rsidRPr="002160C4">
        <w:rPr>
          <w:rFonts w:ascii="Arial" w:hAnsi="Arial" w:cs="Arial"/>
        </w:rPr>
        <w:t>606</w:t>
      </w:r>
      <w:r w:rsidR="00682524" w:rsidRPr="002160C4">
        <w:rPr>
          <w:rFonts w:ascii="Arial" w:hAnsi="Arial" w:cs="Arial"/>
        </w:rPr>
        <w:t>m (£</w:t>
      </w:r>
      <w:r w:rsidR="003F6A00">
        <w:rPr>
          <w:rFonts w:ascii="Arial" w:hAnsi="Arial" w:cs="Arial"/>
        </w:rPr>
        <w:t>0</w:t>
      </w:r>
      <w:r w:rsidR="00763164">
        <w:rPr>
          <w:rFonts w:ascii="Arial" w:hAnsi="Arial" w:cs="Arial"/>
        </w:rPr>
        <w:t>.560m in 2018/19</w:t>
      </w:r>
      <w:r w:rsidR="00990216" w:rsidRPr="00682524">
        <w:rPr>
          <w:rFonts w:ascii="Arial" w:hAnsi="Arial" w:cs="Arial"/>
        </w:rPr>
        <w:t xml:space="preserve">).  It </w:t>
      </w:r>
      <w:r w:rsidR="00990216" w:rsidRPr="0026765A">
        <w:rPr>
          <w:rFonts w:ascii="Arial" w:hAnsi="Arial" w:cs="Arial"/>
        </w:rPr>
        <w:t xml:space="preserve">excludes irrecoverables and bad </w:t>
      </w:r>
      <w:r w:rsidR="009D5A8E" w:rsidRPr="0026765A">
        <w:rPr>
          <w:rFonts w:ascii="Arial" w:hAnsi="Arial" w:cs="Arial"/>
        </w:rPr>
        <w:t xml:space="preserve">debts. Average </w:t>
      </w:r>
      <w:r w:rsidR="009D5A8E" w:rsidRPr="002160C4">
        <w:rPr>
          <w:rFonts w:ascii="Arial" w:hAnsi="Arial" w:cs="Arial"/>
        </w:rPr>
        <w:t>re</w:t>
      </w:r>
      <w:r w:rsidR="009376F7" w:rsidRPr="002160C4">
        <w:rPr>
          <w:rFonts w:ascii="Arial" w:hAnsi="Arial" w:cs="Arial"/>
        </w:rPr>
        <w:t>nts were £</w:t>
      </w:r>
      <w:r w:rsidR="002160C4" w:rsidRPr="002160C4">
        <w:rPr>
          <w:rFonts w:ascii="Arial" w:hAnsi="Arial" w:cs="Arial"/>
        </w:rPr>
        <w:t>79.84</w:t>
      </w:r>
      <w:r w:rsidR="009376F7" w:rsidRPr="002160C4">
        <w:rPr>
          <w:rFonts w:ascii="Arial" w:hAnsi="Arial" w:cs="Arial"/>
        </w:rPr>
        <w:t xml:space="preserve"> per week</w:t>
      </w:r>
      <w:r w:rsidR="009376F7" w:rsidRPr="0026765A">
        <w:rPr>
          <w:rFonts w:ascii="Arial" w:hAnsi="Arial" w:cs="Arial"/>
        </w:rPr>
        <w:t xml:space="preserve"> in 201</w:t>
      </w:r>
      <w:r w:rsidR="00763164">
        <w:rPr>
          <w:rFonts w:ascii="Arial" w:hAnsi="Arial" w:cs="Arial"/>
        </w:rPr>
        <w:t>9/20 (£78.18</w:t>
      </w:r>
      <w:r w:rsidR="00482051" w:rsidRPr="0026765A">
        <w:rPr>
          <w:rFonts w:ascii="Arial" w:hAnsi="Arial" w:cs="Arial"/>
        </w:rPr>
        <w:t xml:space="preserve"> per</w:t>
      </w:r>
      <w:r w:rsidR="00763164">
        <w:rPr>
          <w:rFonts w:ascii="Arial" w:hAnsi="Arial" w:cs="Arial"/>
        </w:rPr>
        <w:t xml:space="preserve"> week in 2018/19</w:t>
      </w:r>
      <w:r w:rsidR="00990216" w:rsidRPr="00682524">
        <w:rPr>
          <w:rFonts w:ascii="Arial" w:hAnsi="Arial" w:cs="Arial"/>
        </w:rPr>
        <w:t xml:space="preserve">). </w:t>
      </w:r>
    </w:p>
    <w:p w:rsidR="00E9373A" w:rsidRPr="00682524" w:rsidRDefault="00E9373A" w:rsidP="00522D7C">
      <w:pPr>
        <w:pStyle w:val="ListParagraph"/>
        <w:spacing w:before="0" w:after="0"/>
        <w:ind w:hanging="720"/>
        <w:rPr>
          <w:rFonts w:ascii="Arial" w:hAnsi="Arial" w:cs="Arial"/>
          <w:highlight w:val="yellow"/>
        </w:rPr>
      </w:pPr>
    </w:p>
    <w:p w:rsidR="00990216" w:rsidRPr="00682524" w:rsidRDefault="00990216" w:rsidP="00522D7C">
      <w:pPr>
        <w:pStyle w:val="ListParagraph"/>
        <w:spacing w:before="0" w:after="0"/>
        <w:ind w:hanging="720"/>
        <w:rPr>
          <w:rFonts w:ascii="Arial" w:hAnsi="Arial" w:cs="Arial"/>
          <w:b/>
        </w:rPr>
      </w:pPr>
      <w:r w:rsidRPr="00682524">
        <w:rPr>
          <w:rFonts w:ascii="Arial" w:hAnsi="Arial" w:cs="Arial"/>
          <w:b/>
        </w:rPr>
        <w:t>Note 3 –Other Rents</w:t>
      </w:r>
    </w:p>
    <w:p w:rsidR="00990216" w:rsidRPr="00AE0663" w:rsidRDefault="00990216" w:rsidP="003F6A00">
      <w:pPr>
        <w:pStyle w:val="ListParagraph"/>
        <w:spacing w:before="0" w:after="0"/>
        <w:ind w:left="0"/>
        <w:rPr>
          <w:rFonts w:ascii="Arial" w:hAnsi="Arial" w:cs="Arial"/>
        </w:rPr>
      </w:pPr>
      <w:r w:rsidRPr="00682524">
        <w:rPr>
          <w:rFonts w:ascii="Arial" w:hAnsi="Arial" w:cs="Arial"/>
        </w:rPr>
        <w:t xml:space="preserve">This is the total income received from </w:t>
      </w:r>
      <w:r w:rsidR="009D5A8E" w:rsidRPr="00682524">
        <w:rPr>
          <w:rFonts w:ascii="Arial" w:hAnsi="Arial" w:cs="Arial"/>
        </w:rPr>
        <w:t xml:space="preserve">travelling person site rentals, </w:t>
      </w:r>
      <w:r w:rsidRPr="00682524">
        <w:rPr>
          <w:rFonts w:ascii="Arial" w:hAnsi="Arial" w:cs="Arial"/>
        </w:rPr>
        <w:t xml:space="preserve">lock-ups and shops less voids chargeable for the year, but excludes irrecoverables and bad debts.  </w:t>
      </w:r>
      <w:r w:rsidR="00557AE7" w:rsidRPr="00682524">
        <w:rPr>
          <w:rFonts w:ascii="Arial" w:hAnsi="Arial" w:cs="Arial"/>
        </w:rPr>
        <w:t xml:space="preserve">Lost rents from </w:t>
      </w:r>
      <w:r w:rsidR="00557AE7" w:rsidRPr="00AE0663">
        <w:rPr>
          <w:rFonts w:ascii="Arial" w:hAnsi="Arial" w:cs="Arial"/>
        </w:rPr>
        <w:t xml:space="preserve">lock-ups in </w:t>
      </w:r>
      <w:r w:rsidR="00557AE7" w:rsidRPr="00824BD8">
        <w:rPr>
          <w:rFonts w:ascii="Arial" w:hAnsi="Arial" w:cs="Arial"/>
        </w:rPr>
        <w:t>201</w:t>
      </w:r>
      <w:r w:rsidR="00763164">
        <w:rPr>
          <w:rFonts w:ascii="Arial" w:hAnsi="Arial" w:cs="Arial"/>
        </w:rPr>
        <w:t>9/20</w:t>
      </w:r>
      <w:r w:rsidR="009376F7" w:rsidRPr="00824BD8">
        <w:rPr>
          <w:rFonts w:ascii="Arial" w:hAnsi="Arial" w:cs="Arial"/>
        </w:rPr>
        <w:t xml:space="preserve"> </w:t>
      </w:r>
      <w:r w:rsidR="009376F7" w:rsidRPr="002160C4">
        <w:rPr>
          <w:rFonts w:ascii="Arial" w:hAnsi="Arial" w:cs="Arial"/>
        </w:rPr>
        <w:t>were £0.</w:t>
      </w:r>
      <w:r w:rsidR="002160C4" w:rsidRPr="002160C4">
        <w:rPr>
          <w:rFonts w:ascii="Arial" w:hAnsi="Arial" w:cs="Arial"/>
        </w:rPr>
        <w:t>063</w:t>
      </w:r>
      <w:r w:rsidR="00682524" w:rsidRPr="002160C4">
        <w:rPr>
          <w:rFonts w:ascii="Arial" w:hAnsi="Arial" w:cs="Arial"/>
        </w:rPr>
        <w:t>m</w:t>
      </w:r>
      <w:r w:rsidR="00763164" w:rsidRPr="002160C4">
        <w:rPr>
          <w:rFonts w:ascii="Arial" w:hAnsi="Arial" w:cs="Arial"/>
        </w:rPr>
        <w:t xml:space="preserve"> (£</w:t>
      </w:r>
      <w:r w:rsidR="00763164">
        <w:rPr>
          <w:rFonts w:ascii="Arial" w:hAnsi="Arial" w:cs="Arial"/>
        </w:rPr>
        <w:t>0.079</w:t>
      </w:r>
      <w:r w:rsidRPr="00824BD8">
        <w:rPr>
          <w:rFonts w:ascii="Arial" w:hAnsi="Arial" w:cs="Arial"/>
        </w:rPr>
        <w:t>m in 2</w:t>
      </w:r>
      <w:r w:rsidR="00763164">
        <w:rPr>
          <w:rFonts w:ascii="Arial" w:hAnsi="Arial" w:cs="Arial"/>
        </w:rPr>
        <w:t>018/19</w:t>
      </w:r>
      <w:r w:rsidRPr="00824BD8">
        <w:rPr>
          <w:rFonts w:ascii="Arial" w:hAnsi="Arial" w:cs="Arial"/>
        </w:rPr>
        <w:t>).</w:t>
      </w:r>
    </w:p>
    <w:p w:rsidR="00E518BB" w:rsidRPr="00682524" w:rsidRDefault="00E518BB" w:rsidP="00522D7C">
      <w:pPr>
        <w:pStyle w:val="ListParagraph"/>
        <w:spacing w:before="0" w:after="0"/>
        <w:ind w:hanging="720"/>
        <w:rPr>
          <w:rFonts w:ascii="Arial" w:hAnsi="Arial" w:cs="Arial"/>
          <w:highlight w:val="yellow"/>
        </w:rPr>
      </w:pPr>
    </w:p>
    <w:p w:rsidR="00990216" w:rsidRPr="00682524" w:rsidRDefault="00990216" w:rsidP="00522D7C">
      <w:pPr>
        <w:pStyle w:val="ListParagraph"/>
        <w:spacing w:before="0" w:after="0"/>
        <w:ind w:hanging="720"/>
        <w:rPr>
          <w:rFonts w:ascii="Arial" w:hAnsi="Arial" w:cs="Arial"/>
          <w:b/>
        </w:rPr>
      </w:pPr>
      <w:r w:rsidRPr="00682524">
        <w:rPr>
          <w:rFonts w:ascii="Arial" w:hAnsi="Arial" w:cs="Arial"/>
          <w:b/>
        </w:rPr>
        <w:t>Note 4 - Rent arrears</w:t>
      </w:r>
    </w:p>
    <w:p w:rsidR="00990216" w:rsidRPr="004C7928" w:rsidRDefault="00682524" w:rsidP="003F6A00">
      <w:pPr>
        <w:pStyle w:val="ListParagraph"/>
        <w:spacing w:before="0" w:after="0"/>
        <w:ind w:left="0" w:hanging="11"/>
        <w:rPr>
          <w:rFonts w:ascii="Arial" w:hAnsi="Arial" w:cs="Arial"/>
        </w:rPr>
      </w:pPr>
      <w:r w:rsidRPr="0010669C">
        <w:rPr>
          <w:rFonts w:ascii="Arial" w:hAnsi="Arial" w:cs="Arial"/>
        </w:rPr>
        <w:t>As at</w:t>
      </w:r>
      <w:r w:rsidR="00763164">
        <w:rPr>
          <w:rFonts w:ascii="Arial" w:hAnsi="Arial" w:cs="Arial"/>
        </w:rPr>
        <w:t xml:space="preserve"> 31 March 2020</w:t>
      </w:r>
      <w:r w:rsidR="00990216" w:rsidRPr="0010669C">
        <w:rPr>
          <w:rFonts w:ascii="Arial" w:hAnsi="Arial" w:cs="Arial"/>
        </w:rPr>
        <w:t>, total</w:t>
      </w:r>
      <w:r w:rsidR="00557AE7" w:rsidRPr="0010669C">
        <w:rPr>
          <w:rFonts w:ascii="Arial" w:hAnsi="Arial" w:cs="Arial"/>
        </w:rPr>
        <w:t xml:space="preserve"> rent arr</w:t>
      </w:r>
      <w:r w:rsidR="009376F7" w:rsidRPr="0010669C">
        <w:rPr>
          <w:rFonts w:ascii="Arial" w:hAnsi="Arial" w:cs="Arial"/>
        </w:rPr>
        <w:t xml:space="preserve">ears </w:t>
      </w:r>
      <w:r w:rsidR="009376F7" w:rsidRPr="004C7928">
        <w:rPr>
          <w:rFonts w:ascii="Arial" w:hAnsi="Arial" w:cs="Arial"/>
        </w:rPr>
        <w:t>amounted to £</w:t>
      </w:r>
      <w:r w:rsidR="004C7928" w:rsidRPr="004C7928">
        <w:rPr>
          <w:rFonts w:ascii="Arial" w:hAnsi="Arial" w:cs="Arial"/>
        </w:rPr>
        <w:t>3.922</w:t>
      </w:r>
      <w:r w:rsidRPr="004C7928">
        <w:rPr>
          <w:rFonts w:ascii="Arial" w:hAnsi="Arial" w:cs="Arial"/>
        </w:rPr>
        <w:t>m</w:t>
      </w:r>
      <w:r w:rsidR="00763164" w:rsidRPr="004C7928">
        <w:rPr>
          <w:rFonts w:ascii="Arial" w:hAnsi="Arial" w:cs="Arial"/>
        </w:rPr>
        <w:t xml:space="preserve"> (£3.519</w:t>
      </w:r>
      <w:r w:rsidR="009376F7" w:rsidRPr="004C7928">
        <w:rPr>
          <w:rFonts w:ascii="Arial" w:hAnsi="Arial" w:cs="Arial"/>
        </w:rPr>
        <w:t xml:space="preserve">m </w:t>
      </w:r>
      <w:r w:rsidR="00763164" w:rsidRPr="004C7928">
        <w:rPr>
          <w:rFonts w:ascii="Arial" w:hAnsi="Arial" w:cs="Arial"/>
        </w:rPr>
        <w:t xml:space="preserve"> as at 31 March 2019</w:t>
      </w:r>
      <w:r w:rsidR="00557AE7" w:rsidRPr="004C7928">
        <w:rPr>
          <w:rFonts w:ascii="Arial" w:hAnsi="Arial" w:cs="Arial"/>
        </w:rPr>
        <w:t xml:space="preserve">). This is </w:t>
      </w:r>
      <w:r w:rsidR="004C7928" w:rsidRPr="004C7928">
        <w:rPr>
          <w:rFonts w:ascii="Arial" w:hAnsi="Arial" w:cs="Arial"/>
        </w:rPr>
        <w:t>9.56</w:t>
      </w:r>
      <w:r w:rsidR="00990216" w:rsidRPr="004C7928">
        <w:rPr>
          <w:rFonts w:ascii="Arial" w:hAnsi="Arial" w:cs="Arial"/>
        </w:rPr>
        <w:t>% of the total val</w:t>
      </w:r>
      <w:r w:rsidR="009376F7" w:rsidRPr="004C7928">
        <w:rPr>
          <w:rFonts w:ascii="Arial" w:hAnsi="Arial" w:cs="Arial"/>
        </w:rPr>
        <w:t>ue of rents due at 31 March 2</w:t>
      </w:r>
      <w:r w:rsidR="00763164" w:rsidRPr="004C7928">
        <w:rPr>
          <w:rFonts w:ascii="Arial" w:hAnsi="Arial" w:cs="Arial"/>
        </w:rPr>
        <w:t>020</w:t>
      </w:r>
      <w:r w:rsidR="00990216" w:rsidRPr="004C7928">
        <w:rPr>
          <w:rFonts w:ascii="Arial" w:hAnsi="Arial" w:cs="Arial"/>
        </w:rPr>
        <w:t>. It should be noted that the total a</w:t>
      </w:r>
      <w:r w:rsidR="00557AE7" w:rsidRPr="004C7928">
        <w:rPr>
          <w:rFonts w:ascii="Arial" w:hAnsi="Arial" w:cs="Arial"/>
        </w:rPr>
        <w:t>rrears d</w:t>
      </w:r>
      <w:r w:rsidR="009376F7" w:rsidRPr="004C7928">
        <w:rPr>
          <w:rFonts w:ascii="Arial" w:hAnsi="Arial" w:cs="Arial"/>
        </w:rPr>
        <w:t xml:space="preserve">o not all relate to </w:t>
      </w:r>
      <w:r w:rsidR="00763164" w:rsidRPr="004C7928">
        <w:rPr>
          <w:rFonts w:ascii="Arial" w:hAnsi="Arial" w:cs="Arial"/>
        </w:rPr>
        <w:t>2019/20</w:t>
      </w:r>
      <w:r w:rsidR="00990216" w:rsidRPr="004C7928">
        <w:rPr>
          <w:rFonts w:ascii="Arial" w:hAnsi="Arial" w:cs="Arial"/>
        </w:rPr>
        <w:t xml:space="preserve"> and the year on year movement in value of arrears is </w:t>
      </w:r>
      <w:r w:rsidR="009376F7" w:rsidRPr="004C7928">
        <w:rPr>
          <w:rFonts w:ascii="Arial" w:hAnsi="Arial" w:cs="Arial"/>
        </w:rPr>
        <w:t>a</w:t>
      </w:r>
      <w:r w:rsidR="00AE0663" w:rsidRPr="004C7928">
        <w:rPr>
          <w:rFonts w:ascii="Arial" w:hAnsi="Arial" w:cs="Arial"/>
        </w:rPr>
        <w:t>n increase</w:t>
      </w:r>
      <w:r w:rsidR="009376F7" w:rsidRPr="004C7928">
        <w:rPr>
          <w:rFonts w:ascii="Arial" w:hAnsi="Arial" w:cs="Arial"/>
        </w:rPr>
        <w:t xml:space="preserve"> of £</w:t>
      </w:r>
      <w:r w:rsidR="004C7928" w:rsidRPr="004C7928">
        <w:rPr>
          <w:rFonts w:ascii="Arial" w:hAnsi="Arial" w:cs="Arial"/>
        </w:rPr>
        <w:t>0.404</w:t>
      </w:r>
      <w:r w:rsidR="00990216" w:rsidRPr="004C7928">
        <w:rPr>
          <w:rFonts w:ascii="Arial" w:hAnsi="Arial" w:cs="Arial"/>
        </w:rPr>
        <w:t>m.</w:t>
      </w:r>
    </w:p>
    <w:p w:rsidR="00E518BB" w:rsidRPr="004C7928" w:rsidRDefault="00E518BB" w:rsidP="00990216">
      <w:pPr>
        <w:pStyle w:val="ListParagraph"/>
        <w:spacing w:before="0" w:after="0"/>
        <w:ind w:hanging="720"/>
        <w:jc w:val="both"/>
        <w:rPr>
          <w:rFonts w:ascii="Arial" w:hAnsi="Arial" w:cs="Arial"/>
          <w:b/>
        </w:rPr>
      </w:pPr>
    </w:p>
    <w:p w:rsidR="00990216" w:rsidRPr="00682524" w:rsidRDefault="00990216" w:rsidP="00990216">
      <w:pPr>
        <w:pStyle w:val="ListParagraph"/>
        <w:spacing w:before="0" w:after="0"/>
        <w:ind w:hanging="720"/>
        <w:rPr>
          <w:rFonts w:ascii="Arial" w:hAnsi="Arial" w:cs="Arial"/>
          <w:b/>
        </w:rPr>
      </w:pPr>
      <w:r w:rsidRPr="00682524">
        <w:rPr>
          <w:rFonts w:ascii="Arial" w:hAnsi="Arial" w:cs="Arial"/>
          <w:b/>
        </w:rPr>
        <w:t>Note 5 - Provision for Bad Debts</w:t>
      </w:r>
    </w:p>
    <w:p w:rsidR="00990216" w:rsidRPr="00375FD4" w:rsidRDefault="00763164" w:rsidP="003F6A00">
      <w:pPr>
        <w:pStyle w:val="ListParagraph"/>
        <w:spacing w:before="0" w:after="0"/>
        <w:ind w:left="0"/>
        <w:rPr>
          <w:rFonts w:ascii="Arial" w:hAnsi="Arial" w:cs="Arial"/>
        </w:rPr>
      </w:pPr>
      <w:r>
        <w:rPr>
          <w:rFonts w:ascii="Arial" w:hAnsi="Arial" w:cs="Arial"/>
        </w:rPr>
        <w:t xml:space="preserve">In the financial year </w:t>
      </w:r>
      <w:r w:rsidRPr="003117AF">
        <w:rPr>
          <w:rFonts w:ascii="Arial" w:hAnsi="Arial" w:cs="Arial"/>
        </w:rPr>
        <w:t>2019/20</w:t>
      </w:r>
      <w:r w:rsidR="00990216" w:rsidRPr="003117AF">
        <w:rPr>
          <w:rFonts w:ascii="Arial" w:hAnsi="Arial" w:cs="Arial"/>
        </w:rPr>
        <w:t>, the renta</w:t>
      </w:r>
      <w:r w:rsidR="00557AE7" w:rsidRPr="003117AF">
        <w:rPr>
          <w:rFonts w:ascii="Arial" w:hAnsi="Arial" w:cs="Arial"/>
        </w:rPr>
        <w:t>l bad debt provision has b</w:t>
      </w:r>
      <w:r w:rsidR="009376F7" w:rsidRPr="003117AF">
        <w:rPr>
          <w:rFonts w:ascii="Arial" w:hAnsi="Arial" w:cs="Arial"/>
        </w:rPr>
        <w:t xml:space="preserve">een </w:t>
      </w:r>
      <w:r w:rsidR="008004E2" w:rsidRPr="003117AF">
        <w:rPr>
          <w:rFonts w:ascii="Arial" w:hAnsi="Arial" w:cs="Arial"/>
        </w:rPr>
        <w:t>increas</w:t>
      </w:r>
      <w:r w:rsidR="00E060AD" w:rsidRPr="003117AF">
        <w:rPr>
          <w:rFonts w:ascii="Arial" w:hAnsi="Arial" w:cs="Arial"/>
        </w:rPr>
        <w:t xml:space="preserve">ed by </w:t>
      </w:r>
      <w:r w:rsidR="003117AF" w:rsidRPr="003117AF">
        <w:rPr>
          <w:rFonts w:ascii="Arial" w:hAnsi="Arial" w:cs="Arial"/>
        </w:rPr>
        <w:t>£0.172</w:t>
      </w:r>
      <w:r w:rsidR="009376F7" w:rsidRPr="003117AF">
        <w:rPr>
          <w:rFonts w:ascii="Arial" w:hAnsi="Arial" w:cs="Arial"/>
        </w:rPr>
        <w:t>m</w:t>
      </w:r>
      <w:r w:rsidR="00682524" w:rsidRPr="003117AF">
        <w:rPr>
          <w:rFonts w:ascii="Arial" w:hAnsi="Arial" w:cs="Arial"/>
        </w:rPr>
        <w:t xml:space="preserve"> </w:t>
      </w:r>
      <w:r w:rsidRPr="003117AF">
        <w:rPr>
          <w:rFonts w:ascii="Arial" w:hAnsi="Arial" w:cs="Arial"/>
        </w:rPr>
        <w:t>(£0.041</w:t>
      </w:r>
      <w:r w:rsidR="00482051" w:rsidRPr="003117AF">
        <w:rPr>
          <w:rFonts w:ascii="Arial" w:hAnsi="Arial" w:cs="Arial"/>
        </w:rPr>
        <w:t>m in</w:t>
      </w:r>
      <w:r w:rsidR="008004E2" w:rsidRPr="003117AF">
        <w:rPr>
          <w:rFonts w:ascii="Arial" w:hAnsi="Arial" w:cs="Arial"/>
        </w:rPr>
        <w:t>crease</w:t>
      </w:r>
      <w:r w:rsidRPr="003117AF">
        <w:rPr>
          <w:rFonts w:ascii="Arial" w:hAnsi="Arial" w:cs="Arial"/>
        </w:rPr>
        <w:t xml:space="preserve"> 2018/19</w:t>
      </w:r>
      <w:r w:rsidR="00990216" w:rsidRPr="003117AF">
        <w:rPr>
          <w:rFonts w:ascii="Arial" w:hAnsi="Arial" w:cs="Arial"/>
        </w:rPr>
        <w:t>)</w:t>
      </w:r>
      <w:r w:rsidR="00990216" w:rsidRPr="003117AF">
        <w:rPr>
          <w:rFonts w:ascii="Arial" w:hAnsi="Arial" w:cs="Arial"/>
          <w:b/>
        </w:rPr>
        <w:t xml:space="preserve">. </w:t>
      </w:r>
      <w:r w:rsidR="00990216" w:rsidRPr="003117AF">
        <w:rPr>
          <w:rFonts w:ascii="Arial" w:hAnsi="Arial" w:cs="Arial"/>
        </w:rPr>
        <w:t xml:space="preserve">The provision to cover loss of rental income stands </w:t>
      </w:r>
      <w:r w:rsidR="009376F7" w:rsidRPr="003117AF">
        <w:rPr>
          <w:rFonts w:ascii="Arial" w:hAnsi="Arial" w:cs="Arial"/>
        </w:rPr>
        <w:t>at £</w:t>
      </w:r>
      <w:r w:rsidR="003117AF" w:rsidRPr="003117AF">
        <w:rPr>
          <w:rFonts w:ascii="Arial" w:hAnsi="Arial" w:cs="Arial"/>
        </w:rPr>
        <w:t>2.682</w:t>
      </w:r>
      <w:r w:rsidR="00682524" w:rsidRPr="003117AF">
        <w:rPr>
          <w:rFonts w:ascii="Arial" w:hAnsi="Arial" w:cs="Arial"/>
        </w:rPr>
        <w:t>m</w:t>
      </w:r>
      <w:r w:rsidR="00482051" w:rsidRPr="003117AF">
        <w:rPr>
          <w:rFonts w:ascii="Arial" w:hAnsi="Arial" w:cs="Arial"/>
        </w:rPr>
        <w:t xml:space="preserve"> as at 31 March </w:t>
      </w:r>
      <w:r w:rsidRPr="003117AF">
        <w:rPr>
          <w:rFonts w:ascii="Arial" w:hAnsi="Arial" w:cs="Arial"/>
        </w:rPr>
        <w:t>2020</w:t>
      </w:r>
      <w:r w:rsidR="009376F7" w:rsidRPr="003117AF">
        <w:rPr>
          <w:rFonts w:ascii="Arial" w:hAnsi="Arial" w:cs="Arial"/>
        </w:rPr>
        <w:t xml:space="preserve"> – equivalent of </w:t>
      </w:r>
      <w:r w:rsidR="003117AF" w:rsidRPr="003117AF">
        <w:rPr>
          <w:rFonts w:ascii="Arial" w:hAnsi="Arial" w:cs="Arial"/>
        </w:rPr>
        <w:t>67.04</w:t>
      </w:r>
      <w:r w:rsidR="00990216" w:rsidRPr="003117AF">
        <w:rPr>
          <w:rFonts w:ascii="Arial" w:hAnsi="Arial" w:cs="Arial"/>
        </w:rPr>
        <w:t xml:space="preserve">% </w:t>
      </w:r>
      <w:r w:rsidRPr="003117AF">
        <w:rPr>
          <w:rFonts w:ascii="Arial" w:hAnsi="Arial" w:cs="Arial"/>
        </w:rPr>
        <w:t>(71.</w:t>
      </w:r>
      <w:r>
        <w:rPr>
          <w:rFonts w:ascii="Arial" w:hAnsi="Arial" w:cs="Arial"/>
        </w:rPr>
        <w:t>31% 2018/19</w:t>
      </w:r>
      <w:r w:rsidR="00557AE7" w:rsidRPr="0010669C">
        <w:rPr>
          <w:rFonts w:ascii="Arial" w:hAnsi="Arial" w:cs="Arial"/>
        </w:rPr>
        <w:t xml:space="preserve">) </w:t>
      </w:r>
      <w:r w:rsidR="00990216" w:rsidRPr="0010669C">
        <w:rPr>
          <w:rFonts w:ascii="Arial" w:hAnsi="Arial" w:cs="Arial"/>
        </w:rPr>
        <w:t>of the total value of rents due at that date.</w:t>
      </w:r>
    </w:p>
    <w:p w:rsidR="00990216" w:rsidRPr="00375FD4" w:rsidRDefault="00990216" w:rsidP="00990216">
      <w:pPr>
        <w:spacing w:before="0" w:after="0"/>
        <w:rPr>
          <w:rFonts w:ascii="Arial" w:hAnsi="Arial" w:cs="Arial"/>
        </w:rPr>
      </w:pPr>
    </w:p>
    <w:p w:rsidR="00E9373A" w:rsidRPr="00375FD4" w:rsidRDefault="00E9373A">
      <w:pPr>
        <w:spacing w:before="0" w:after="200" w:line="276" w:lineRule="auto"/>
        <w:rPr>
          <w:rFonts w:ascii="Arial" w:hAnsi="Arial" w:cs="Arial"/>
          <w:b/>
        </w:rPr>
      </w:pPr>
      <w:r w:rsidRPr="00375FD4">
        <w:rPr>
          <w:rFonts w:ascii="Arial" w:hAnsi="Arial" w:cs="Arial"/>
          <w:b/>
        </w:rPr>
        <w:br w:type="page"/>
      </w:r>
    </w:p>
    <w:p w:rsidR="00990216" w:rsidRPr="000A3446" w:rsidRDefault="00990216" w:rsidP="00E9373A">
      <w:pPr>
        <w:pStyle w:val="Heading1"/>
        <w:spacing w:before="0"/>
        <w:rPr>
          <w:rFonts w:ascii="Arial" w:hAnsi="Arial" w:cs="Arial"/>
          <w:color w:val="auto"/>
          <w:sz w:val="24"/>
          <w:szCs w:val="24"/>
        </w:rPr>
      </w:pPr>
      <w:r w:rsidRPr="000A3446">
        <w:rPr>
          <w:rFonts w:ascii="Arial" w:hAnsi="Arial" w:cs="Arial"/>
          <w:color w:val="auto"/>
          <w:sz w:val="24"/>
          <w:szCs w:val="24"/>
        </w:rPr>
        <w:lastRenderedPageBreak/>
        <w:t>Council Tax Account</w:t>
      </w:r>
    </w:p>
    <w:p w:rsidR="00990216" w:rsidRPr="00375FD4" w:rsidRDefault="00990216" w:rsidP="00990216">
      <w:pPr>
        <w:spacing w:before="0" w:after="0"/>
        <w:rPr>
          <w:rFonts w:ascii="Arial" w:hAnsi="Arial" w:cs="Arial"/>
          <w:b/>
        </w:rPr>
      </w:pPr>
    </w:p>
    <w:p w:rsidR="00990216" w:rsidRPr="00375FD4" w:rsidRDefault="00990216" w:rsidP="00990216">
      <w:pPr>
        <w:spacing w:before="0" w:after="0"/>
        <w:rPr>
          <w:rFonts w:ascii="Arial" w:hAnsi="Arial" w:cs="Arial"/>
          <w:b/>
        </w:rPr>
      </w:pPr>
      <w:r w:rsidRPr="00DF1B46">
        <w:rPr>
          <w:rFonts w:ascii="Arial" w:hAnsi="Arial" w:cs="Arial"/>
          <w:b/>
        </w:rPr>
        <w:t>Council Taxp</w:t>
      </w:r>
      <w:r w:rsidR="008C5A4D" w:rsidRPr="00DF1B46">
        <w:rPr>
          <w:rFonts w:ascii="Arial" w:hAnsi="Arial" w:cs="Arial"/>
          <w:b/>
        </w:rPr>
        <w:t>ayers</w:t>
      </w:r>
      <w:r w:rsidR="008C5A4D" w:rsidRPr="001E3290">
        <w:rPr>
          <w:rFonts w:ascii="Arial" w:hAnsi="Arial" w:cs="Arial"/>
          <w:b/>
        </w:rPr>
        <w:t>: £</w:t>
      </w:r>
      <w:r w:rsidR="001E3290" w:rsidRPr="001E3290">
        <w:rPr>
          <w:rFonts w:ascii="Arial" w:hAnsi="Arial" w:cs="Arial"/>
          <w:b/>
        </w:rPr>
        <w:t>35.296</w:t>
      </w:r>
      <w:r w:rsidR="00401371" w:rsidRPr="001E3290">
        <w:rPr>
          <w:rFonts w:ascii="Arial" w:hAnsi="Arial" w:cs="Arial"/>
          <w:b/>
        </w:rPr>
        <w:t>m</w:t>
      </w:r>
      <w:r w:rsidR="00763164">
        <w:rPr>
          <w:rFonts w:ascii="Arial" w:hAnsi="Arial" w:cs="Arial"/>
          <w:b/>
        </w:rPr>
        <w:t xml:space="preserve"> (2018/19</w:t>
      </w:r>
      <w:r w:rsidR="008C5A4D" w:rsidRPr="00DF1B46">
        <w:rPr>
          <w:rFonts w:ascii="Arial" w:hAnsi="Arial" w:cs="Arial"/>
          <w:b/>
        </w:rPr>
        <w:t xml:space="preserve"> £</w:t>
      </w:r>
      <w:r w:rsidR="00763164">
        <w:rPr>
          <w:rFonts w:ascii="Arial" w:hAnsi="Arial" w:cs="Arial"/>
          <w:b/>
        </w:rPr>
        <w:t>33.805</w:t>
      </w:r>
      <w:r w:rsidRPr="00DF1B46">
        <w:rPr>
          <w:rFonts w:ascii="Arial" w:hAnsi="Arial" w:cs="Arial"/>
          <w:b/>
        </w:rPr>
        <w:t>m)</w:t>
      </w:r>
    </w:p>
    <w:p w:rsidR="00990216" w:rsidRPr="00375FD4" w:rsidRDefault="00990216" w:rsidP="00990216">
      <w:pPr>
        <w:spacing w:before="0" w:after="0"/>
        <w:rPr>
          <w:rFonts w:ascii="Arial" w:hAnsi="Arial" w:cs="Arial"/>
          <w:b/>
        </w:rPr>
      </w:pPr>
    </w:p>
    <w:p w:rsidR="00990216" w:rsidRPr="00375FD4" w:rsidRDefault="00990216" w:rsidP="00522D7C">
      <w:pPr>
        <w:spacing w:before="0" w:after="0"/>
        <w:rPr>
          <w:rFonts w:ascii="Arial" w:hAnsi="Arial" w:cs="Arial"/>
        </w:rPr>
      </w:pPr>
      <w:r w:rsidRPr="00375FD4">
        <w:rPr>
          <w:rFonts w:ascii="Arial" w:hAnsi="Arial" w:cs="Arial"/>
        </w:rPr>
        <w:t>The Council Tax Income Account (Scotland) shows the gross income raised from council taxes levied and deductions made under Statute</w:t>
      </w:r>
      <w:r w:rsidR="00763164">
        <w:rPr>
          <w:rFonts w:ascii="Arial" w:hAnsi="Arial" w:cs="Arial"/>
        </w:rPr>
        <w:t>.  2019/20 represents the seven</w:t>
      </w:r>
      <w:r w:rsidR="00007B3E">
        <w:rPr>
          <w:rFonts w:ascii="Arial" w:hAnsi="Arial" w:cs="Arial"/>
        </w:rPr>
        <w:t>th</w:t>
      </w:r>
      <w:r w:rsidRPr="00375FD4">
        <w:rPr>
          <w:rFonts w:ascii="Arial" w:hAnsi="Arial" w:cs="Arial"/>
        </w:rPr>
        <w:t xml:space="preserve"> year of operation of the Council Tax </w:t>
      </w:r>
      <w:r w:rsidR="001C1869" w:rsidRPr="00375FD4">
        <w:rPr>
          <w:rFonts w:ascii="Arial" w:hAnsi="Arial" w:cs="Arial"/>
        </w:rPr>
        <w:t>Re</w:t>
      </w:r>
      <w:r w:rsidR="001C1869">
        <w:rPr>
          <w:rFonts w:ascii="Arial" w:hAnsi="Arial" w:cs="Arial"/>
        </w:rPr>
        <w:t>duction</w:t>
      </w:r>
      <w:r w:rsidRPr="00375FD4">
        <w:rPr>
          <w:rFonts w:ascii="Arial" w:hAnsi="Arial" w:cs="Arial"/>
        </w:rPr>
        <w:t xml:space="preserve"> Scheme in Scotland.  The Council Tax Re</w:t>
      </w:r>
      <w:r w:rsidR="001C1869">
        <w:rPr>
          <w:rFonts w:ascii="Arial" w:hAnsi="Arial" w:cs="Arial"/>
        </w:rPr>
        <w:t>duction</w:t>
      </w:r>
      <w:r w:rsidRPr="00375FD4">
        <w:rPr>
          <w:rFonts w:ascii="Arial" w:hAnsi="Arial" w:cs="Arial"/>
        </w:rPr>
        <w:t xml:space="preserve"> Scheme represents a new discount introduced across Scotland following the abolition of Council Tax Benefits as part of the UK government’s welfare reform programme. The resultant total net income within the Council Tax Account is transferred to the Comprehensive Income and Expenditure Statement.</w:t>
      </w:r>
    </w:p>
    <w:p w:rsidR="00990216" w:rsidRPr="00375FD4" w:rsidRDefault="00990216" w:rsidP="00990216">
      <w:pPr>
        <w:spacing w:before="0" w:after="0"/>
        <w:rPr>
          <w:rFonts w:ascii="Arial" w:hAnsi="Arial" w:cs="Arial"/>
          <w:b/>
        </w:rPr>
      </w:pPr>
    </w:p>
    <w:p w:rsidR="003E535E" w:rsidRPr="00375FD4" w:rsidRDefault="00E9373A" w:rsidP="00990216">
      <w:pPr>
        <w:tabs>
          <w:tab w:val="left" w:pos="720"/>
          <w:tab w:val="right" w:pos="6480"/>
        </w:tabs>
        <w:spacing w:before="0" w:after="0"/>
        <w:jc w:val="both"/>
        <w:rPr>
          <w:rFonts w:ascii="Arial" w:hAnsi="Arial" w:cs="Arial"/>
        </w:rPr>
      </w:pPr>
      <w:r w:rsidRPr="00375FD4">
        <w:rPr>
          <w:rFonts w:ascii="Arial" w:hAnsi="Arial" w:cs="Arial"/>
        </w:rPr>
        <w:tab/>
      </w:r>
    </w:p>
    <w:p w:rsidR="00E9373A" w:rsidRPr="00375FD4" w:rsidRDefault="00C26A79" w:rsidP="00990216">
      <w:pPr>
        <w:tabs>
          <w:tab w:val="left" w:pos="720"/>
          <w:tab w:val="right" w:pos="6480"/>
        </w:tabs>
        <w:spacing w:before="0" w:after="0"/>
        <w:jc w:val="both"/>
        <w:rPr>
          <w:rFonts w:ascii="Arial" w:hAnsi="Arial" w:cs="Arial"/>
        </w:rPr>
      </w:pPr>
      <w:r w:rsidRPr="00C26A79">
        <w:rPr>
          <w:noProof/>
          <w:lang w:eastAsia="en-GB"/>
        </w:rPr>
        <w:drawing>
          <wp:inline distT="0" distB="0" distL="0" distR="0">
            <wp:extent cx="4730750" cy="1454150"/>
            <wp:effectExtent l="0" t="0" r="0" b="0"/>
            <wp:docPr id="252" name="Picture 252" descr="detail of council tax charges and discounts" title="council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730750" cy="1454150"/>
                    </a:xfrm>
                    <a:prstGeom prst="rect">
                      <a:avLst/>
                    </a:prstGeom>
                    <a:noFill/>
                    <a:ln>
                      <a:noFill/>
                    </a:ln>
                  </pic:spPr>
                </pic:pic>
              </a:graphicData>
            </a:graphic>
          </wp:inline>
        </w:drawing>
      </w:r>
    </w:p>
    <w:p w:rsidR="00990216" w:rsidRPr="00375FD4" w:rsidRDefault="00990216" w:rsidP="00990216">
      <w:pPr>
        <w:tabs>
          <w:tab w:val="left" w:pos="720"/>
          <w:tab w:val="right" w:pos="6480"/>
        </w:tabs>
        <w:spacing w:before="0" w:after="0"/>
        <w:jc w:val="both"/>
        <w:rPr>
          <w:rFonts w:ascii="Arial" w:hAnsi="Arial" w:cs="Arial"/>
        </w:rPr>
      </w:pPr>
    </w:p>
    <w:p w:rsidR="00990216" w:rsidRPr="00375FD4" w:rsidRDefault="00990216" w:rsidP="00990216">
      <w:pPr>
        <w:tabs>
          <w:tab w:val="left" w:pos="720"/>
          <w:tab w:val="right" w:pos="6480"/>
        </w:tabs>
        <w:spacing w:before="0" w:after="0"/>
        <w:jc w:val="both"/>
        <w:rPr>
          <w:rFonts w:ascii="Arial" w:hAnsi="Arial" w:cs="Arial"/>
          <w:i/>
        </w:rPr>
      </w:pPr>
      <w:r w:rsidRPr="00375FD4">
        <w:rPr>
          <w:rFonts w:ascii="Arial" w:hAnsi="Arial" w:cs="Arial"/>
          <w:i/>
        </w:rPr>
        <w:t>The calculation of the council tax base</w:t>
      </w:r>
    </w:p>
    <w:p w:rsidR="00E9373A" w:rsidRPr="00375FD4" w:rsidRDefault="00E9373A" w:rsidP="00990216">
      <w:pPr>
        <w:tabs>
          <w:tab w:val="left" w:pos="720"/>
          <w:tab w:val="right" w:pos="6480"/>
        </w:tabs>
        <w:spacing w:before="0" w:after="0"/>
        <w:jc w:val="both"/>
        <w:rPr>
          <w:rFonts w:ascii="Arial" w:hAnsi="Arial" w:cs="Arial"/>
        </w:rPr>
      </w:pPr>
    </w:p>
    <w:p w:rsidR="00E9373A" w:rsidRDefault="00EB691C" w:rsidP="00990216">
      <w:pPr>
        <w:tabs>
          <w:tab w:val="left" w:pos="720"/>
          <w:tab w:val="right" w:pos="6480"/>
        </w:tabs>
        <w:spacing w:before="0" w:after="0"/>
        <w:jc w:val="both"/>
        <w:rPr>
          <w:rFonts w:ascii="Arial" w:hAnsi="Arial" w:cs="Arial"/>
        </w:rPr>
      </w:pPr>
      <w:r w:rsidRPr="00EB691C">
        <w:rPr>
          <w:noProof/>
          <w:lang w:eastAsia="en-GB"/>
        </w:rPr>
        <w:drawing>
          <wp:inline distT="0" distB="0" distL="0" distR="0" wp14:anchorId="573A6B07" wp14:editId="7728CC59">
            <wp:extent cx="5731510" cy="1769416"/>
            <wp:effectExtent l="0" t="0" r="2540" b="2540"/>
            <wp:docPr id="55" name="Picture 55" descr="detail of reliefs by bandings" title="council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731510" cy="1769416"/>
                    </a:xfrm>
                    <a:prstGeom prst="rect">
                      <a:avLst/>
                    </a:prstGeom>
                    <a:noFill/>
                    <a:ln>
                      <a:noFill/>
                    </a:ln>
                  </pic:spPr>
                </pic:pic>
              </a:graphicData>
            </a:graphic>
          </wp:inline>
        </w:drawing>
      </w:r>
    </w:p>
    <w:p w:rsidR="00715C71" w:rsidRPr="00375FD4" w:rsidRDefault="00715C71" w:rsidP="00990216">
      <w:pPr>
        <w:tabs>
          <w:tab w:val="left" w:pos="720"/>
          <w:tab w:val="right" w:pos="6480"/>
        </w:tabs>
        <w:spacing w:before="0" w:after="0"/>
        <w:jc w:val="both"/>
        <w:rPr>
          <w:rFonts w:ascii="Arial" w:hAnsi="Arial" w:cs="Arial"/>
        </w:rPr>
      </w:pPr>
    </w:p>
    <w:p w:rsidR="00990216" w:rsidRPr="00375FD4" w:rsidRDefault="00990216" w:rsidP="00990216">
      <w:pPr>
        <w:tabs>
          <w:tab w:val="left" w:pos="720"/>
        </w:tabs>
        <w:spacing w:before="0" w:after="0"/>
        <w:jc w:val="both"/>
        <w:rPr>
          <w:rFonts w:ascii="Arial" w:hAnsi="Arial" w:cs="Arial"/>
        </w:rPr>
      </w:pPr>
      <w:r w:rsidRPr="00375FD4">
        <w:rPr>
          <w:rFonts w:ascii="Arial" w:hAnsi="Arial" w:cs="Arial"/>
          <w:i/>
        </w:rPr>
        <w:t>The nature and actual amount of each charge fixed</w:t>
      </w:r>
      <w:r w:rsidRPr="00375FD4">
        <w:rPr>
          <w:rFonts w:ascii="Arial" w:hAnsi="Arial" w:cs="Arial"/>
        </w:rPr>
        <w:tab/>
        <w:t xml:space="preserve"> </w:t>
      </w:r>
    </w:p>
    <w:p w:rsidR="009376F7" w:rsidRDefault="00D536A6" w:rsidP="00990216">
      <w:pPr>
        <w:pStyle w:val="Heading6"/>
        <w:tabs>
          <w:tab w:val="left" w:pos="720"/>
        </w:tabs>
        <w:spacing w:before="0" w:after="0"/>
        <w:rPr>
          <w:rFonts w:ascii="Arial" w:hAnsi="Arial" w:cs="Arial"/>
          <w:sz w:val="20"/>
          <w:szCs w:val="20"/>
        </w:rPr>
      </w:pPr>
      <w:r w:rsidRPr="00D536A6">
        <w:rPr>
          <w:noProof/>
          <w:lang w:eastAsia="en-GB"/>
        </w:rPr>
        <w:drawing>
          <wp:inline distT="0" distB="0" distL="0" distR="0">
            <wp:extent cx="5372100" cy="1790700"/>
            <wp:effectExtent l="0" t="0" r="0" b="0"/>
            <wp:docPr id="238" name="Picture 238" descr="detail of charges by band" title="council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p w:rsidR="00990216" w:rsidRPr="00375FD4" w:rsidRDefault="00990216" w:rsidP="00990216">
      <w:pPr>
        <w:pStyle w:val="Heading6"/>
        <w:tabs>
          <w:tab w:val="left" w:pos="720"/>
        </w:tabs>
        <w:spacing w:before="0" w:after="0"/>
        <w:rPr>
          <w:rFonts w:ascii="Arial" w:hAnsi="Arial" w:cs="Arial"/>
          <w:sz w:val="20"/>
          <w:szCs w:val="20"/>
        </w:rPr>
      </w:pPr>
      <w:r w:rsidRPr="00375FD4">
        <w:rPr>
          <w:rFonts w:ascii="Arial" w:hAnsi="Arial" w:cs="Arial"/>
          <w:sz w:val="20"/>
          <w:szCs w:val="20"/>
        </w:rPr>
        <w:t>Discounts, Reliefs and Exemptions</w:t>
      </w:r>
    </w:p>
    <w:p w:rsidR="00990216" w:rsidRPr="00375FD4" w:rsidRDefault="00990216" w:rsidP="00522D7C">
      <w:pPr>
        <w:spacing w:before="0" w:after="0"/>
        <w:ind w:right="-188"/>
        <w:rPr>
          <w:rFonts w:ascii="Arial" w:hAnsi="Arial" w:cs="Arial"/>
        </w:rPr>
      </w:pPr>
      <w:r w:rsidRPr="00375FD4">
        <w:rPr>
          <w:rFonts w:ascii="Arial" w:hAnsi="Arial" w:cs="Arial"/>
        </w:rPr>
        <w:t>A council tax bill is reduced by 25% where a property has only one occupant or 50% where the property is empty.  For council tax purposes certain students are not regarded as occupants.  Certain properties may also qualify for relief if the property has been adapted for a disabled person. Properties undergoing major renovation or held pending demolition may be awarded exemption from council tax.</w:t>
      </w:r>
    </w:p>
    <w:p w:rsidR="00990216" w:rsidRPr="00375FD4" w:rsidRDefault="00990216" w:rsidP="00522D7C">
      <w:pPr>
        <w:spacing w:before="0" w:after="0"/>
        <w:rPr>
          <w:rFonts w:ascii="Arial" w:hAnsi="Arial" w:cs="Arial"/>
        </w:rPr>
      </w:pPr>
    </w:p>
    <w:p w:rsidR="00990216" w:rsidRPr="000A3446" w:rsidRDefault="00990216" w:rsidP="00522D7C">
      <w:pPr>
        <w:spacing w:before="0" w:after="0"/>
        <w:rPr>
          <w:rStyle w:val="Heading1Char"/>
          <w:rFonts w:ascii="Arial" w:hAnsi="Arial" w:cs="Arial"/>
          <w:color w:val="auto"/>
          <w:sz w:val="24"/>
          <w:szCs w:val="24"/>
        </w:rPr>
      </w:pPr>
      <w:r w:rsidRPr="007C1192">
        <w:rPr>
          <w:rFonts w:ascii="Arial" w:hAnsi="Arial" w:cs="Arial"/>
          <w:sz w:val="16"/>
          <w:szCs w:val="16"/>
        </w:rPr>
        <w:t>*Council Tax Benefit has been replaced by Revenue Support Grant received from the Scottish Government.  The result of which has been to reduce the Council Tax Income due by use of a Council Tax Discount Mechanism.</w:t>
      </w:r>
      <w:r w:rsidRPr="00375FD4">
        <w:rPr>
          <w:rFonts w:ascii="Arial" w:hAnsi="Arial" w:cs="Arial"/>
          <w:b/>
        </w:rPr>
        <w:br w:type="page"/>
      </w:r>
      <w:r w:rsidRPr="000A3446">
        <w:rPr>
          <w:rStyle w:val="Heading1Char"/>
          <w:rFonts w:ascii="Arial" w:hAnsi="Arial" w:cs="Arial"/>
          <w:color w:val="auto"/>
          <w:sz w:val="24"/>
          <w:szCs w:val="24"/>
        </w:rPr>
        <w:lastRenderedPageBreak/>
        <w:t>Non Domestic Rates Account</w:t>
      </w:r>
    </w:p>
    <w:p w:rsidR="00990216" w:rsidRPr="00375FD4" w:rsidRDefault="00990216" w:rsidP="00990216">
      <w:pPr>
        <w:spacing w:before="0" w:after="0"/>
        <w:rPr>
          <w:rFonts w:ascii="Arial" w:hAnsi="Arial" w:cs="Arial"/>
          <w:b/>
        </w:rPr>
      </w:pPr>
    </w:p>
    <w:p w:rsidR="00990216" w:rsidRPr="00375FD4" w:rsidRDefault="00990216" w:rsidP="00990216">
      <w:pPr>
        <w:tabs>
          <w:tab w:val="left" w:pos="720"/>
          <w:tab w:val="right" w:pos="6480"/>
        </w:tabs>
        <w:spacing w:before="0" w:after="0"/>
        <w:ind w:left="720" w:hanging="720"/>
        <w:jc w:val="both"/>
        <w:rPr>
          <w:rFonts w:ascii="Arial" w:hAnsi="Arial" w:cs="Arial"/>
          <w:b/>
        </w:rPr>
      </w:pPr>
      <w:r w:rsidRPr="002929A4">
        <w:rPr>
          <w:rFonts w:ascii="Arial" w:hAnsi="Arial" w:cs="Arial"/>
          <w:b/>
        </w:rPr>
        <w:t>Non-Dome</w:t>
      </w:r>
      <w:r w:rsidR="008C5A4D" w:rsidRPr="002929A4">
        <w:rPr>
          <w:rFonts w:ascii="Arial" w:hAnsi="Arial" w:cs="Arial"/>
          <w:b/>
        </w:rPr>
        <w:t xml:space="preserve">stic </w:t>
      </w:r>
      <w:r w:rsidR="008C5A4D" w:rsidRPr="006126B3">
        <w:rPr>
          <w:rFonts w:ascii="Arial" w:hAnsi="Arial" w:cs="Arial"/>
          <w:b/>
        </w:rPr>
        <w:t>Rates Income £</w:t>
      </w:r>
      <w:r w:rsidR="00162677">
        <w:rPr>
          <w:rFonts w:ascii="Arial" w:hAnsi="Arial" w:cs="Arial"/>
          <w:b/>
        </w:rPr>
        <w:t>84.847</w:t>
      </w:r>
      <w:r w:rsidR="004605CC" w:rsidRPr="006126B3">
        <w:rPr>
          <w:rFonts w:ascii="Arial" w:hAnsi="Arial" w:cs="Arial"/>
          <w:b/>
        </w:rPr>
        <w:t>m</w:t>
      </w:r>
      <w:r w:rsidR="00763164" w:rsidRPr="006126B3">
        <w:rPr>
          <w:rFonts w:ascii="Arial" w:hAnsi="Arial" w:cs="Arial"/>
          <w:b/>
        </w:rPr>
        <w:t xml:space="preserve"> (2018/19</w:t>
      </w:r>
      <w:r w:rsidR="008C5A4D" w:rsidRPr="006126B3">
        <w:rPr>
          <w:rFonts w:ascii="Arial" w:hAnsi="Arial" w:cs="Arial"/>
          <w:b/>
        </w:rPr>
        <w:t xml:space="preserve"> £</w:t>
      </w:r>
      <w:r w:rsidR="00763164" w:rsidRPr="006126B3">
        <w:rPr>
          <w:rFonts w:ascii="Arial" w:hAnsi="Arial" w:cs="Arial"/>
          <w:b/>
        </w:rPr>
        <w:t>78</w:t>
      </w:r>
      <w:r w:rsidR="00763164">
        <w:rPr>
          <w:rFonts w:ascii="Arial" w:hAnsi="Arial" w:cs="Arial"/>
          <w:b/>
        </w:rPr>
        <w:t>.812</w:t>
      </w:r>
      <w:r w:rsidR="00557AE7" w:rsidRPr="002929A4">
        <w:rPr>
          <w:rFonts w:ascii="Arial" w:hAnsi="Arial" w:cs="Arial"/>
          <w:b/>
        </w:rPr>
        <w:t>m)</w:t>
      </w:r>
    </w:p>
    <w:p w:rsidR="00990216" w:rsidRPr="00375FD4" w:rsidRDefault="00990216" w:rsidP="00990216">
      <w:pPr>
        <w:tabs>
          <w:tab w:val="left" w:pos="720"/>
          <w:tab w:val="right" w:pos="6480"/>
        </w:tabs>
        <w:spacing w:before="0" w:after="0"/>
        <w:ind w:left="720" w:hanging="720"/>
        <w:jc w:val="both"/>
        <w:rPr>
          <w:rFonts w:ascii="Arial" w:hAnsi="Arial" w:cs="Arial"/>
          <w:b/>
        </w:rPr>
      </w:pPr>
    </w:p>
    <w:p w:rsidR="00990216" w:rsidRPr="00375FD4" w:rsidRDefault="00990216" w:rsidP="00522D7C">
      <w:pPr>
        <w:tabs>
          <w:tab w:val="right" w:pos="6480"/>
        </w:tabs>
        <w:spacing w:before="0" w:after="0"/>
        <w:rPr>
          <w:rFonts w:ascii="Arial" w:hAnsi="Arial" w:cs="Arial"/>
        </w:rPr>
      </w:pPr>
      <w:r w:rsidRPr="00375FD4">
        <w:rPr>
          <w:rFonts w:ascii="Arial" w:hAnsi="Arial" w:cs="Arial"/>
        </w:rPr>
        <w:t>The Non Domestic Rate Account (Scotland) is an agent’s statement that reflects the statutory obligation for billing authorities to maintain a separate Non Domestic Rates account.  The statement shows the gross income from the rates and deductions made under Statute.  The net income is paid to the Scottish Government as a contribution to the national non-domestic rate pool.</w:t>
      </w:r>
    </w:p>
    <w:p w:rsidR="00990216" w:rsidRPr="00375FD4" w:rsidRDefault="00990216" w:rsidP="00522D7C">
      <w:pPr>
        <w:tabs>
          <w:tab w:val="left" w:pos="720"/>
          <w:tab w:val="right" w:pos="6480"/>
        </w:tabs>
        <w:spacing w:before="0" w:after="0"/>
        <w:ind w:left="720" w:hanging="720"/>
        <w:rPr>
          <w:rFonts w:ascii="Arial" w:hAnsi="Arial" w:cs="Arial"/>
          <w:b/>
        </w:rPr>
      </w:pPr>
    </w:p>
    <w:p w:rsidR="00990216" w:rsidRPr="006126B3" w:rsidRDefault="00990216" w:rsidP="006126B3">
      <w:pPr>
        <w:pStyle w:val="BodyTextIndent3"/>
        <w:spacing w:before="0" w:after="0"/>
        <w:ind w:left="0"/>
        <w:rPr>
          <w:rFonts w:ascii="Arial" w:hAnsi="Arial" w:cs="Arial"/>
          <w:color w:val="FF0000"/>
          <w:sz w:val="20"/>
          <w:szCs w:val="20"/>
        </w:rPr>
      </w:pPr>
      <w:r w:rsidRPr="00375FD4">
        <w:rPr>
          <w:rFonts w:ascii="Arial" w:hAnsi="Arial" w:cs="Arial"/>
          <w:sz w:val="20"/>
          <w:szCs w:val="20"/>
        </w:rPr>
        <w:t xml:space="preserve">Non-Domestic Rates are pooled for Scotland as a whole and </w:t>
      </w:r>
      <w:r w:rsidRPr="006126B3">
        <w:rPr>
          <w:rFonts w:ascii="Arial" w:hAnsi="Arial" w:cs="Arial"/>
          <w:sz w:val="20"/>
          <w:szCs w:val="20"/>
        </w:rPr>
        <w:t>redistributed to authorities on a basis which reflects population.  West Dunbartonshire Council re</w:t>
      </w:r>
      <w:r w:rsidR="008C5A4D" w:rsidRPr="006126B3">
        <w:rPr>
          <w:rFonts w:ascii="Arial" w:hAnsi="Arial" w:cs="Arial"/>
          <w:sz w:val="20"/>
          <w:szCs w:val="20"/>
        </w:rPr>
        <w:t>ceived £</w:t>
      </w:r>
      <w:r w:rsidR="00CD7379">
        <w:rPr>
          <w:rFonts w:ascii="Arial" w:hAnsi="Arial" w:cs="Arial"/>
          <w:sz w:val="20"/>
          <w:szCs w:val="20"/>
        </w:rPr>
        <w:t>84.847</w:t>
      </w:r>
      <w:r w:rsidR="00007B3E" w:rsidRPr="006126B3">
        <w:rPr>
          <w:rFonts w:ascii="Arial" w:hAnsi="Arial" w:cs="Arial"/>
          <w:sz w:val="20"/>
          <w:szCs w:val="20"/>
        </w:rPr>
        <w:t>m (</w:t>
      </w:r>
      <w:r w:rsidR="00763164" w:rsidRPr="006126B3">
        <w:rPr>
          <w:rFonts w:ascii="Arial" w:hAnsi="Arial" w:cs="Arial"/>
          <w:sz w:val="20"/>
          <w:szCs w:val="20"/>
        </w:rPr>
        <w:t>2018</w:t>
      </w:r>
      <w:r w:rsidR="00763164">
        <w:rPr>
          <w:rFonts w:ascii="Arial" w:hAnsi="Arial" w:cs="Arial"/>
          <w:sz w:val="20"/>
          <w:szCs w:val="20"/>
        </w:rPr>
        <w:t>/19</w:t>
      </w:r>
      <w:r w:rsidR="008C5A4D" w:rsidRPr="002929A4">
        <w:rPr>
          <w:rFonts w:ascii="Arial" w:hAnsi="Arial" w:cs="Arial"/>
          <w:sz w:val="20"/>
          <w:szCs w:val="20"/>
        </w:rPr>
        <w:t xml:space="preserve"> £</w:t>
      </w:r>
      <w:r w:rsidR="00763164">
        <w:rPr>
          <w:rFonts w:ascii="Arial" w:hAnsi="Arial" w:cs="Arial"/>
          <w:sz w:val="20"/>
          <w:szCs w:val="20"/>
        </w:rPr>
        <w:t>78.812</w:t>
      </w:r>
      <w:r w:rsidR="009376F7" w:rsidRPr="002929A4">
        <w:rPr>
          <w:rFonts w:ascii="Arial" w:hAnsi="Arial" w:cs="Arial"/>
          <w:sz w:val="20"/>
          <w:szCs w:val="20"/>
        </w:rPr>
        <w:t>m</w:t>
      </w:r>
      <w:r w:rsidR="00557AE7" w:rsidRPr="002929A4">
        <w:rPr>
          <w:rFonts w:ascii="Arial" w:hAnsi="Arial" w:cs="Arial"/>
          <w:sz w:val="20"/>
          <w:szCs w:val="20"/>
        </w:rPr>
        <w:t>)</w:t>
      </w:r>
      <w:r w:rsidRPr="00375FD4">
        <w:rPr>
          <w:rFonts w:ascii="Arial" w:hAnsi="Arial" w:cs="Arial"/>
          <w:sz w:val="20"/>
          <w:szCs w:val="20"/>
        </w:rPr>
        <w:t xml:space="preserve"> from the national pool.  West Dunbartonshire Council’s allocation </w:t>
      </w:r>
      <w:r w:rsidR="00EF352D">
        <w:rPr>
          <w:rFonts w:ascii="Arial" w:hAnsi="Arial" w:cs="Arial"/>
          <w:sz w:val="20"/>
          <w:szCs w:val="20"/>
        </w:rPr>
        <w:t>from the pool now reflects the c</w:t>
      </w:r>
      <w:r w:rsidRPr="00375FD4">
        <w:rPr>
          <w:rFonts w:ascii="Arial" w:hAnsi="Arial" w:cs="Arial"/>
          <w:sz w:val="20"/>
          <w:szCs w:val="20"/>
        </w:rPr>
        <w:t xml:space="preserve">ouncil’s </w:t>
      </w:r>
      <w:r w:rsidRPr="006126B3">
        <w:rPr>
          <w:rFonts w:ascii="Arial" w:hAnsi="Arial" w:cs="Arial"/>
          <w:sz w:val="20"/>
          <w:szCs w:val="20"/>
        </w:rPr>
        <w:t>duty to collect Scottish Gas utili</w:t>
      </w:r>
      <w:r w:rsidR="001C2895" w:rsidRPr="006126B3">
        <w:rPr>
          <w:rFonts w:ascii="Arial" w:hAnsi="Arial" w:cs="Arial"/>
          <w:sz w:val="20"/>
          <w:szCs w:val="20"/>
        </w:rPr>
        <w:t>ties on behalf</w:t>
      </w:r>
      <w:r w:rsidR="00EF352D" w:rsidRPr="006126B3">
        <w:rPr>
          <w:rFonts w:ascii="Arial" w:hAnsi="Arial" w:cs="Arial"/>
          <w:sz w:val="20"/>
          <w:szCs w:val="20"/>
        </w:rPr>
        <w:t xml:space="preserve"> of all Scottish councils</w:t>
      </w:r>
      <w:r w:rsidR="00801140" w:rsidRPr="006126B3">
        <w:rPr>
          <w:rFonts w:ascii="Arial" w:hAnsi="Arial" w:cs="Arial"/>
          <w:sz w:val="20"/>
          <w:szCs w:val="20"/>
        </w:rPr>
        <w:t xml:space="preserve"> and this equates to </w:t>
      </w:r>
      <w:r w:rsidR="006126B3" w:rsidRPr="006126B3">
        <w:rPr>
          <w:rFonts w:ascii="Arial" w:hAnsi="Arial" w:cs="Arial"/>
          <w:sz w:val="20"/>
          <w:szCs w:val="20"/>
        </w:rPr>
        <w:t>£56.554</w:t>
      </w:r>
      <w:r w:rsidR="00801140" w:rsidRPr="006126B3">
        <w:rPr>
          <w:rFonts w:ascii="Arial" w:hAnsi="Arial" w:cs="Arial"/>
          <w:sz w:val="20"/>
          <w:szCs w:val="20"/>
        </w:rPr>
        <w:t>m</w:t>
      </w:r>
      <w:r w:rsidR="00763164" w:rsidRPr="006126B3">
        <w:rPr>
          <w:rFonts w:ascii="Arial" w:hAnsi="Arial" w:cs="Arial"/>
          <w:sz w:val="20"/>
          <w:szCs w:val="20"/>
        </w:rPr>
        <w:t xml:space="preserve"> in</w:t>
      </w:r>
      <w:r w:rsidR="00763164">
        <w:rPr>
          <w:rFonts w:ascii="Arial" w:hAnsi="Arial" w:cs="Arial"/>
          <w:sz w:val="20"/>
          <w:szCs w:val="20"/>
        </w:rPr>
        <w:t xml:space="preserve"> year (£55.458m 2018/19</w:t>
      </w:r>
      <w:r w:rsidR="00801140">
        <w:rPr>
          <w:rFonts w:ascii="Arial" w:hAnsi="Arial" w:cs="Arial"/>
          <w:sz w:val="20"/>
          <w:szCs w:val="20"/>
        </w:rPr>
        <w:t>)</w:t>
      </w:r>
      <w:r w:rsidR="00EF352D">
        <w:rPr>
          <w:rFonts w:ascii="Arial" w:hAnsi="Arial" w:cs="Arial"/>
          <w:sz w:val="20"/>
          <w:szCs w:val="20"/>
        </w:rPr>
        <w:t>. The c</w:t>
      </w:r>
      <w:r w:rsidRPr="00375FD4">
        <w:rPr>
          <w:rFonts w:ascii="Arial" w:hAnsi="Arial" w:cs="Arial"/>
          <w:sz w:val="20"/>
          <w:szCs w:val="20"/>
        </w:rPr>
        <w:t>ouncil’s Revenue Support Grant has been adjusted to compensate for this change.  In 2012/13 the Scottish Government introduced Business Rates Incentivisation</w:t>
      </w:r>
      <w:r w:rsidR="001C2895">
        <w:rPr>
          <w:rFonts w:ascii="Arial" w:hAnsi="Arial" w:cs="Arial"/>
          <w:sz w:val="20"/>
          <w:szCs w:val="20"/>
        </w:rPr>
        <w:t xml:space="preserve"> Scheme (BRIS), to incentivise c</w:t>
      </w:r>
      <w:r w:rsidRPr="00375FD4">
        <w:rPr>
          <w:rFonts w:ascii="Arial" w:hAnsi="Arial" w:cs="Arial"/>
          <w:sz w:val="20"/>
          <w:szCs w:val="20"/>
        </w:rPr>
        <w:t>ouncils to grow their potential business rates tax base and as a result increase rates income, a proportion</w:t>
      </w:r>
      <w:r w:rsidR="001C2895">
        <w:rPr>
          <w:rFonts w:ascii="Arial" w:hAnsi="Arial" w:cs="Arial"/>
          <w:sz w:val="20"/>
          <w:szCs w:val="20"/>
        </w:rPr>
        <w:t xml:space="preserve"> of which is to be retained by c</w:t>
      </w:r>
      <w:r w:rsidRPr="00375FD4">
        <w:rPr>
          <w:rFonts w:ascii="Arial" w:hAnsi="Arial" w:cs="Arial"/>
          <w:sz w:val="20"/>
          <w:szCs w:val="20"/>
        </w:rPr>
        <w:t>ouncils. Following a review of the original BRIS by a joint Scottish Government/COSLA Review Group the original scheme was suspended and a revise</w:t>
      </w:r>
      <w:r w:rsidR="009A6255">
        <w:rPr>
          <w:rFonts w:ascii="Arial" w:hAnsi="Arial" w:cs="Arial"/>
          <w:sz w:val="20"/>
          <w:szCs w:val="20"/>
        </w:rPr>
        <w:t xml:space="preserve">d scheme was </w:t>
      </w:r>
      <w:r w:rsidR="009A6255" w:rsidRPr="006126B3">
        <w:rPr>
          <w:rFonts w:ascii="Arial" w:hAnsi="Arial" w:cs="Arial"/>
          <w:sz w:val="20"/>
          <w:szCs w:val="20"/>
        </w:rPr>
        <w:t>introduced in 2014/</w:t>
      </w:r>
      <w:r w:rsidRPr="006126B3">
        <w:rPr>
          <w:rFonts w:ascii="Arial" w:hAnsi="Arial" w:cs="Arial"/>
          <w:sz w:val="20"/>
          <w:szCs w:val="20"/>
        </w:rPr>
        <w:t xml:space="preserve">15. The amount of revised BRIS local targets will be linked only to the buoyancy element of the total estimated NDRI for any one year. This ensures that each </w:t>
      </w:r>
      <w:r w:rsidR="001C2895" w:rsidRPr="006126B3">
        <w:rPr>
          <w:rFonts w:ascii="Arial" w:hAnsi="Arial" w:cs="Arial"/>
          <w:sz w:val="20"/>
          <w:szCs w:val="20"/>
        </w:rPr>
        <w:t>c</w:t>
      </w:r>
      <w:r w:rsidR="00312456" w:rsidRPr="006126B3">
        <w:rPr>
          <w:rFonts w:ascii="Arial" w:hAnsi="Arial" w:cs="Arial"/>
          <w:sz w:val="20"/>
          <w:szCs w:val="20"/>
        </w:rPr>
        <w:t>ouncil</w:t>
      </w:r>
      <w:r w:rsidRPr="006126B3">
        <w:rPr>
          <w:rFonts w:ascii="Arial" w:hAnsi="Arial" w:cs="Arial"/>
          <w:sz w:val="20"/>
          <w:szCs w:val="20"/>
        </w:rPr>
        <w:t xml:space="preserve"> will have the ability to influence their own local </w:t>
      </w:r>
      <w:r w:rsidR="008454C8" w:rsidRPr="006126B3">
        <w:rPr>
          <w:rFonts w:ascii="Arial" w:hAnsi="Arial" w:cs="Arial"/>
          <w:sz w:val="20"/>
          <w:szCs w:val="20"/>
        </w:rPr>
        <w:t xml:space="preserve">tax base. Local </w:t>
      </w:r>
      <w:r w:rsidR="006126B3" w:rsidRPr="006126B3">
        <w:rPr>
          <w:rFonts w:ascii="Arial" w:hAnsi="Arial" w:cs="Arial"/>
          <w:sz w:val="20"/>
          <w:szCs w:val="20"/>
        </w:rPr>
        <w:t xml:space="preserve">final </w:t>
      </w:r>
      <w:r w:rsidR="00F84D83" w:rsidRPr="006126B3">
        <w:rPr>
          <w:rFonts w:ascii="Arial" w:hAnsi="Arial" w:cs="Arial"/>
          <w:sz w:val="20"/>
          <w:szCs w:val="20"/>
        </w:rPr>
        <w:t>target</w:t>
      </w:r>
      <w:r w:rsidR="008454C8" w:rsidRPr="006126B3">
        <w:rPr>
          <w:rFonts w:ascii="Arial" w:hAnsi="Arial" w:cs="Arial"/>
          <w:sz w:val="20"/>
          <w:szCs w:val="20"/>
        </w:rPr>
        <w:t xml:space="preserve"> for 2</w:t>
      </w:r>
      <w:r w:rsidR="00763164" w:rsidRPr="006126B3">
        <w:rPr>
          <w:rFonts w:ascii="Arial" w:hAnsi="Arial" w:cs="Arial"/>
          <w:sz w:val="20"/>
          <w:szCs w:val="20"/>
        </w:rPr>
        <w:t>019/20</w:t>
      </w:r>
      <w:r w:rsidR="00F84D83" w:rsidRPr="006126B3">
        <w:rPr>
          <w:rFonts w:ascii="Arial" w:hAnsi="Arial" w:cs="Arial"/>
          <w:sz w:val="20"/>
          <w:szCs w:val="20"/>
        </w:rPr>
        <w:t xml:space="preserve"> was</w:t>
      </w:r>
      <w:r w:rsidR="0053065E" w:rsidRPr="006126B3">
        <w:rPr>
          <w:rFonts w:ascii="Arial" w:hAnsi="Arial" w:cs="Arial"/>
          <w:sz w:val="20"/>
          <w:szCs w:val="20"/>
        </w:rPr>
        <w:t xml:space="preserve"> </w:t>
      </w:r>
      <w:r w:rsidR="006126B3" w:rsidRPr="006126B3">
        <w:rPr>
          <w:rFonts w:ascii="Arial" w:hAnsi="Arial" w:cs="Arial"/>
          <w:sz w:val="20"/>
          <w:szCs w:val="20"/>
        </w:rPr>
        <w:t>1.0</w:t>
      </w:r>
      <w:r w:rsidR="00EF352D" w:rsidRPr="006126B3">
        <w:rPr>
          <w:rFonts w:ascii="Arial" w:hAnsi="Arial" w:cs="Arial"/>
          <w:sz w:val="20"/>
          <w:szCs w:val="20"/>
        </w:rPr>
        <w:t>% and indications suggest the c</w:t>
      </w:r>
      <w:r w:rsidRPr="006126B3">
        <w:rPr>
          <w:rFonts w:ascii="Arial" w:hAnsi="Arial" w:cs="Arial"/>
          <w:sz w:val="20"/>
          <w:szCs w:val="20"/>
        </w:rPr>
        <w:t>ouncil is not d</w:t>
      </w:r>
      <w:r w:rsidR="006126B3" w:rsidRPr="006126B3">
        <w:rPr>
          <w:rFonts w:ascii="Arial" w:hAnsi="Arial" w:cs="Arial"/>
          <w:sz w:val="20"/>
          <w:szCs w:val="20"/>
        </w:rPr>
        <w:t>ue any additional income for this</w:t>
      </w:r>
      <w:r w:rsidRPr="006126B3">
        <w:rPr>
          <w:rFonts w:ascii="Arial" w:hAnsi="Arial" w:cs="Arial"/>
          <w:sz w:val="20"/>
          <w:szCs w:val="20"/>
        </w:rPr>
        <w:t xml:space="preserve"> year</w:t>
      </w:r>
      <w:r w:rsidR="00793E19">
        <w:rPr>
          <w:rFonts w:ascii="Arial" w:hAnsi="Arial" w:cs="Arial"/>
          <w:sz w:val="20"/>
          <w:szCs w:val="20"/>
        </w:rPr>
        <w:t xml:space="preserve">’s rates collected, but should receive a further </w:t>
      </w:r>
      <w:r w:rsidR="00225629">
        <w:rPr>
          <w:rFonts w:ascii="Arial" w:hAnsi="Arial" w:cs="Arial"/>
          <w:sz w:val="20"/>
          <w:szCs w:val="20"/>
        </w:rPr>
        <w:t xml:space="preserve">annual payment of </w:t>
      </w:r>
      <w:r w:rsidR="00793E19">
        <w:rPr>
          <w:rFonts w:ascii="Arial" w:hAnsi="Arial" w:cs="Arial"/>
          <w:sz w:val="20"/>
          <w:szCs w:val="20"/>
        </w:rPr>
        <w:t xml:space="preserve">£0.055m </w:t>
      </w:r>
      <w:r w:rsidR="00225629">
        <w:rPr>
          <w:rFonts w:ascii="Arial" w:hAnsi="Arial" w:cs="Arial"/>
          <w:sz w:val="20"/>
          <w:szCs w:val="20"/>
        </w:rPr>
        <w:t xml:space="preserve">in 2020/21 </w:t>
      </w:r>
      <w:r w:rsidR="00793E19">
        <w:rPr>
          <w:rFonts w:ascii="Arial" w:hAnsi="Arial" w:cs="Arial"/>
          <w:sz w:val="20"/>
          <w:szCs w:val="20"/>
        </w:rPr>
        <w:t xml:space="preserve">for the </w:t>
      </w:r>
      <w:r w:rsidR="00225629">
        <w:rPr>
          <w:rFonts w:ascii="Arial" w:hAnsi="Arial" w:cs="Arial"/>
          <w:sz w:val="20"/>
          <w:szCs w:val="20"/>
        </w:rPr>
        <w:t>increase identified in the</w:t>
      </w:r>
      <w:r w:rsidR="00793E19">
        <w:rPr>
          <w:rFonts w:ascii="Arial" w:hAnsi="Arial" w:cs="Arial"/>
          <w:sz w:val="20"/>
          <w:szCs w:val="20"/>
        </w:rPr>
        <w:t xml:space="preserve"> 2017/18</w:t>
      </w:r>
      <w:r w:rsidR="00225629">
        <w:rPr>
          <w:rFonts w:ascii="Arial" w:hAnsi="Arial" w:cs="Arial"/>
          <w:sz w:val="20"/>
          <w:szCs w:val="20"/>
        </w:rPr>
        <w:t xml:space="preserve"> NDR return</w:t>
      </w:r>
      <w:r w:rsidRPr="006126B3">
        <w:rPr>
          <w:rFonts w:ascii="Arial" w:hAnsi="Arial" w:cs="Arial"/>
          <w:sz w:val="20"/>
          <w:szCs w:val="20"/>
        </w:rPr>
        <w:t xml:space="preserve">. </w:t>
      </w:r>
    </w:p>
    <w:p w:rsidR="00990216" w:rsidRPr="006126B3" w:rsidRDefault="00990216" w:rsidP="00522D7C">
      <w:pPr>
        <w:pStyle w:val="BodyTextIndent3"/>
        <w:spacing w:before="0" w:after="0"/>
        <w:ind w:left="0"/>
        <w:rPr>
          <w:rFonts w:ascii="Arial" w:hAnsi="Arial" w:cs="Arial"/>
          <w:sz w:val="20"/>
          <w:szCs w:val="20"/>
        </w:rPr>
      </w:pPr>
    </w:p>
    <w:p w:rsidR="00990216" w:rsidRPr="00375FD4" w:rsidRDefault="00990216" w:rsidP="00522D7C">
      <w:pPr>
        <w:pStyle w:val="BodyTextIndent3"/>
        <w:spacing w:before="0" w:after="0"/>
        <w:ind w:left="0"/>
        <w:rPr>
          <w:rFonts w:ascii="Arial" w:hAnsi="Arial" w:cs="Arial"/>
          <w:sz w:val="20"/>
          <w:szCs w:val="20"/>
        </w:rPr>
      </w:pPr>
      <w:r w:rsidRPr="006126B3">
        <w:rPr>
          <w:rFonts w:ascii="Arial" w:hAnsi="Arial" w:cs="Arial"/>
          <w:sz w:val="20"/>
          <w:szCs w:val="20"/>
        </w:rPr>
        <w:t>The amount deemed</w:t>
      </w:r>
      <w:r w:rsidR="00691F02" w:rsidRPr="006126B3">
        <w:rPr>
          <w:rFonts w:ascii="Arial" w:hAnsi="Arial" w:cs="Arial"/>
          <w:sz w:val="20"/>
          <w:szCs w:val="20"/>
        </w:rPr>
        <w:t xml:space="preserve"> to be collected locall</w:t>
      </w:r>
      <w:r w:rsidR="0053065E" w:rsidRPr="006126B3">
        <w:rPr>
          <w:rFonts w:ascii="Arial" w:hAnsi="Arial" w:cs="Arial"/>
          <w:sz w:val="20"/>
          <w:szCs w:val="20"/>
        </w:rPr>
        <w:t>y was £</w:t>
      </w:r>
      <w:r w:rsidR="006126B3" w:rsidRPr="006126B3">
        <w:rPr>
          <w:rFonts w:ascii="Arial" w:hAnsi="Arial" w:cs="Arial"/>
          <w:sz w:val="20"/>
          <w:szCs w:val="20"/>
        </w:rPr>
        <w:t>83.302</w:t>
      </w:r>
      <w:r w:rsidR="004605CC" w:rsidRPr="006126B3">
        <w:rPr>
          <w:rFonts w:ascii="Arial" w:hAnsi="Arial" w:cs="Arial"/>
          <w:sz w:val="20"/>
          <w:szCs w:val="20"/>
        </w:rPr>
        <w:t>m</w:t>
      </w:r>
      <w:r w:rsidR="00763164" w:rsidRPr="006126B3">
        <w:rPr>
          <w:rFonts w:ascii="Arial" w:hAnsi="Arial" w:cs="Arial"/>
          <w:sz w:val="20"/>
          <w:szCs w:val="20"/>
        </w:rPr>
        <w:t xml:space="preserve"> (2018</w:t>
      </w:r>
      <w:r w:rsidRPr="006126B3">
        <w:rPr>
          <w:rFonts w:ascii="Arial" w:hAnsi="Arial" w:cs="Arial"/>
          <w:sz w:val="20"/>
          <w:szCs w:val="20"/>
        </w:rPr>
        <w:t>/1</w:t>
      </w:r>
      <w:r w:rsidR="00763164" w:rsidRPr="006126B3">
        <w:rPr>
          <w:rFonts w:ascii="Arial" w:hAnsi="Arial" w:cs="Arial"/>
          <w:sz w:val="20"/>
          <w:szCs w:val="20"/>
        </w:rPr>
        <w:t>9 £80.558</w:t>
      </w:r>
      <w:r w:rsidRPr="006126B3">
        <w:rPr>
          <w:rFonts w:ascii="Arial" w:hAnsi="Arial" w:cs="Arial"/>
          <w:sz w:val="20"/>
          <w:szCs w:val="20"/>
        </w:rPr>
        <w:t>m).  The sum actually collected locally and contributed to the po</w:t>
      </w:r>
      <w:r w:rsidR="008C5A4D" w:rsidRPr="006126B3">
        <w:rPr>
          <w:rFonts w:ascii="Arial" w:hAnsi="Arial" w:cs="Arial"/>
          <w:sz w:val="20"/>
          <w:szCs w:val="20"/>
        </w:rPr>
        <w:t>ol was £</w:t>
      </w:r>
      <w:r w:rsidR="0041042B">
        <w:rPr>
          <w:rFonts w:ascii="Arial" w:hAnsi="Arial" w:cs="Arial"/>
          <w:sz w:val="20"/>
          <w:szCs w:val="20"/>
        </w:rPr>
        <w:t>83.039</w:t>
      </w:r>
      <w:r w:rsidR="008C5A4D" w:rsidRPr="006126B3">
        <w:rPr>
          <w:rFonts w:ascii="Arial" w:hAnsi="Arial" w:cs="Arial"/>
          <w:sz w:val="20"/>
          <w:szCs w:val="20"/>
        </w:rPr>
        <w:t>m</w:t>
      </w:r>
      <w:r w:rsidR="00763164" w:rsidRPr="006126B3">
        <w:rPr>
          <w:rFonts w:ascii="Arial" w:hAnsi="Arial" w:cs="Arial"/>
          <w:sz w:val="20"/>
          <w:szCs w:val="20"/>
        </w:rPr>
        <w:t xml:space="preserve"> (2018</w:t>
      </w:r>
      <w:r w:rsidR="008C5A4D" w:rsidRPr="002929A4">
        <w:rPr>
          <w:rFonts w:ascii="Arial" w:hAnsi="Arial" w:cs="Arial"/>
          <w:sz w:val="20"/>
          <w:szCs w:val="20"/>
        </w:rPr>
        <w:t>/1</w:t>
      </w:r>
      <w:r w:rsidR="00763164">
        <w:rPr>
          <w:rFonts w:ascii="Arial" w:hAnsi="Arial" w:cs="Arial"/>
          <w:sz w:val="20"/>
          <w:szCs w:val="20"/>
        </w:rPr>
        <w:t>9</w:t>
      </w:r>
      <w:r w:rsidR="008C5A4D" w:rsidRPr="002929A4">
        <w:rPr>
          <w:rFonts w:ascii="Arial" w:hAnsi="Arial" w:cs="Arial"/>
          <w:sz w:val="20"/>
          <w:szCs w:val="20"/>
        </w:rPr>
        <w:t xml:space="preserve"> £</w:t>
      </w:r>
      <w:r w:rsidR="0041042B">
        <w:rPr>
          <w:rFonts w:ascii="Arial" w:hAnsi="Arial" w:cs="Arial"/>
          <w:sz w:val="20"/>
          <w:szCs w:val="20"/>
        </w:rPr>
        <w:t>82.910</w:t>
      </w:r>
      <w:r w:rsidRPr="002929A4">
        <w:rPr>
          <w:rFonts w:ascii="Arial" w:hAnsi="Arial" w:cs="Arial"/>
          <w:sz w:val="20"/>
          <w:szCs w:val="20"/>
        </w:rPr>
        <w:t>m), made up as follows:</w:t>
      </w:r>
    </w:p>
    <w:p w:rsidR="00990216" w:rsidRPr="00375FD4" w:rsidRDefault="00990216" w:rsidP="00522D7C">
      <w:pPr>
        <w:tabs>
          <w:tab w:val="left" w:pos="720"/>
          <w:tab w:val="right" w:pos="6480"/>
        </w:tabs>
        <w:spacing w:before="0" w:after="0"/>
        <w:ind w:left="720" w:hanging="720"/>
        <w:rPr>
          <w:rFonts w:ascii="Arial" w:hAnsi="Arial" w:cs="Arial"/>
        </w:rPr>
      </w:pPr>
    </w:p>
    <w:p w:rsidR="005750EC" w:rsidRPr="00375FD4" w:rsidRDefault="00F000FA" w:rsidP="00522D7C">
      <w:pPr>
        <w:pStyle w:val="BodyTextIndent3"/>
        <w:spacing w:before="0" w:after="0"/>
        <w:ind w:left="0"/>
        <w:rPr>
          <w:rFonts w:ascii="Arial" w:hAnsi="Arial" w:cs="Arial"/>
          <w:sz w:val="20"/>
          <w:szCs w:val="20"/>
        </w:rPr>
      </w:pPr>
      <w:r w:rsidRPr="00F000FA">
        <w:rPr>
          <w:noProof/>
          <w:lang w:eastAsia="en-GB"/>
        </w:rPr>
        <w:drawing>
          <wp:inline distT="0" distB="0" distL="0" distR="0">
            <wp:extent cx="5441950" cy="2908300"/>
            <wp:effectExtent l="0" t="0" r="6350" b="6350"/>
            <wp:docPr id="28" name="Picture 28" descr="detail of charges and reliefs" title="non domestic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441950" cy="2908300"/>
                    </a:xfrm>
                    <a:prstGeom prst="rect">
                      <a:avLst/>
                    </a:prstGeom>
                    <a:noFill/>
                    <a:ln>
                      <a:noFill/>
                    </a:ln>
                  </pic:spPr>
                </pic:pic>
              </a:graphicData>
            </a:graphic>
          </wp:inline>
        </w:drawing>
      </w:r>
    </w:p>
    <w:p w:rsidR="00801140" w:rsidRDefault="00801140" w:rsidP="00522D7C">
      <w:pPr>
        <w:pStyle w:val="BodyTextIndent3"/>
        <w:spacing w:before="0" w:after="0"/>
        <w:ind w:left="0"/>
        <w:rPr>
          <w:rFonts w:ascii="Arial" w:hAnsi="Arial" w:cs="Arial"/>
          <w:sz w:val="20"/>
          <w:szCs w:val="20"/>
        </w:rPr>
      </w:pPr>
    </w:p>
    <w:p w:rsidR="00565B40" w:rsidRDefault="00990216" w:rsidP="00522D7C">
      <w:pPr>
        <w:pStyle w:val="BodyTextIndent3"/>
        <w:spacing w:before="0" w:after="0"/>
        <w:ind w:left="0"/>
        <w:rPr>
          <w:rFonts w:ascii="Arial" w:hAnsi="Arial" w:cs="Arial"/>
          <w:sz w:val="20"/>
          <w:szCs w:val="20"/>
        </w:rPr>
      </w:pPr>
      <w:r w:rsidRPr="00375FD4">
        <w:rPr>
          <w:rFonts w:ascii="Arial" w:hAnsi="Arial" w:cs="Arial"/>
          <w:sz w:val="20"/>
          <w:szCs w:val="20"/>
        </w:rPr>
        <w:t>The non-domestic rates pool operates on a cash accounting basis and as such the non-domestic rate income account within West Dunbartonshire Council is calculated on a similar basis.</w:t>
      </w:r>
    </w:p>
    <w:p w:rsidR="00990216" w:rsidRPr="00375FD4" w:rsidRDefault="00990216" w:rsidP="00522D7C">
      <w:pPr>
        <w:pStyle w:val="BodyTextIndent3"/>
        <w:spacing w:before="0" w:after="0"/>
        <w:ind w:left="0"/>
        <w:rPr>
          <w:rFonts w:ascii="Arial" w:hAnsi="Arial" w:cs="Arial"/>
          <w:sz w:val="20"/>
          <w:szCs w:val="20"/>
        </w:rPr>
      </w:pPr>
      <w:r w:rsidRPr="00375FD4">
        <w:rPr>
          <w:rFonts w:ascii="Arial" w:hAnsi="Arial" w:cs="Arial"/>
          <w:sz w:val="20"/>
          <w:szCs w:val="20"/>
        </w:rPr>
        <w:t xml:space="preserve"> </w:t>
      </w:r>
    </w:p>
    <w:p w:rsidR="00990216" w:rsidRPr="00375FD4" w:rsidRDefault="00E5684D" w:rsidP="00990216">
      <w:pPr>
        <w:tabs>
          <w:tab w:val="left" w:pos="720"/>
          <w:tab w:val="right" w:pos="6480"/>
        </w:tabs>
        <w:spacing w:before="0" w:after="0"/>
        <w:ind w:left="720" w:hanging="720"/>
        <w:jc w:val="both"/>
        <w:rPr>
          <w:rFonts w:ascii="Arial" w:hAnsi="Arial" w:cs="Arial"/>
        </w:rPr>
      </w:pPr>
      <w:r w:rsidRPr="00E5684D">
        <w:rPr>
          <w:noProof/>
          <w:lang w:eastAsia="en-GB"/>
        </w:rPr>
        <w:drawing>
          <wp:inline distT="0" distB="0" distL="0" distR="0" wp14:anchorId="6C23F0F9" wp14:editId="39E06709">
            <wp:extent cx="5731510" cy="1228821"/>
            <wp:effectExtent l="0" t="0" r="0" b="9525"/>
            <wp:docPr id="24" name="Picture 24" descr="analysis of rateable values" title="non domestic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731510" cy="1228821"/>
                    </a:xfrm>
                    <a:prstGeom prst="rect">
                      <a:avLst/>
                    </a:prstGeom>
                    <a:noFill/>
                    <a:ln>
                      <a:noFill/>
                    </a:ln>
                  </pic:spPr>
                </pic:pic>
              </a:graphicData>
            </a:graphic>
          </wp:inline>
        </w:drawing>
      </w:r>
    </w:p>
    <w:p w:rsidR="00990216" w:rsidRPr="00375FD4" w:rsidRDefault="00FF2B1B" w:rsidP="00FF2B1B">
      <w:pPr>
        <w:tabs>
          <w:tab w:val="left" w:pos="7889"/>
        </w:tabs>
        <w:spacing w:before="0" w:after="0"/>
        <w:jc w:val="both"/>
        <w:rPr>
          <w:rFonts w:ascii="Arial" w:hAnsi="Arial" w:cs="Arial"/>
          <w:b/>
        </w:rPr>
      </w:pPr>
      <w:r>
        <w:rPr>
          <w:rFonts w:ascii="Arial" w:hAnsi="Arial" w:cs="Arial"/>
          <w:b/>
        </w:rPr>
        <w:lastRenderedPageBreak/>
        <w:tab/>
      </w:r>
    </w:p>
    <w:p w:rsidR="00990216" w:rsidRPr="000A3446" w:rsidRDefault="00990216" w:rsidP="00877AB6">
      <w:pPr>
        <w:pStyle w:val="Heading1"/>
        <w:spacing w:before="0"/>
        <w:rPr>
          <w:rFonts w:ascii="Arial" w:hAnsi="Arial" w:cs="Arial"/>
          <w:color w:val="auto"/>
          <w:sz w:val="24"/>
          <w:szCs w:val="24"/>
        </w:rPr>
      </w:pPr>
      <w:r w:rsidRPr="000A3446">
        <w:rPr>
          <w:rFonts w:ascii="Arial" w:hAnsi="Arial" w:cs="Arial"/>
          <w:color w:val="auto"/>
          <w:sz w:val="24"/>
          <w:szCs w:val="24"/>
        </w:rPr>
        <w:t>Group Accounts</w:t>
      </w:r>
    </w:p>
    <w:p w:rsidR="00877AB6" w:rsidRPr="00375FD4" w:rsidRDefault="00877AB6" w:rsidP="00990216">
      <w:pPr>
        <w:keepNext/>
        <w:spacing w:before="0" w:after="0"/>
        <w:outlineLvl w:val="4"/>
        <w:rPr>
          <w:rFonts w:ascii="Arial" w:hAnsi="Arial" w:cs="Arial"/>
          <w:b/>
          <w:bCs/>
        </w:rPr>
      </w:pPr>
    </w:p>
    <w:p w:rsidR="00990216" w:rsidRPr="00375FD4" w:rsidRDefault="00990216" w:rsidP="00990216">
      <w:pPr>
        <w:keepNext/>
        <w:spacing w:before="0" w:after="0"/>
        <w:outlineLvl w:val="4"/>
        <w:rPr>
          <w:rFonts w:ascii="Arial" w:hAnsi="Arial" w:cs="Arial"/>
          <w:b/>
          <w:bCs/>
        </w:rPr>
      </w:pPr>
      <w:r w:rsidRPr="00375FD4">
        <w:rPr>
          <w:rFonts w:ascii="Arial" w:hAnsi="Arial" w:cs="Arial"/>
          <w:b/>
          <w:bCs/>
        </w:rPr>
        <w:t>Introduction</w:t>
      </w:r>
    </w:p>
    <w:p w:rsidR="00990216" w:rsidRPr="00375FD4" w:rsidRDefault="00110448" w:rsidP="00110448">
      <w:pPr>
        <w:tabs>
          <w:tab w:val="left" w:pos="1155"/>
        </w:tabs>
        <w:spacing w:before="0" w:after="0"/>
        <w:rPr>
          <w:rFonts w:ascii="Arial" w:hAnsi="Arial" w:cs="Arial"/>
        </w:rPr>
      </w:pPr>
      <w:r>
        <w:rPr>
          <w:rFonts w:ascii="Arial" w:hAnsi="Arial" w:cs="Arial"/>
        </w:rPr>
        <w:tab/>
      </w:r>
    </w:p>
    <w:p w:rsidR="00990216" w:rsidRPr="00375FD4" w:rsidRDefault="00990216" w:rsidP="00522D7C">
      <w:pPr>
        <w:spacing w:before="0" w:after="0"/>
        <w:rPr>
          <w:rFonts w:ascii="Arial" w:hAnsi="Arial" w:cs="Arial"/>
        </w:rPr>
      </w:pPr>
      <w:r w:rsidRPr="00375FD4">
        <w:rPr>
          <w:rFonts w:ascii="Arial" w:hAnsi="Arial" w:cs="Arial"/>
        </w:rPr>
        <w:t xml:space="preserve">The Code of Practice on Local </w:t>
      </w:r>
      <w:r w:rsidR="00312456">
        <w:rPr>
          <w:rFonts w:ascii="Arial" w:hAnsi="Arial" w:cs="Arial"/>
        </w:rPr>
        <w:t>Council</w:t>
      </w:r>
      <w:r w:rsidRPr="00375FD4">
        <w:rPr>
          <w:rFonts w:ascii="Arial" w:hAnsi="Arial" w:cs="Arial"/>
        </w:rPr>
        <w:t xml:space="preserve"> Accounting in the United Kingdom (the Code) requires local authorities to consider their interests in all types of entities. This includes other local authorities or similar bodies defined in section 106 of the Local Government (Scotland) Act 1973, including statutory bodies such as Valuation and Concessionary Travel Joint Boards. Authorities are required to prepare a full set of group accounts</w:t>
      </w:r>
      <w:r w:rsidR="001C2895">
        <w:rPr>
          <w:rFonts w:ascii="Arial" w:hAnsi="Arial" w:cs="Arial"/>
        </w:rPr>
        <w:t xml:space="preserve"> in addition to their own c</w:t>
      </w:r>
      <w:r w:rsidRPr="00375FD4">
        <w:rPr>
          <w:rFonts w:ascii="Arial" w:hAnsi="Arial" w:cs="Arial"/>
        </w:rPr>
        <w:t xml:space="preserve">ouncil’s accounts where they have a material interest in such entities. </w:t>
      </w:r>
      <w:r w:rsidR="00C15A69">
        <w:rPr>
          <w:rFonts w:ascii="Arial" w:hAnsi="Arial" w:cs="Arial"/>
        </w:rPr>
        <w:t>West Dunbartonshire Council has accounted for its interests in each associate and joint venture using the equity method of accounting.</w:t>
      </w:r>
    </w:p>
    <w:p w:rsidR="00990216" w:rsidRPr="00375FD4" w:rsidRDefault="00990216" w:rsidP="00522D7C">
      <w:pPr>
        <w:spacing w:before="0" w:after="0"/>
        <w:rPr>
          <w:rFonts w:ascii="Arial" w:hAnsi="Arial" w:cs="Arial"/>
        </w:rPr>
      </w:pPr>
    </w:p>
    <w:p w:rsidR="00990216" w:rsidRPr="00375FD4" w:rsidRDefault="00990216" w:rsidP="00522D7C">
      <w:pPr>
        <w:keepNext/>
        <w:spacing w:before="0" w:after="0"/>
        <w:outlineLvl w:val="4"/>
        <w:rPr>
          <w:rFonts w:ascii="Arial" w:hAnsi="Arial" w:cs="Arial"/>
          <w:b/>
          <w:bCs/>
        </w:rPr>
      </w:pPr>
      <w:r w:rsidRPr="00375FD4">
        <w:rPr>
          <w:rFonts w:ascii="Arial" w:hAnsi="Arial" w:cs="Arial"/>
          <w:b/>
          <w:bCs/>
        </w:rPr>
        <w:t>Combining Entities</w:t>
      </w:r>
    </w:p>
    <w:p w:rsidR="00990216" w:rsidRPr="00375FD4" w:rsidRDefault="00990216" w:rsidP="00522D7C">
      <w:pPr>
        <w:spacing w:before="0" w:after="0"/>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 xml:space="preserve">The Group Accounts consolidate the </w:t>
      </w:r>
      <w:r w:rsidR="00EF352D">
        <w:rPr>
          <w:rFonts w:ascii="Arial" w:hAnsi="Arial" w:cs="Arial"/>
        </w:rPr>
        <w:t>results of the c</w:t>
      </w:r>
      <w:r w:rsidR="001C1869">
        <w:rPr>
          <w:rFonts w:ascii="Arial" w:hAnsi="Arial" w:cs="Arial"/>
        </w:rPr>
        <w:t>ouncil with six</w:t>
      </w:r>
      <w:r w:rsidRPr="00375FD4">
        <w:rPr>
          <w:rFonts w:ascii="Arial" w:hAnsi="Arial" w:cs="Arial"/>
        </w:rPr>
        <w:t xml:space="preserve"> other entities:</w:t>
      </w:r>
    </w:p>
    <w:p w:rsidR="00990216" w:rsidRPr="00375FD4" w:rsidRDefault="00990216" w:rsidP="00522D7C">
      <w:pPr>
        <w:spacing w:before="0" w:after="0"/>
        <w:rPr>
          <w:rFonts w:ascii="Arial" w:hAnsi="Arial" w:cs="Arial"/>
        </w:rPr>
      </w:pPr>
    </w:p>
    <w:p w:rsidR="00216A78" w:rsidRPr="003F6A00" w:rsidRDefault="00990216"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Dunbartonshire and Argyll &amp; Bute Valuation Joint Board (VJB)</w:t>
      </w:r>
      <w:r w:rsidR="00216A78" w:rsidRPr="003F6A00">
        <w:rPr>
          <w:rFonts w:ascii="Arial" w:hAnsi="Arial" w:cs="Arial"/>
        </w:rPr>
        <w:t>;</w:t>
      </w:r>
    </w:p>
    <w:p w:rsidR="00990216" w:rsidRPr="003F6A00" w:rsidRDefault="00671822"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West Dunbartonshire Health and S</w:t>
      </w:r>
      <w:r w:rsidR="00216A78" w:rsidRPr="003F6A00">
        <w:rPr>
          <w:rFonts w:ascii="Arial" w:hAnsi="Arial" w:cs="Arial"/>
        </w:rPr>
        <w:t>ocial Care Partnership (HSCP)</w:t>
      </w:r>
      <w:r w:rsidR="00990216" w:rsidRPr="003F6A00">
        <w:rPr>
          <w:rFonts w:ascii="Arial" w:hAnsi="Arial" w:cs="Arial"/>
        </w:rPr>
        <w:t>;</w:t>
      </w:r>
    </w:p>
    <w:p w:rsidR="00990216" w:rsidRPr="003F6A00" w:rsidRDefault="00990216"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 xml:space="preserve">Strathclyde Partnership for Transport (SPT); </w:t>
      </w:r>
    </w:p>
    <w:p w:rsidR="00990216" w:rsidRPr="003F6A00" w:rsidRDefault="00990216"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 xml:space="preserve">Strathclyde Concessionary Travel Joint Board (SCT); </w:t>
      </w:r>
    </w:p>
    <w:p w:rsidR="00990216" w:rsidRPr="003F6A00" w:rsidRDefault="00990216"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West Dunbartonshire Leisure Trust (WDLT); and</w:t>
      </w:r>
    </w:p>
    <w:p w:rsidR="00990216" w:rsidRPr="003F6A00" w:rsidRDefault="00990216" w:rsidP="00EA6E47">
      <w:pPr>
        <w:pStyle w:val="ListParagraph"/>
        <w:numPr>
          <w:ilvl w:val="0"/>
          <w:numId w:val="45"/>
        </w:numPr>
        <w:tabs>
          <w:tab w:val="left" w:pos="540"/>
        </w:tabs>
        <w:spacing w:before="0" w:after="0"/>
        <w:ind w:left="426"/>
        <w:rPr>
          <w:rFonts w:ascii="Arial" w:hAnsi="Arial" w:cs="Arial"/>
        </w:rPr>
      </w:pPr>
      <w:r w:rsidRPr="003F6A00">
        <w:rPr>
          <w:rFonts w:ascii="Arial" w:hAnsi="Arial" w:cs="Arial"/>
        </w:rPr>
        <w:t>Clydebank Property Company (CPC).</w:t>
      </w:r>
    </w:p>
    <w:p w:rsidR="00990216" w:rsidRPr="00375FD4" w:rsidRDefault="00990216" w:rsidP="00522D7C">
      <w:pPr>
        <w:tabs>
          <w:tab w:val="left" w:pos="540"/>
        </w:tabs>
        <w:spacing w:before="0" w:after="0"/>
        <w:rPr>
          <w:rFonts w:ascii="Arial" w:hAnsi="Arial" w:cs="Arial"/>
          <w:color w:val="FF0000"/>
        </w:rPr>
      </w:pPr>
    </w:p>
    <w:p w:rsidR="00990216" w:rsidRPr="00375FD4" w:rsidRDefault="00990216" w:rsidP="00522D7C">
      <w:pPr>
        <w:tabs>
          <w:tab w:val="left" w:pos="540"/>
        </w:tabs>
        <w:spacing w:before="0" w:after="0"/>
        <w:rPr>
          <w:rFonts w:ascii="Arial" w:hAnsi="Arial" w:cs="Arial"/>
        </w:rPr>
      </w:pPr>
      <w:r w:rsidRPr="00375FD4">
        <w:rPr>
          <w:rFonts w:ascii="Arial" w:hAnsi="Arial" w:cs="Arial"/>
        </w:rPr>
        <w:t>In addition to these entities, the Dumbarton Common Good and Sundry Trust Funds have also been consolidated.</w:t>
      </w:r>
    </w:p>
    <w:p w:rsidR="00990216" w:rsidRPr="00375FD4" w:rsidRDefault="00990216" w:rsidP="00522D7C">
      <w:pPr>
        <w:spacing w:before="0" w:after="0"/>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The accounting period f</w:t>
      </w:r>
      <w:r w:rsidR="00763164">
        <w:rPr>
          <w:rFonts w:ascii="Arial" w:hAnsi="Arial" w:cs="Arial"/>
        </w:rPr>
        <w:t>or all entities is 31 March 2020</w:t>
      </w:r>
      <w:r w:rsidRPr="00375FD4">
        <w:rPr>
          <w:rFonts w:ascii="Arial" w:hAnsi="Arial" w:cs="Arial"/>
        </w:rPr>
        <w:t>.</w:t>
      </w:r>
    </w:p>
    <w:p w:rsidR="00990216" w:rsidRPr="00375FD4" w:rsidRDefault="00990216" w:rsidP="00522D7C">
      <w:pPr>
        <w:spacing w:before="0" w:after="0"/>
        <w:rPr>
          <w:rFonts w:ascii="Arial" w:hAnsi="Arial" w:cs="Arial"/>
          <w:color w:val="FF0000"/>
        </w:rPr>
      </w:pPr>
    </w:p>
    <w:p w:rsidR="00990216" w:rsidRPr="00375FD4" w:rsidRDefault="00EF352D" w:rsidP="00522D7C">
      <w:pPr>
        <w:spacing w:before="0" w:after="0"/>
        <w:rPr>
          <w:rFonts w:ascii="Arial" w:hAnsi="Arial" w:cs="Arial"/>
        </w:rPr>
      </w:pPr>
      <w:r>
        <w:rPr>
          <w:rFonts w:ascii="Arial" w:hAnsi="Arial" w:cs="Arial"/>
        </w:rPr>
        <w:t>The c</w:t>
      </w:r>
      <w:r w:rsidR="00990216" w:rsidRPr="00375FD4">
        <w:rPr>
          <w:rFonts w:ascii="Arial" w:hAnsi="Arial" w:cs="Arial"/>
        </w:rPr>
        <w:t>ouncil would class an entity as an associate if they have significant influence over the financial and operati</w:t>
      </w:r>
      <w:r w:rsidR="001118C4">
        <w:rPr>
          <w:rFonts w:ascii="Arial" w:hAnsi="Arial" w:cs="Arial"/>
        </w:rPr>
        <w:t>n</w:t>
      </w:r>
      <w:r>
        <w:rPr>
          <w:rFonts w:ascii="Arial" w:hAnsi="Arial" w:cs="Arial"/>
        </w:rPr>
        <w:t>g policies of the entity. The c</w:t>
      </w:r>
      <w:r w:rsidR="00990216" w:rsidRPr="00375FD4">
        <w:rPr>
          <w:rFonts w:ascii="Arial" w:hAnsi="Arial" w:cs="Arial"/>
        </w:rPr>
        <w:t xml:space="preserve">ouncil would class an entity as a subsidiary if they have control of the entity. </w:t>
      </w:r>
      <w:r>
        <w:rPr>
          <w:rFonts w:ascii="Arial" w:hAnsi="Arial" w:cs="Arial"/>
        </w:rPr>
        <w:t>The c</w:t>
      </w:r>
      <w:r w:rsidR="0010637F">
        <w:rPr>
          <w:rFonts w:ascii="Arial" w:hAnsi="Arial" w:cs="Arial"/>
        </w:rPr>
        <w:t>ouncil would class an entity as a joint venture where it has contractually agreed to share control with another party, such as significant decisions require unanimou</w:t>
      </w:r>
      <w:r w:rsidR="004A51EF">
        <w:rPr>
          <w:rFonts w:ascii="Arial" w:hAnsi="Arial" w:cs="Arial"/>
        </w:rPr>
        <w:t>s consent and the joint venture</w:t>
      </w:r>
      <w:r w:rsidR="0010637F">
        <w:rPr>
          <w:rFonts w:ascii="Arial" w:hAnsi="Arial" w:cs="Arial"/>
        </w:rPr>
        <w:t>s have rights to the net assets of the arrangement.</w:t>
      </w:r>
    </w:p>
    <w:p w:rsidR="00990216" w:rsidRPr="00375FD4" w:rsidRDefault="00990216" w:rsidP="00990216">
      <w:pPr>
        <w:spacing w:before="0" w:after="0"/>
        <w:jc w:val="both"/>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Un</w:t>
      </w:r>
      <w:r w:rsidR="00EF352D">
        <w:rPr>
          <w:rFonts w:ascii="Arial" w:hAnsi="Arial" w:cs="Arial"/>
        </w:rPr>
        <w:t>der accounting standards, this c</w:t>
      </w:r>
      <w:r w:rsidRPr="00375FD4">
        <w:rPr>
          <w:rFonts w:ascii="Arial" w:hAnsi="Arial" w:cs="Arial"/>
        </w:rPr>
        <w:t>ounc</w:t>
      </w:r>
      <w:r w:rsidR="00623178">
        <w:rPr>
          <w:rFonts w:ascii="Arial" w:hAnsi="Arial" w:cs="Arial"/>
        </w:rPr>
        <w:t>il includes the results of three</w:t>
      </w:r>
      <w:r w:rsidRPr="00375FD4">
        <w:rPr>
          <w:rFonts w:ascii="Arial" w:hAnsi="Arial" w:cs="Arial"/>
        </w:rPr>
        <w:t xml:space="preserve"> of these organisations as ‘associates’ because it has a significant influence over their financial and operating policies </w:t>
      </w:r>
      <w:r w:rsidR="00EF352D">
        <w:rPr>
          <w:rFonts w:ascii="Arial" w:hAnsi="Arial" w:cs="Arial"/>
        </w:rPr>
        <w:t>(namely VJB, SPT and SCT). The c</w:t>
      </w:r>
      <w:r w:rsidRPr="00375FD4">
        <w:rPr>
          <w:rFonts w:ascii="Arial" w:hAnsi="Arial" w:cs="Arial"/>
        </w:rPr>
        <w:t>ouncil has no shares in, nor ownership of any of these organisations which a</w:t>
      </w:r>
      <w:r w:rsidR="00EF352D">
        <w:rPr>
          <w:rFonts w:ascii="Arial" w:hAnsi="Arial" w:cs="Arial"/>
        </w:rPr>
        <w:t>re entirely independent of the c</w:t>
      </w:r>
      <w:r w:rsidRPr="00375FD4">
        <w:rPr>
          <w:rFonts w:ascii="Arial" w:hAnsi="Arial" w:cs="Arial"/>
        </w:rPr>
        <w:t>ouncil.</w:t>
      </w:r>
    </w:p>
    <w:p w:rsidR="00990216" w:rsidRPr="00375FD4" w:rsidRDefault="00990216" w:rsidP="00522D7C">
      <w:pPr>
        <w:spacing w:before="0" w:after="0"/>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The Joint Boards are independent public bodies formed by an Act of Parliament. All local government functions that relate to these bodies have been delegated from the constituent councils that comprise the area of each Board. The members of each Board are elected Councillors and are appointed by the councils in proportions specified by legislation.</w:t>
      </w:r>
    </w:p>
    <w:p w:rsidR="00990216" w:rsidRPr="00375FD4" w:rsidRDefault="00990216" w:rsidP="00522D7C">
      <w:pPr>
        <w:spacing w:before="0" w:after="0"/>
        <w:rPr>
          <w:rFonts w:ascii="Arial" w:hAnsi="Arial" w:cs="Arial"/>
        </w:rPr>
      </w:pPr>
    </w:p>
    <w:p w:rsidR="00990216" w:rsidRDefault="00D1588F" w:rsidP="00522D7C">
      <w:pPr>
        <w:spacing w:before="0" w:after="0"/>
        <w:rPr>
          <w:rFonts w:ascii="Arial" w:hAnsi="Arial" w:cs="Arial"/>
        </w:rPr>
      </w:pPr>
      <w:r>
        <w:rPr>
          <w:rFonts w:ascii="Arial" w:hAnsi="Arial" w:cs="Arial"/>
        </w:rPr>
        <w:t xml:space="preserve">The WDLT, </w:t>
      </w:r>
      <w:r w:rsidR="00990216" w:rsidRPr="00375FD4">
        <w:rPr>
          <w:rFonts w:ascii="Arial" w:hAnsi="Arial" w:cs="Arial"/>
        </w:rPr>
        <w:t>CPC</w:t>
      </w:r>
      <w:r>
        <w:rPr>
          <w:rFonts w:ascii="Arial" w:hAnsi="Arial" w:cs="Arial"/>
        </w:rPr>
        <w:t xml:space="preserve"> and the Common Good and Trust Funds</w:t>
      </w:r>
      <w:r w:rsidR="00990216" w:rsidRPr="00375FD4">
        <w:rPr>
          <w:rFonts w:ascii="Arial" w:hAnsi="Arial" w:cs="Arial"/>
        </w:rPr>
        <w:t xml:space="preserve"> have been included as subsidiaries. </w:t>
      </w:r>
    </w:p>
    <w:p w:rsidR="0010637F" w:rsidRDefault="0010637F" w:rsidP="00522D7C">
      <w:pPr>
        <w:spacing w:before="0" w:after="0"/>
        <w:rPr>
          <w:rFonts w:ascii="Arial" w:hAnsi="Arial" w:cs="Arial"/>
        </w:rPr>
      </w:pPr>
    </w:p>
    <w:p w:rsidR="0010637F" w:rsidRPr="00375FD4" w:rsidRDefault="0010637F" w:rsidP="00522D7C">
      <w:pPr>
        <w:spacing w:before="0" w:after="0"/>
        <w:rPr>
          <w:rFonts w:ascii="Arial" w:hAnsi="Arial" w:cs="Arial"/>
        </w:rPr>
      </w:pPr>
      <w:r>
        <w:rPr>
          <w:rFonts w:ascii="Arial" w:hAnsi="Arial" w:cs="Arial"/>
        </w:rPr>
        <w:t>HSCP has been included as a joint venture.</w:t>
      </w:r>
    </w:p>
    <w:p w:rsidR="00990216" w:rsidRPr="00375FD4" w:rsidRDefault="00990216" w:rsidP="00522D7C">
      <w:pPr>
        <w:spacing w:before="0" w:after="0"/>
        <w:rPr>
          <w:rFonts w:ascii="Arial" w:hAnsi="Arial" w:cs="Arial"/>
          <w:color w:val="FF0000"/>
        </w:rPr>
      </w:pPr>
    </w:p>
    <w:p w:rsidR="00990216" w:rsidRPr="00375FD4" w:rsidRDefault="00990216" w:rsidP="00522D7C">
      <w:pPr>
        <w:spacing w:before="0" w:after="0"/>
        <w:rPr>
          <w:rFonts w:ascii="Arial" w:hAnsi="Arial" w:cs="Arial"/>
        </w:rPr>
      </w:pPr>
      <w:r w:rsidRPr="00375FD4">
        <w:rPr>
          <w:rFonts w:ascii="Arial" w:hAnsi="Arial" w:cs="Arial"/>
          <w:b/>
        </w:rPr>
        <w:t>Basis of Combination and Going Concern</w:t>
      </w:r>
    </w:p>
    <w:p w:rsidR="00990216" w:rsidRPr="00375FD4" w:rsidRDefault="00990216" w:rsidP="00522D7C">
      <w:pPr>
        <w:spacing w:before="0" w:after="0"/>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The combination has been accounted for on an acquisition basis using th</w:t>
      </w:r>
      <w:r w:rsidR="001118C4">
        <w:rPr>
          <w:rFonts w:ascii="Arial" w:hAnsi="Arial" w:cs="Arial"/>
        </w:rPr>
        <w:t>e equ</w:t>
      </w:r>
      <w:r w:rsidR="00EF352D">
        <w:rPr>
          <w:rFonts w:ascii="Arial" w:hAnsi="Arial" w:cs="Arial"/>
        </w:rPr>
        <w:t>ity method – that is, the c</w:t>
      </w:r>
      <w:r w:rsidRPr="00375FD4">
        <w:rPr>
          <w:rFonts w:ascii="Arial" w:hAnsi="Arial" w:cs="Arial"/>
        </w:rPr>
        <w:t>ouncil’s share of the net assets and liabilities of each entity is incorporated</w:t>
      </w:r>
      <w:r w:rsidR="00EF352D">
        <w:rPr>
          <w:rFonts w:ascii="Arial" w:hAnsi="Arial" w:cs="Arial"/>
        </w:rPr>
        <w:t xml:space="preserve"> and adjusted each year by the c</w:t>
      </w:r>
      <w:r w:rsidRPr="00375FD4">
        <w:rPr>
          <w:rFonts w:ascii="Arial" w:hAnsi="Arial" w:cs="Arial"/>
        </w:rPr>
        <w:t>ouncil’s share of the entities’ results (recognised in the Group Income and Expenditure Account), and its share of other gains and losses.</w:t>
      </w:r>
    </w:p>
    <w:p w:rsidR="00990216" w:rsidRPr="00375FD4" w:rsidRDefault="00990216" w:rsidP="00522D7C">
      <w:pPr>
        <w:spacing w:before="0" w:after="0"/>
        <w:rPr>
          <w:rFonts w:ascii="Arial" w:hAnsi="Arial" w:cs="Arial"/>
        </w:rPr>
      </w:pPr>
      <w:r w:rsidRPr="00375FD4">
        <w:rPr>
          <w:rFonts w:ascii="Arial" w:hAnsi="Arial" w:cs="Arial"/>
        </w:rPr>
        <w:t xml:space="preserve"> </w:t>
      </w:r>
    </w:p>
    <w:p w:rsidR="00990216" w:rsidRPr="00375FD4" w:rsidRDefault="00711E99" w:rsidP="00711E99">
      <w:pPr>
        <w:spacing w:before="0" w:after="0"/>
        <w:rPr>
          <w:rFonts w:ascii="Arial" w:hAnsi="Arial" w:cs="Arial"/>
        </w:rPr>
      </w:pPr>
      <w:r w:rsidRPr="00711E99">
        <w:rPr>
          <w:rFonts w:ascii="Arial" w:hAnsi="Arial" w:cs="Arial"/>
        </w:rPr>
        <w:t>For five</w:t>
      </w:r>
      <w:r w:rsidR="00216A78" w:rsidRPr="00711E99">
        <w:rPr>
          <w:rFonts w:ascii="Arial" w:hAnsi="Arial" w:cs="Arial"/>
        </w:rPr>
        <w:t xml:space="preserve"> of the six</w:t>
      </w:r>
      <w:r w:rsidR="00EF352D" w:rsidRPr="00711E99">
        <w:rPr>
          <w:rFonts w:ascii="Arial" w:hAnsi="Arial" w:cs="Arial"/>
        </w:rPr>
        <w:t xml:space="preserve"> entities, the c</w:t>
      </w:r>
      <w:r w:rsidR="00990216" w:rsidRPr="00711E99">
        <w:rPr>
          <w:rFonts w:ascii="Arial" w:hAnsi="Arial" w:cs="Arial"/>
        </w:rPr>
        <w:t>ouncil has a share in a net asset. The negative bala</w:t>
      </w:r>
      <w:r w:rsidR="00FA70A3" w:rsidRPr="00711E99">
        <w:rPr>
          <w:rFonts w:ascii="Arial" w:hAnsi="Arial" w:cs="Arial"/>
        </w:rPr>
        <w:t>nce</w:t>
      </w:r>
      <w:r w:rsidR="00B002E5" w:rsidRPr="00711E99">
        <w:rPr>
          <w:rFonts w:ascii="Arial" w:hAnsi="Arial" w:cs="Arial"/>
        </w:rPr>
        <w:t xml:space="preserve"> on</w:t>
      </w:r>
      <w:r w:rsidR="00EE32D7">
        <w:rPr>
          <w:rFonts w:ascii="Arial" w:hAnsi="Arial" w:cs="Arial"/>
        </w:rPr>
        <w:t xml:space="preserve"> the VJB</w:t>
      </w:r>
      <w:r w:rsidR="000F285F" w:rsidRPr="00711E99">
        <w:rPr>
          <w:rFonts w:ascii="Arial" w:hAnsi="Arial" w:cs="Arial"/>
        </w:rPr>
        <w:t xml:space="preserve"> </w:t>
      </w:r>
      <w:r w:rsidR="00990216" w:rsidRPr="00711E99">
        <w:rPr>
          <w:rFonts w:ascii="Arial" w:hAnsi="Arial" w:cs="Arial"/>
        </w:rPr>
        <w:t>arise</w:t>
      </w:r>
      <w:r w:rsidRPr="00711E99">
        <w:rPr>
          <w:rFonts w:ascii="Arial" w:hAnsi="Arial" w:cs="Arial"/>
        </w:rPr>
        <w:t>s</w:t>
      </w:r>
      <w:r w:rsidR="00990216" w:rsidRPr="00711E99">
        <w:rPr>
          <w:rFonts w:ascii="Arial" w:hAnsi="Arial" w:cs="Arial"/>
        </w:rPr>
        <w:t xml:space="preserve"> from the inclusion of liabilities related to defined benefit pension scheme</w:t>
      </w:r>
      <w:r w:rsidRPr="00711E99">
        <w:rPr>
          <w:rFonts w:ascii="Arial" w:hAnsi="Arial" w:cs="Arial"/>
        </w:rPr>
        <w:t>s as required by IAS19</w:t>
      </w:r>
      <w:r w:rsidR="00990216" w:rsidRPr="00711E99">
        <w:rPr>
          <w:rFonts w:ascii="Arial" w:hAnsi="Arial" w:cs="Arial"/>
        </w:rPr>
        <w:t>.</w:t>
      </w:r>
    </w:p>
    <w:p w:rsidR="00990216" w:rsidRPr="00375FD4" w:rsidRDefault="00990216" w:rsidP="00990216">
      <w:pPr>
        <w:spacing w:before="0" w:after="0"/>
        <w:jc w:val="both"/>
        <w:rPr>
          <w:rFonts w:ascii="Arial" w:hAnsi="Arial" w:cs="Arial"/>
          <w:color w:val="FF0000"/>
        </w:rPr>
      </w:pPr>
    </w:p>
    <w:p w:rsidR="00990216" w:rsidRPr="00375FD4" w:rsidRDefault="00990216" w:rsidP="00990216">
      <w:pPr>
        <w:spacing w:before="0" w:after="0"/>
        <w:rPr>
          <w:rFonts w:ascii="Arial" w:hAnsi="Arial" w:cs="Arial"/>
          <w:b/>
          <w:sz w:val="24"/>
          <w:szCs w:val="24"/>
        </w:rPr>
      </w:pPr>
      <w:r w:rsidRPr="00375FD4">
        <w:rPr>
          <w:rFonts w:ascii="Arial" w:hAnsi="Arial" w:cs="Arial"/>
          <w:b/>
          <w:color w:val="FF0000"/>
        </w:rPr>
        <w:br w:type="page"/>
      </w:r>
      <w:r w:rsidRPr="00375FD4">
        <w:rPr>
          <w:rFonts w:ascii="Arial" w:hAnsi="Arial" w:cs="Arial"/>
          <w:b/>
          <w:sz w:val="24"/>
          <w:szCs w:val="24"/>
        </w:rPr>
        <w:lastRenderedPageBreak/>
        <w:t>Group Accounts (Cont’d)</w:t>
      </w:r>
    </w:p>
    <w:p w:rsidR="00990216" w:rsidRPr="00375FD4" w:rsidRDefault="00990216" w:rsidP="00990216">
      <w:pPr>
        <w:spacing w:before="0" w:after="0"/>
        <w:jc w:val="both"/>
        <w:rPr>
          <w:rFonts w:ascii="Arial" w:hAnsi="Arial" w:cs="Arial"/>
          <w:b/>
        </w:rPr>
      </w:pPr>
    </w:p>
    <w:p w:rsidR="00990216" w:rsidRPr="00375FD4" w:rsidRDefault="00990216" w:rsidP="00990216">
      <w:pPr>
        <w:spacing w:before="0" w:after="0"/>
        <w:jc w:val="both"/>
        <w:rPr>
          <w:rFonts w:ascii="Arial" w:hAnsi="Arial" w:cs="Arial"/>
        </w:rPr>
      </w:pPr>
      <w:r w:rsidRPr="00375FD4">
        <w:rPr>
          <w:rFonts w:ascii="Arial" w:hAnsi="Arial" w:cs="Arial"/>
          <w:b/>
        </w:rPr>
        <w:t>Basis of Combination and Going Concern (Cont’d)</w:t>
      </w:r>
    </w:p>
    <w:p w:rsidR="00990216" w:rsidRPr="00375FD4" w:rsidRDefault="00990216" w:rsidP="00990216">
      <w:pPr>
        <w:spacing w:before="0" w:after="0"/>
        <w:jc w:val="both"/>
        <w:rPr>
          <w:rFonts w:ascii="Arial" w:hAnsi="Arial" w:cs="Arial"/>
          <w:color w:val="FF0000"/>
        </w:rPr>
      </w:pPr>
    </w:p>
    <w:p w:rsidR="00990216" w:rsidRPr="00375FD4" w:rsidRDefault="00216A78" w:rsidP="00522D7C">
      <w:pPr>
        <w:spacing w:before="0" w:after="0"/>
        <w:rPr>
          <w:rFonts w:ascii="Arial" w:hAnsi="Arial" w:cs="Arial"/>
        </w:rPr>
      </w:pPr>
      <w:r>
        <w:rPr>
          <w:rFonts w:ascii="Arial" w:hAnsi="Arial" w:cs="Arial"/>
        </w:rPr>
        <w:t xml:space="preserve">The effects of </w:t>
      </w:r>
      <w:r w:rsidRPr="00EB6E39">
        <w:rPr>
          <w:rFonts w:ascii="Arial" w:hAnsi="Arial" w:cs="Arial"/>
        </w:rPr>
        <w:t>inclusion of these</w:t>
      </w:r>
      <w:r w:rsidR="00990216" w:rsidRPr="00EB6E39">
        <w:rPr>
          <w:rFonts w:ascii="Arial" w:hAnsi="Arial" w:cs="Arial"/>
        </w:rPr>
        <w:t xml:space="preserve"> entities and the</w:t>
      </w:r>
      <w:r w:rsidR="00820885" w:rsidRPr="00EB6E39">
        <w:rPr>
          <w:rFonts w:ascii="Arial" w:hAnsi="Arial" w:cs="Arial"/>
        </w:rPr>
        <w:t xml:space="preserve"> Common Good and Trust Funds on the</w:t>
      </w:r>
      <w:r w:rsidR="00990216" w:rsidRPr="00EB6E39">
        <w:rPr>
          <w:rFonts w:ascii="Arial" w:hAnsi="Arial" w:cs="Arial"/>
        </w:rPr>
        <w:t xml:space="preserve"> Gro</w:t>
      </w:r>
      <w:r w:rsidR="00820885" w:rsidRPr="00EB6E39">
        <w:rPr>
          <w:rFonts w:ascii="Arial" w:hAnsi="Arial" w:cs="Arial"/>
        </w:rPr>
        <w:t>up Balance Sheet is to increase</w:t>
      </w:r>
      <w:r w:rsidR="00990216" w:rsidRPr="00EB6E39">
        <w:rPr>
          <w:rFonts w:ascii="Arial" w:hAnsi="Arial" w:cs="Arial"/>
        </w:rPr>
        <w:t xml:space="preserve"> re</w:t>
      </w:r>
      <w:r w:rsidRPr="00EB6E39">
        <w:rPr>
          <w:rFonts w:ascii="Arial" w:hAnsi="Arial" w:cs="Arial"/>
        </w:rPr>
        <w:t>serve</w:t>
      </w:r>
      <w:r w:rsidR="003208D0" w:rsidRPr="00EB6E39">
        <w:rPr>
          <w:rFonts w:ascii="Arial" w:hAnsi="Arial" w:cs="Arial"/>
        </w:rPr>
        <w:t>s and Net Assets by £</w:t>
      </w:r>
      <w:r w:rsidR="00793E19">
        <w:rPr>
          <w:rFonts w:ascii="Arial" w:hAnsi="Arial" w:cs="Arial"/>
        </w:rPr>
        <w:t>30.025</w:t>
      </w:r>
      <w:r w:rsidR="00990216" w:rsidRPr="00EB6E39">
        <w:rPr>
          <w:rFonts w:ascii="Arial" w:hAnsi="Arial" w:cs="Arial"/>
        </w:rPr>
        <w:t>m –</w:t>
      </w:r>
      <w:r w:rsidR="00990216" w:rsidRPr="00EB6E39">
        <w:rPr>
          <w:rFonts w:ascii="Arial" w:hAnsi="Arial" w:cs="Arial"/>
          <w:color w:val="FF0000"/>
        </w:rPr>
        <w:t xml:space="preserve"> </w:t>
      </w:r>
      <w:r w:rsidR="001118C4" w:rsidRPr="00EB6E39">
        <w:rPr>
          <w:rFonts w:ascii="Arial" w:hAnsi="Arial" w:cs="Arial"/>
        </w:rPr>
        <w:t xml:space="preserve">representing </w:t>
      </w:r>
      <w:r w:rsidR="00EF352D" w:rsidRPr="00EB6E39">
        <w:rPr>
          <w:rFonts w:ascii="Arial" w:hAnsi="Arial" w:cs="Arial"/>
        </w:rPr>
        <w:t>the c</w:t>
      </w:r>
      <w:r w:rsidR="00990216" w:rsidRPr="00EB6E39">
        <w:rPr>
          <w:rFonts w:ascii="Arial" w:hAnsi="Arial" w:cs="Arial"/>
        </w:rPr>
        <w:t>ouncil’s share of net assets in these entities</w:t>
      </w:r>
      <w:r w:rsidR="00990216" w:rsidRPr="00571779">
        <w:rPr>
          <w:rFonts w:ascii="Arial" w:hAnsi="Arial" w:cs="Arial"/>
        </w:rPr>
        <w:t>.</w:t>
      </w:r>
    </w:p>
    <w:p w:rsidR="00990216" w:rsidRPr="00375FD4" w:rsidRDefault="00990216" w:rsidP="00522D7C">
      <w:pPr>
        <w:spacing w:before="0" w:after="0"/>
        <w:rPr>
          <w:rFonts w:ascii="Arial" w:hAnsi="Arial" w:cs="Arial"/>
          <w:color w:val="FF0000"/>
        </w:rPr>
      </w:pPr>
    </w:p>
    <w:p w:rsidR="00990216" w:rsidRPr="00375FD4" w:rsidRDefault="00990216" w:rsidP="00522D7C">
      <w:pPr>
        <w:spacing w:before="0" w:after="0"/>
        <w:rPr>
          <w:rFonts w:ascii="Arial" w:hAnsi="Arial" w:cs="Arial"/>
        </w:rPr>
      </w:pPr>
      <w:r w:rsidRPr="00375FD4">
        <w:rPr>
          <w:rFonts w:ascii="Arial" w:hAnsi="Arial" w:cs="Arial"/>
        </w:rPr>
        <w:t xml:space="preserve">The Code requires </w:t>
      </w:r>
      <w:r w:rsidR="001C2895">
        <w:rPr>
          <w:rFonts w:ascii="Arial" w:hAnsi="Arial" w:cs="Arial"/>
        </w:rPr>
        <w:t>c</w:t>
      </w:r>
      <w:r w:rsidR="00312456">
        <w:rPr>
          <w:rFonts w:ascii="Arial" w:hAnsi="Arial" w:cs="Arial"/>
        </w:rPr>
        <w:t>ouncil</w:t>
      </w:r>
      <w:r w:rsidR="001118C4">
        <w:rPr>
          <w:rFonts w:ascii="Arial" w:hAnsi="Arial" w:cs="Arial"/>
        </w:rPr>
        <w:t>s</w:t>
      </w:r>
      <w:r w:rsidRPr="00375FD4">
        <w:rPr>
          <w:rFonts w:ascii="Arial" w:hAnsi="Arial" w:cs="Arial"/>
        </w:rPr>
        <w:t xml:space="preserve"> to prepare financial statements on a going concern basis.  A transfer within public services does not negate the presumption that these bodies are still a going concern.</w:t>
      </w:r>
    </w:p>
    <w:p w:rsidR="00990216" w:rsidRPr="00375FD4" w:rsidRDefault="00990216" w:rsidP="00522D7C">
      <w:pPr>
        <w:spacing w:before="0" w:after="0"/>
        <w:rPr>
          <w:rFonts w:ascii="Arial" w:hAnsi="Arial" w:cs="Arial"/>
        </w:rPr>
      </w:pPr>
    </w:p>
    <w:p w:rsidR="00990216" w:rsidRPr="00375FD4" w:rsidRDefault="00990216" w:rsidP="00522D7C">
      <w:pPr>
        <w:spacing w:before="0" w:after="0"/>
        <w:rPr>
          <w:rFonts w:ascii="Arial" w:hAnsi="Arial" w:cs="Arial"/>
        </w:rPr>
      </w:pPr>
      <w:r w:rsidRPr="00375FD4">
        <w:rPr>
          <w:rFonts w:ascii="Arial" w:hAnsi="Arial" w:cs="Arial"/>
        </w:rPr>
        <w:t>Thus all entities consider it appropriate that their Financial Statements should follow the ‘going concern’ basis of accounting. Statutory arrangements with the constituent local authorities for the defic</w:t>
      </w:r>
      <w:r w:rsidR="00273FE9">
        <w:rPr>
          <w:rFonts w:ascii="Arial" w:hAnsi="Arial" w:cs="Arial"/>
        </w:rPr>
        <w:t>it of the Valuation Joint Board</w:t>
      </w:r>
      <w:r w:rsidRPr="00375FD4">
        <w:rPr>
          <w:rFonts w:ascii="Arial" w:hAnsi="Arial" w:cs="Arial"/>
        </w:rPr>
        <w:t xml:space="preserve"> means that the financial position of the Board is assured. </w:t>
      </w:r>
    </w:p>
    <w:p w:rsidR="00990216" w:rsidRPr="00375FD4" w:rsidRDefault="00990216" w:rsidP="00522D7C">
      <w:pPr>
        <w:spacing w:before="0" w:after="0"/>
        <w:rPr>
          <w:rFonts w:ascii="Arial" w:hAnsi="Arial" w:cs="Arial"/>
          <w:color w:val="FF0000"/>
        </w:rPr>
      </w:pPr>
    </w:p>
    <w:p w:rsidR="00990216" w:rsidRPr="00375FD4" w:rsidRDefault="00990216" w:rsidP="00522D7C">
      <w:pPr>
        <w:tabs>
          <w:tab w:val="left" w:pos="540"/>
        </w:tabs>
        <w:spacing w:before="0" w:after="0"/>
        <w:rPr>
          <w:rFonts w:ascii="Arial" w:hAnsi="Arial" w:cs="Arial"/>
        </w:rPr>
      </w:pPr>
      <w:r w:rsidRPr="00375FD4">
        <w:rPr>
          <w:rFonts w:ascii="Arial" w:hAnsi="Arial" w:cs="Arial"/>
        </w:rPr>
        <w:t>Whilst the Balance Sheet of some entities show negative total assets, this relates primarily to defined benefit scheme pension liabilities in these entities.  The financial statements of all individual group entities have been prepared on a going concern basis and, as such, the group accounts have also been prepared on this basis.</w:t>
      </w:r>
    </w:p>
    <w:p w:rsidR="00990216" w:rsidRPr="00375FD4" w:rsidRDefault="00990216" w:rsidP="00990216">
      <w:pPr>
        <w:spacing w:before="0" w:after="0"/>
        <w:rPr>
          <w:rFonts w:ascii="Arial" w:hAnsi="Arial" w:cs="Arial"/>
          <w:b/>
          <w:color w:val="FF0000"/>
        </w:rPr>
      </w:pPr>
    </w:p>
    <w:p w:rsidR="00990216" w:rsidRPr="00375FD4" w:rsidRDefault="00990216" w:rsidP="00990216">
      <w:pPr>
        <w:spacing w:before="0" w:after="0"/>
        <w:jc w:val="both"/>
        <w:rPr>
          <w:rFonts w:ascii="Arial" w:hAnsi="Arial" w:cs="Arial"/>
          <w:b/>
          <w:color w:val="FF0000"/>
        </w:rPr>
      </w:pPr>
    </w:p>
    <w:p w:rsidR="00990216" w:rsidRDefault="00990216"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501F1F" w:rsidRDefault="00501F1F"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Default="00381608" w:rsidP="00990216">
      <w:pPr>
        <w:spacing w:before="0" w:after="0"/>
        <w:jc w:val="both"/>
        <w:rPr>
          <w:rFonts w:ascii="Arial" w:hAnsi="Arial" w:cs="Arial"/>
          <w:b/>
          <w:color w:val="FF0000"/>
        </w:rPr>
      </w:pPr>
    </w:p>
    <w:p w:rsidR="00381608" w:rsidRPr="00375FD4" w:rsidRDefault="00381608" w:rsidP="00990216">
      <w:pPr>
        <w:spacing w:before="0" w:after="0"/>
        <w:jc w:val="both"/>
        <w:rPr>
          <w:rFonts w:ascii="Arial" w:hAnsi="Arial" w:cs="Arial"/>
          <w:b/>
          <w:color w:val="FF0000"/>
        </w:rPr>
      </w:pPr>
    </w:p>
    <w:p w:rsidR="00501F1F" w:rsidRPr="00375FD4" w:rsidRDefault="00501F1F" w:rsidP="00501F1F">
      <w:pPr>
        <w:spacing w:before="0" w:after="0"/>
        <w:rPr>
          <w:rFonts w:ascii="Arial" w:hAnsi="Arial" w:cs="Arial"/>
          <w:b/>
          <w:sz w:val="24"/>
          <w:szCs w:val="24"/>
        </w:rPr>
      </w:pPr>
      <w:r w:rsidRPr="00375FD4">
        <w:rPr>
          <w:rFonts w:ascii="Arial" w:hAnsi="Arial" w:cs="Arial"/>
          <w:b/>
          <w:sz w:val="24"/>
          <w:szCs w:val="24"/>
        </w:rPr>
        <w:lastRenderedPageBreak/>
        <w:t>Group Accounts (Cont’d)</w:t>
      </w:r>
    </w:p>
    <w:p w:rsidR="00501F1F" w:rsidRPr="00375FD4" w:rsidRDefault="00501F1F" w:rsidP="00501F1F">
      <w:pPr>
        <w:spacing w:before="0" w:after="0"/>
        <w:rPr>
          <w:rFonts w:ascii="Arial" w:hAnsi="Arial" w:cs="Arial"/>
          <w:b/>
        </w:rPr>
      </w:pPr>
    </w:p>
    <w:p w:rsidR="00501F1F" w:rsidRDefault="00501F1F" w:rsidP="00501F1F">
      <w:pPr>
        <w:pStyle w:val="Heading1"/>
        <w:spacing w:before="0"/>
        <w:rPr>
          <w:rFonts w:ascii="Arial" w:hAnsi="Arial" w:cs="Arial"/>
          <w:color w:val="auto"/>
          <w:sz w:val="20"/>
          <w:szCs w:val="20"/>
        </w:rPr>
      </w:pPr>
      <w:r w:rsidRPr="000A3446">
        <w:rPr>
          <w:rFonts w:ascii="Arial" w:hAnsi="Arial" w:cs="Arial"/>
          <w:color w:val="auto"/>
          <w:sz w:val="20"/>
          <w:szCs w:val="20"/>
        </w:rPr>
        <w:t xml:space="preserve">Group Comprehensive Income and Expenditure Statement </w:t>
      </w:r>
    </w:p>
    <w:p w:rsidR="00793E19" w:rsidRDefault="00793E19" w:rsidP="00793E19"/>
    <w:p w:rsidR="00793E19" w:rsidRDefault="00793E19" w:rsidP="00793E19">
      <w:pPr>
        <w:spacing w:before="0" w:after="0"/>
        <w:rPr>
          <w:rFonts w:ascii="Arial" w:hAnsi="Arial" w:cs="Arial"/>
        </w:rPr>
      </w:pPr>
      <w:r w:rsidRPr="00375FD4">
        <w:rPr>
          <w:rFonts w:ascii="Arial" w:hAnsi="Arial" w:cs="Arial"/>
        </w:rPr>
        <w:t>This statement shows the acco</w:t>
      </w:r>
      <w:r>
        <w:rPr>
          <w:rFonts w:ascii="Arial" w:hAnsi="Arial" w:cs="Arial"/>
        </w:rPr>
        <w:t>unting cost in year</w:t>
      </w:r>
      <w:r w:rsidRPr="00375FD4">
        <w:rPr>
          <w:rFonts w:ascii="Arial" w:hAnsi="Arial" w:cs="Arial"/>
        </w:rPr>
        <w:t>, of providing services in accordance with</w:t>
      </w:r>
      <w:r>
        <w:rPr>
          <w:rFonts w:ascii="Arial" w:hAnsi="Arial" w:cs="Arial"/>
        </w:rPr>
        <w:t xml:space="preserve"> relevant</w:t>
      </w:r>
      <w:r w:rsidRPr="00375FD4">
        <w:rPr>
          <w:rFonts w:ascii="Arial" w:hAnsi="Arial" w:cs="Arial"/>
        </w:rPr>
        <w:t xml:space="preserve"> </w:t>
      </w:r>
      <w:r>
        <w:rPr>
          <w:rFonts w:ascii="Arial" w:hAnsi="Arial" w:cs="Arial"/>
        </w:rPr>
        <w:t>International Financial Reporting Standards</w:t>
      </w:r>
      <w:r w:rsidRPr="00375FD4">
        <w:rPr>
          <w:rFonts w:ascii="Arial" w:hAnsi="Arial" w:cs="Arial"/>
        </w:rPr>
        <w:t>, rather than the amount to</w:t>
      </w:r>
      <w:r>
        <w:rPr>
          <w:rFonts w:ascii="Arial" w:hAnsi="Arial" w:cs="Arial"/>
        </w:rPr>
        <w:t xml:space="preserve"> be funded from taxation.  The c</w:t>
      </w:r>
      <w:r w:rsidRPr="00375FD4">
        <w:rPr>
          <w:rFonts w:ascii="Arial" w:hAnsi="Arial" w:cs="Arial"/>
        </w:rPr>
        <w:t>ouncil raises taxation to cover expenditure in accordance with regulations; this may be different from the accounting cost.  The tax</w:t>
      </w:r>
      <w:r>
        <w:rPr>
          <w:rFonts w:ascii="Arial" w:hAnsi="Arial" w:cs="Arial"/>
        </w:rPr>
        <w:t>ation position is shown in the Movement in Reserves S</w:t>
      </w:r>
      <w:r w:rsidRPr="00375FD4">
        <w:rPr>
          <w:rFonts w:ascii="Arial" w:hAnsi="Arial" w:cs="Arial"/>
        </w:rPr>
        <w:t>tatement.</w:t>
      </w:r>
    </w:p>
    <w:p w:rsidR="00793E19" w:rsidRPr="00793E19" w:rsidRDefault="00793E19" w:rsidP="00793E19"/>
    <w:p w:rsidR="00501F1F" w:rsidRPr="00375FD4" w:rsidRDefault="00501F1F" w:rsidP="00501F1F">
      <w:pPr>
        <w:spacing w:before="0" w:after="0"/>
        <w:rPr>
          <w:rFonts w:ascii="Arial" w:hAnsi="Arial" w:cs="Arial"/>
        </w:rPr>
      </w:pPr>
    </w:p>
    <w:p w:rsidR="00501F1F" w:rsidRPr="00375FD4" w:rsidRDefault="0050134D" w:rsidP="00501F1F">
      <w:pPr>
        <w:spacing w:before="0" w:after="0"/>
        <w:ind w:left="-426"/>
        <w:rPr>
          <w:rFonts w:ascii="Arial" w:hAnsi="Arial" w:cs="Arial"/>
          <w:b/>
        </w:rPr>
      </w:pPr>
      <w:r w:rsidRPr="0050134D">
        <w:rPr>
          <w:noProof/>
          <w:lang w:eastAsia="en-GB"/>
        </w:rPr>
        <w:drawing>
          <wp:inline distT="0" distB="0" distL="0" distR="0">
            <wp:extent cx="6000750" cy="5488548"/>
            <wp:effectExtent l="0" t="0" r="0" b="0"/>
            <wp:docPr id="3" name="Picture 3" descr="the income and expenditure of the council and its group entities" title="group income and expenditure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6002387" cy="5490045"/>
                    </a:xfrm>
                    <a:prstGeom prst="rect">
                      <a:avLst/>
                    </a:prstGeom>
                    <a:noFill/>
                    <a:ln>
                      <a:noFill/>
                    </a:ln>
                  </pic:spPr>
                </pic:pic>
              </a:graphicData>
            </a:graphic>
          </wp:inline>
        </w:drawing>
      </w:r>
    </w:p>
    <w:p w:rsidR="00990216" w:rsidRPr="00375FD4" w:rsidRDefault="00990216" w:rsidP="00990216">
      <w:pPr>
        <w:spacing w:before="0" w:after="0"/>
        <w:rPr>
          <w:rFonts w:ascii="Arial" w:hAnsi="Arial" w:cs="Arial"/>
          <w:b/>
          <w:color w:val="FF0000"/>
        </w:rPr>
      </w:pPr>
    </w:p>
    <w:p w:rsidR="00990216" w:rsidRPr="00375FD4" w:rsidRDefault="00990216" w:rsidP="00990216">
      <w:pPr>
        <w:spacing w:before="0" w:after="0"/>
        <w:rPr>
          <w:rFonts w:ascii="Arial" w:hAnsi="Arial" w:cs="Arial"/>
          <w:b/>
          <w:color w:val="FF0000"/>
        </w:rPr>
      </w:pPr>
    </w:p>
    <w:p w:rsidR="00990216" w:rsidRPr="00375FD4" w:rsidRDefault="00990216" w:rsidP="00990216">
      <w:pPr>
        <w:spacing w:before="0" w:after="0"/>
        <w:rPr>
          <w:rFonts w:ascii="Arial" w:hAnsi="Arial" w:cs="Arial"/>
          <w:b/>
          <w:color w:val="FF0000"/>
        </w:rPr>
        <w:sectPr w:rsidR="00990216" w:rsidRPr="00375FD4" w:rsidSect="00990216">
          <w:pgSz w:w="11906" w:h="16838" w:code="9"/>
          <w:pgMar w:top="1440" w:right="1440" w:bottom="1440" w:left="1440" w:header="720" w:footer="720" w:gutter="0"/>
          <w:cols w:space="720"/>
          <w:titlePg/>
          <w:docGrid w:linePitch="272"/>
        </w:sectPr>
      </w:pPr>
    </w:p>
    <w:p w:rsidR="00990216" w:rsidRPr="000A3446" w:rsidRDefault="00990216" w:rsidP="00990216">
      <w:pPr>
        <w:spacing w:before="0" w:after="0"/>
        <w:rPr>
          <w:rFonts w:ascii="Arial" w:hAnsi="Arial" w:cs="Arial"/>
          <w:b/>
          <w:sz w:val="24"/>
          <w:szCs w:val="24"/>
        </w:rPr>
      </w:pPr>
      <w:r w:rsidRPr="000A3446">
        <w:rPr>
          <w:rFonts w:ascii="Arial" w:hAnsi="Arial" w:cs="Arial"/>
          <w:b/>
          <w:sz w:val="24"/>
          <w:szCs w:val="24"/>
        </w:rPr>
        <w:lastRenderedPageBreak/>
        <w:t>Group Accounts (Cont’d)</w:t>
      </w:r>
    </w:p>
    <w:p w:rsidR="00990216" w:rsidRPr="00375FD4" w:rsidRDefault="00990216" w:rsidP="00990216">
      <w:pPr>
        <w:spacing w:before="0" w:after="0"/>
        <w:jc w:val="both"/>
        <w:rPr>
          <w:rFonts w:ascii="Arial" w:hAnsi="Arial" w:cs="Arial"/>
          <w:b/>
        </w:rPr>
      </w:pPr>
    </w:p>
    <w:p w:rsidR="00990216" w:rsidRDefault="00990216" w:rsidP="00310B99">
      <w:pPr>
        <w:pStyle w:val="Heading1"/>
        <w:spacing w:before="0"/>
        <w:rPr>
          <w:rFonts w:ascii="Arial" w:hAnsi="Arial" w:cs="Arial"/>
          <w:color w:val="auto"/>
          <w:sz w:val="20"/>
          <w:szCs w:val="20"/>
        </w:rPr>
      </w:pPr>
      <w:r w:rsidRPr="000A3446">
        <w:rPr>
          <w:rFonts w:ascii="Arial" w:hAnsi="Arial" w:cs="Arial"/>
          <w:color w:val="auto"/>
          <w:sz w:val="20"/>
          <w:szCs w:val="20"/>
        </w:rPr>
        <w:t xml:space="preserve">Group Movement in Reserves Statement </w:t>
      </w:r>
    </w:p>
    <w:p w:rsidR="00E85592" w:rsidRDefault="00E85592" w:rsidP="00E85592"/>
    <w:p w:rsidR="00E85592" w:rsidRPr="00E85592" w:rsidRDefault="00E85592" w:rsidP="00E85592">
      <w:r w:rsidRPr="00375FD4">
        <w:rPr>
          <w:rFonts w:ascii="Arial" w:hAnsi="Arial" w:cs="Arial"/>
        </w:rPr>
        <w:t xml:space="preserve">This statement shows the movement in the year on the </w:t>
      </w:r>
      <w:r>
        <w:rPr>
          <w:rFonts w:ascii="Arial" w:hAnsi="Arial" w:cs="Arial"/>
        </w:rPr>
        <w:t>different reserves held by the group</w:t>
      </w:r>
      <w:r w:rsidRPr="00375FD4">
        <w:rPr>
          <w:rFonts w:ascii="Arial" w:hAnsi="Arial" w:cs="Arial"/>
        </w:rPr>
        <w:t xml:space="preserve">, analysed into ‘usable reserves’ (i.e. those that can be applied to fund expenditure or reduce local taxation) and other reserves.  The surplus or (deficit) on the provision of services line shows the true </w:t>
      </w:r>
      <w:r>
        <w:rPr>
          <w:rFonts w:ascii="Arial" w:hAnsi="Arial" w:cs="Arial"/>
        </w:rPr>
        <w:t>economic cost of providing the group’s</w:t>
      </w:r>
      <w:r w:rsidRPr="00375FD4">
        <w:rPr>
          <w:rFonts w:ascii="Arial" w:hAnsi="Arial" w:cs="Arial"/>
        </w:rPr>
        <w:t xml:space="preserve"> services, more det</w:t>
      </w:r>
      <w:r>
        <w:rPr>
          <w:rFonts w:ascii="Arial" w:hAnsi="Arial" w:cs="Arial"/>
        </w:rPr>
        <w:t>ails of which are shown in the Comprehensive Income and Expenditure S</w:t>
      </w:r>
      <w:r w:rsidRPr="00375FD4">
        <w:rPr>
          <w:rFonts w:ascii="Arial" w:hAnsi="Arial" w:cs="Arial"/>
        </w:rPr>
        <w:t>tatement.  These are different from the statutory amounts</w:t>
      </w:r>
      <w:r>
        <w:rPr>
          <w:rFonts w:ascii="Arial" w:hAnsi="Arial" w:cs="Arial"/>
        </w:rPr>
        <w:t xml:space="preserve"> required to be charged to the General Fund balance and the Housing Revenue A</w:t>
      </w:r>
      <w:r w:rsidRPr="00375FD4">
        <w:rPr>
          <w:rFonts w:ascii="Arial" w:hAnsi="Arial" w:cs="Arial"/>
        </w:rPr>
        <w:t>ccount for council tax setting and dwelling rent setting purposes.  The net increase/decrease before transfer to earmarked reserves line shows the statutory general fund balance and housing revenue account balance before any discretionary transfers to or from earmar</w:t>
      </w:r>
      <w:r>
        <w:rPr>
          <w:rFonts w:ascii="Arial" w:hAnsi="Arial" w:cs="Arial"/>
        </w:rPr>
        <w:t>ked reserves undertaken by the c</w:t>
      </w:r>
      <w:r w:rsidRPr="00375FD4">
        <w:rPr>
          <w:rFonts w:ascii="Arial" w:hAnsi="Arial" w:cs="Arial"/>
        </w:rPr>
        <w:t>ouncil.</w:t>
      </w:r>
    </w:p>
    <w:p w:rsidR="00C704EC" w:rsidRPr="00C704EC" w:rsidRDefault="00C704EC" w:rsidP="003F2870">
      <w:pPr>
        <w:ind w:left="-284"/>
      </w:pPr>
    </w:p>
    <w:p w:rsidR="0054774D" w:rsidRDefault="0050134D" w:rsidP="0054774D">
      <w:pPr>
        <w:spacing w:before="0" w:after="0"/>
        <w:ind w:left="-426"/>
        <w:rPr>
          <w:rFonts w:ascii="Arial" w:hAnsi="Arial" w:cs="Arial"/>
          <w:b/>
          <w:color w:val="FF0000"/>
        </w:rPr>
      </w:pPr>
      <w:r w:rsidRPr="0050134D">
        <w:rPr>
          <w:noProof/>
          <w:lang w:eastAsia="en-GB"/>
        </w:rPr>
        <w:drawing>
          <wp:inline distT="0" distB="0" distL="0" distR="0">
            <wp:extent cx="8413750" cy="3609701"/>
            <wp:effectExtent l="0" t="0" r="6350" b="0"/>
            <wp:docPr id="12" name="Picture 12" descr="a summary of the movement from opening to closing position of reserves held by the council and its group" title="group movement in reserv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419426" cy="3612136"/>
                    </a:xfrm>
                    <a:prstGeom prst="rect">
                      <a:avLst/>
                    </a:prstGeom>
                    <a:noFill/>
                    <a:ln>
                      <a:noFill/>
                    </a:ln>
                  </pic:spPr>
                </pic:pic>
              </a:graphicData>
            </a:graphic>
          </wp:inline>
        </w:drawing>
      </w:r>
    </w:p>
    <w:p w:rsidR="000A3FCB" w:rsidRDefault="000A3FCB" w:rsidP="0054774D">
      <w:pPr>
        <w:spacing w:before="0" w:after="0"/>
        <w:ind w:left="-426"/>
        <w:rPr>
          <w:rFonts w:ascii="Arial" w:hAnsi="Arial" w:cs="Arial"/>
          <w:b/>
        </w:rPr>
      </w:pPr>
    </w:p>
    <w:p w:rsidR="0054774D" w:rsidRPr="0054774D" w:rsidRDefault="0054774D" w:rsidP="0054774D">
      <w:pPr>
        <w:spacing w:before="0" w:after="0"/>
        <w:ind w:left="-426"/>
        <w:rPr>
          <w:rFonts w:ascii="Arial" w:hAnsi="Arial" w:cs="Arial"/>
          <w:b/>
          <w:color w:val="FF0000"/>
        </w:rPr>
      </w:pPr>
      <w:r w:rsidRPr="009B601C">
        <w:rPr>
          <w:rFonts w:ascii="Arial" w:hAnsi="Arial" w:cs="Arial"/>
          <w:b/>
        </w:rPr>
        <w:t>*</w:t>
      </w:r>
      <w:r w:rsidRPr="009B601C">
        <w:rPr>
          <w:rFonts w:ascii="Arial" w:hAnsi="Arial" w:cs="Arial"/>
        </w:rPr>
        <w:t>The transfer of statutory reserves is in rela</w:t>
      </w:r>
      <w:r w:rsidR="009B601C" w:rsidRPr="009B601C">
        <w:rPr>
          <w:rFonts w:ascii="Arial" w:hAnsi="Arial" w:cs="Arial"/>
        </w:rPr>
        <w:t xml:space="preserve">tion to </w:t>
      </w:r>
      <w:r w:rsidR="00EF352D" w:rsidRPr="009B601C">
        <w:rPr>
          <w:rFonts w:ascii="Arial" w:hAnsi="Arial" w:cs="Arial"/>
        </w:rPr>
        <w:t>dividend</w:t>
      </w:r>
      <w:r w:rsidR="009B601C" w:rsidRPr="009B601C">
        <w:rPr>
          <w:rFonts w:ascii="Arial" w:hAnsi="Arial" w:cs="Arial"/>
        </w:rPr>
        <w:t>s</w:t>
      </w:r>
      <w:r w:rsidR="00EF352D" w:rsidRPr="009B601C">
        <w:rPr>
          <w:rFonts w:ascii="Arial" w:hAnsi="Arial" w:cs="Arial"/>
        </w:rPr>
        <w:t xml:space="preserve"> paid to the c</w:t>
      </w:r>
      <w:r w:rsidRPr="009B601C">
        <w:rPr>
          <w:rFonts w:ascii="Arial" w:hAnsi="Arial" w:cs="Arial"/>
        </w:rPr>
        <w:t>ouncil by Clydebank</w:t>
      </w:r>
      <w:r w:rsidR="009B601C" w:rsidRPr="009B601C">
        <w:rPr>
          <w:rFonts w:ascii="Arial" w:hAnsi="Arial" w:cs="Arial"/>
        </w:rPr>
        <w:t xml:space="preserve"> Property Company</w:t>
      </w:r>
      <w:r w:rsidRPr="009B601C">
        <w:rPr>
          <w:rFonts w:ascii="Arial" w:hAnsi="Arial" w:cs="Arial"/>
        </w:rPr>
        <w:t>.</w:t>
      </w:r>
    </w:p>
    <w:p w:rsidR="0054774D" w:rsidRDefault="0054774D" w:rsidP="00C704EC">
      <w:pPr>
        <w:spacing w:before="0" w:after="0"/>
        <w:ind w:left="-426"/>
        <w:rPr>
          <w:rFonts w:ascii="Arial" w:hAnsi="Arial" w:cs="Arial"/>
          <w:b/>
          <w:color w:val="FF0000"/>
        </w:rPr>
      </w:pPr>
    </w:p>
    <w:p w:rsidR="00C704EC" w:rsidRPr="00375FD4" w:rsidRDefault="00C704EC" w:rsidP="00990216">
      <w:pPr>
        <w:spacing w:before="0" w:after="0"/>
        <w:rPr>
          <w:rFonts w:ascii="Arial" w:hAnsi="Arial" w:cs="Arial"/>
          <w:b/>
          <w:color w:val="FF0000"/>
        </w:rPr>
        <w:sectPr w:rsidR="00C704EC" w:rsidRPr="00375FD4" w:rsidSect="00990216">
          <w:pgSz w:w="16838" w:h="11906" w:orient="landscape" w:code="9"/>
          <w:pgMar w:top="1440" w:right="1440" w:bottom="1440" w:left="1440" w:header="720" w:footer="720" w:gutter="0"/>
          <w:cols w:space="720"/>
          <w:titlePg/>
          <w:docGrid w:linePitch="272"/>
        </w:sectPr>
      </w:pPr>
    </w:p>
    <w:p w:rsidR="00990216" w:rsidRDefault="00990216" w:rsidP="000D12FA">
      <w:pPr>
        <w:spacing w:before="0" w:after="200" w:line="276" w:lineRule="auto"/>
        <w:rPr>
          <w:rFonts w:ascii="Arial" w:hAnsi="Arial" w:cs="Arial"/>
          <w:b/>
          <w:sz w:val="24"/>
          <w:szCs w:val="24"/>
        </w:rPr>
      </w:pPr>
      <w:r w:rsidRPr="00375FD4">
        <w:rPr>
          <w:rFonts w:ascii="Arial" w:hAnsi="Arial" w:cs="Arial"/>
          <w:b/>
          <w:sz w:val="24"/>
          <w:szCs w:val="24"/>
        </w:rPr>
        <w:lastRenderedPageBreak/>
        <w:t>Group Accounts (Cont’d)</w:t>
      </w:r>
    </w:p>
    <w:p w:rsidR="003F6A00" w:rsidRDefault="003F6A00" w:rsidP="003F6A00">
      <w:pPr>
        <w:keepNext/>
        <w:keepLines/>
        <w:spacing w:before="0" w:after="0"/>
        <w:outlineLvl w:val="0"/>
        <w:rPr>
          <w:rFonts w:ascii="Arial" w:eastAsiaTheme="majorEastAsia" w:hAnsi="Arial" w:cs="Arial"/>
          <w:b/>
          <w:bCs/>
        </w:rPr>
      </w:pPr>
      <w:r w:rsidRPr="003F6A00">
        <w:rPr>
          <w:rFonts w:ascii="Arial" w:eastAsiaTheme="majorEastAsia" w:hAnsi="Arial" w:cs="Arial"/>
          <w:b/>
          <w:bCs/>
        </w:rPr>
        <w:t xml:space="preserve">Group Balance Sheet </w:t>
      </w:r>
    </w:p>
    <w:p w:rsidR="00E85592" w:rsidRDefault="00E85592" w:rsidP="003F6A00">
      <w:pPr>
        <w:keepNext/>
        <w:keepLines/>
        <w:spacing w:before="0" w:after="0"/>
        <w:outlineLvl w:val="0"/>
        <w:rPr>
          <w:rFonts w:ascii="Arial" w:eastAsiaTheme="majorEastAsia" w:hAnsi="Arial" w:cs="Arial"/>
          <w:b/>
          <w:bCs/>
        </w:rPr>
      </w:pPr>
    </w:p>
    <w:p w:rsidR="00E85592" w:rsidRPr="00375FD4" w:rsidRDefault="00E85592" w:rsidP="00E85592">
      <w:pPr>
        <w:spacing w:before="0" w:after="0"/>
        <w:rPr>
          <w:rFonts w:ascii="Arial" w:hAnsi="Arial" w:cs="Arial"/>
        </w:rPr>
      </w:pPr>
      <w:r w:rsidRPr="00375FD4">
        <w:rPr>
          <w:rFonts w:ascii="Arial" w:hAnsi="Arial" w:cs="Arial"/>
        </w:rPr>
        <w:t>The balance sheet shows the value, as at the balance sheet date, of the assets and liabilit</w:t>
      </w:r>
      <w:r>
        <w:rPr>
          <w:rFonts w:ascii="Arial" w:hAnsi="Arial" w:cs="Arial"/>
        </w:rPr>
        <w:t xml:space="preserve">ies recognised by the group. The net assets </w:t>
      </w:r>
      <w:r w:rsidRPr="00375FD4">
        <w:rPr>
          <w:rFonts w:ascii="Arial" w:hAnsi="Arial" w:cs="Arial"/>
        </w:rPr>
        <w:t>(assets less liabilities) are matched by the</w:t>
      </w:r>
      <w:r>
        <w:rPr>
          <w:rFonts w:ascii="Arial" w:hAnsi="Arial" w:cs="Arial"/>
        </w:rPr>
        <w:t xml:space="preserve"> reserves held. </w:t>
      </w:r>
      <w:r w:rsidRPr="00375FD4">
        <w:rPr>
          <w:rFonts w:ascii="Arial" w:hAnsi="Arial" w:cs="Arial"/>
        </w:rPr>
        <w:t>Reserves a</w:t>
      </w:r>
      <w:r>
        <w:rPr>
          <w:rFonts w:ascii="Arial" w:hAnsi="Arial" w:cs="Arial"/>
        </w:rPr>
        <w:t>re reported in two categories (page 38 provides a further explanation).</w:t>
      </w:r>
    </w:p>
    <w:p w:rsidR="00E85592" w:rsidRPr="004A6072" w:rsidRDefault="00E85592" w:rsidP="00E85592">
      <w:pPr>
        <w:spacing w:before="0" w:after="0"/>
        <w:jc w:val="both"/>
        <w:rPr>
          <w:rFonts w:ascii="Arial" w:hAnsi="Arial" w:cs="Arial"/>
        </w:rPr>
      </w:pPr>
    </w:p>
    <w:p w:rsidR="003F1C1E" w:rsidRDefault="005C6F1A" w:rsidP="00623178">
      <w:pPr>
        <w:spacing w:before="0" w:after="0"/>
        <w:rPr>
          <w:rFonts w:ascii="Arial" w:hAnsi="Arial" w:cs="Arial"/>
        </w:rPr>
      </w:pPr>
      <w:r w:rsidRPr="005C6F1A">
        <w:rPr>
          <w:noProof/>
          <w:lang w:eastAsia="en-GB"/>
        </w:rPr>
        <w:drawing>
          <wp:inline distT="0" distB="0" distL="0" distR="0">
            <wp:extent cx="4507799" cy="6108700"/>
            <wp:effectExtent l="0" t="0" r="7620" b="6350"/>
            <wp:docPr id="26" name="Picture 26" descr="the information on assets and liabilities held as at 31 march 2020 by the council and its group entities" title="group balance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512608" cy="6115216"/>
                    </a:xfrm>
                    <a:prstGeom prst="rect">
                      <a:avLst/>
                    </a:prstGeom>
                    <a:noFill/>
                    <a:ln>
                      <a:noFill/>
                    </a:ln>
                  </pic:spPr>
                </pic:pic>
              </a:graphicData>
            </a:graphic>
          </wp:inline>
        </w:drawing>
      </w:r>
    </w:p>
    <w:p w:rsidR="003F6A00" w:rsidRPr="003F6A00" w:rsidRDefault="003F6A00" w:rsidP="003F6A00">
      <w:pPr>
        <w:spacing w:before="0" w:after="0"/>
        <w:rPr>
          <w:rFonts w:ascii="Arial" w:hAnsi="Arial" w:cs="Arial"/>
        </w:rPr>
      </w:pPr>
    </w:p>
    <w:p w:rsidR="003F6A00" w:rsidRPr="003F6A00" w:rsidRDefault="003F6A00" w:rsidP="00EA05CA">
      <w:pPr>
        <w:spacing w:before="0" w:after="0"/>
        <w:rPr>
          <w:rFonts w:ascii="Arial" w:hAnsi="Arial" w:cs="Arial"/>
        </w:rPr>
      </w:pPr>
      <w:r w:rsidRPr="00546466">
        <w:rPr>
          <w:rFonts w:ascii="Arial" w:hAnsi="Arial" w:cs="Arial"/>
        </w:rPr>
        <w:t xml:space="preserve">The unaudited Financial Statements were </w:t>
      </w:r>
      <w:r w:rsidR="00546466" w:rsidRPr="00546466">
        <w:rPr>
          <w:rFonts w:ascii="Arial" w:hAnsi="Arial" w:cs="Arial"/>
          <w:color w:val="000000"/>
          <w:lang w:val="en-US"/>
        </w:rPr>
        <w:t>auth</w:t>
      </w:r>
      <w:r w:rsidR="00763164">
        <w:rPr>
          <w:rFonts w:ascii="Arial" w:hAnsi="Arial" w:cs="Arial"/>
          <w:color w:val="000000"/>
          <w:lang w:val="en-US"/>
        </w:rPr>
        <w:t xml:space="preserve">orised for issue on </w:t>
      </w:r>
      <w:r w:rsidR="00D85ED2">
        <w:rPr>
          <w:rFonts w:ascii="Arial" w:hAnsi="Arial" w:cs="Arial"/>
          <w:color w:val="000000"/>
          <w:lang w:val="en-US"/>
        </w:rPr>
        <w:t>30</w:t>
      </w:r>
      <w:r w:rsidR="00763164">
        <w:rPr>
          <w:rFonts w:ascii="Arial" w:hAnsi="Arial" w:cs="Arial"/>
          <w:color w:val="000000"/>
          <w:lang w:val="en-US"/>
        </w:rPr>
        <w:t xml:space="preserve"> June 2020</w:t>
      </w:r>
      <w:r w:rsidR="00D85ED2">
        <w:rPr>
          <w:rFonts w:ascii="Arial" w:hAnsi="Arial" w:cs="Arial"/>
          <w:color w:val="000000"/>
          <w:lang w:val="en-US"/>
        </w:rPr>
        <w:t xml:space="preserve"> and the audited Financial Statements were authori</w:t>
      </w:r>
      <w:r w:rsidR="00E85592">
        <w:rPr>
          <w:rFonts w:ascii="Arial" w:hAnsi="Arial" w:cs="Arial"/>
          <w:color w:val="000000"/>
          <w:lang w:val="en-US"/>
        </w:rPr>
        <w:t>s</w:t>
      </w:r>
      <w:r w:rsidR="00D85ED2">
        <w:rPr>
          <w:rFonts w:ascii="Arial" w:hAnsi="Arial" w:cs="Arial"/>
          <w:color w:val="000000"/>
          <w:lang w:val="en-US"/>
        </w:rPr>
        <w:t>ed for issue on 25 November 2020</w:t>
      </w:r>
      <w:r w:rsidRPr="00546466">
        <w:rPr>
          <w:rFonts w:ascii="Arial" w:hAnsi="Arial" w:cs="Arial"/>
        </w:rPr>
        <w:t>.</w:t>
      </w:r>
    </w:p>
    <w:p w:rsidR="003F6A00" w:rsidRPr="003F6A00" w:rsidRDefault="003F6A00" w:rsidP="003F6A00">
      <w:pPr>
        <w:spacing w:before="0" w:after="0"/>
        <w:rPr>
          <w:rFonts w:ascii="Arial" w:hAnsi="Arial" w:cs="Arial"/>
        </w:rPr>
      </w:pPr>
    </w:p>
    <w:p w:rsidR="003F6A00" w:rsidRPr="003F6A00" w:rsidRDefault="003F6A00" w:rsidP="003F6A00">
      <w:pPr>
        <w:spacing w:before="0" w:after="0"/>
        <w:rPr>
          <w:rFonts w:ascii="Arial" w:hAnsi="Arial" w:cs="Arial"/>
        </w:rPr>
      </w:pPr>
    </w:p>
    <w:p w:rsidR="003F6A00" w:rsidRPr="003F6A00" w:rsidRDefault="003F6A00" w:rsidP="003F6A00">
      <w:pPr>
        <w:spacing w:before="0" w:after="0"/>
        <w:rPr>
          <w:rFonts w:ascii="Arial" w:hAnsi="Arial" w:cs="Arial"/>
        </w:rPr>
      </w:pPr>
    </w:p>
    <w:p w:rsidR="003F6A00" w:rsidRPr="003F6A00" w:rsidRDefault="003F6A00" w:rsidP="003F6A00">
      <w:pPr>
        <w:spacing w:before="0" w:after="0"/>
        <w:jc w:val="right"/>
        <w:rPr>
          <w:rFonts w:ascii="Arial" w:hAnsi="Arial" w:cs="Arial"/>
        </w:rPr>
      </w:pPr>
      <w:r w:rsidRPr="003F6A00">
        <w:rPr>
          <w:rFonts w:ascii="Arial" w:hAnsi="Arial" w:cs="Arial"/>
        </w:rPr>
        <w:t>Stephen West</w:t>
      </w:r>
    </w:p>
    <w:p w:rsidR="003F6A00" w:rsidRPr="00EA05CA" w:rsidRDefault="003F6A00" w:rsidP="003F6A00">
      <w:pPr>
        <w:spacing w:before="0" w:after="0"/>
        <w:jc w:val="right"/>
        <w:rPr>
          <w:rFonts w:ascii="Arial" w:hAnsi="Arial" w:cs="Arial"/>
        </w:rPr>
      </w:pPr>
      <w:r w:rsidRPr="00EA05CA">
        <w:rPr>
          <w:rFonts w:ascii="Arial" w:hAnsi="Arial" w:cs="Arial"/>
        </w:rPr>
        <w:t>Strategic Lead - Resources</w:t>
      </w:r>
    </w:p>
    <w:p w:rsidR="003F6A00" w:rsidRPr="00EA05CA" w:rsidRDefault="003F6A00" w:rsidP="003F6A00">
      <w:pPr>
        <w:spacing w:before="0" w:after="0"/>
        <w:jc w:val="right"/>
        <w:rPr>
          <w:rFonts w:ascii="Arial" w:hAnsi="Arial" w:cs="Arial"/>
        </w:rPr>
      </w:pPr>
      <w:r w:rsidRPr="00EA05CA">
        <w:rPr>
          <w:rFonts w:ascii="Arial" w:hAnsi="Arial" w:cs="Arial"/>
        </w:rPr>
        <w:t>West Dunbartonshire Council</w:t>
      </w:r>
    </w:p>
    <w:p w:rsidR="000B561E" w:rsidRPr="00375FD4" w:rsidRDefault="00D85ED2" w:rsidP="000B561E">
      <w:pPr>
        <w:spacing w:before="0" w:after="200" w:line="276" w:lineRule="auto"/>
        <w:jc w:val="right"/>
        <w:rPr>
          <w:rFonts w:ascii="Arial" w:hAnsi="Arial" w:cs="Arial"/>
          <w:color w:val="000000"/>
          <w:lang w:val="en-US"/>
        </w:rPr>
      </w:pPr>
      <w:r>
        <w:rPr>
          <w:rFonts w:ascii="Arial" w:hAnsi="Arial" w:cs="Arial"/>
          <w:color w:val="000000"/>
          <w:lang w:val="en-US"/>
        </w:rPr>
        <w:t>25 November</w:t>
      </w:r>
      <w:r w:rsidR="00763164">
        <w:rPr>
          <w:rFonts w:ascii="Arial" w:hAnsi="Arial" w:cs="Arial"/>
          <w:color w:val="000000"/>
          <w:lang w:val="en-US"/>
        </w:rPr>
        <w:t xml:space="preserve"> 2020</w:t>
      </w:r>
    </w:p>
    <w:p w:rsidR="00990216" w:rsidRPr="00375FD4" w:rsidRDefault="00990216" w:rsidP="00363667">
      <w:pPr>
        <w:spacing w:before="0" w:after="200" w:line="276" w:lineRule="auto"/>
        <w:rPr>
          <w:rFonts w:ascii="Arial" w:hAnsi="Arial" w:cs="Arial"/>
          <w:b/>
          <w:color w:val="FF0000"/>
        </w:rPr>
      </w:pPr>
      <w:r w:rsidRPr="00375FD4">
        <w:rPr>
          <w:rFonts w:ascii="Arial" w:hAnsi="Arial" w:cs="Arial"/>
          <w:b/>
          <w:sz w:val="24"/>
          <w:szCs w:val="24"/>
        </w:rPr>
        <w:lastRenderedPageBreak/>
        <w:t>Group Accounts (Cont’d)</w:t>
      </w:r>
    </w:p>
    <w:p w:rsidR="00990216" w:rsidRPr="000A3446" w:rsidRDefault="00990216" w:rsidP="00310B99">
      <w:pPr>
        <w:pStyle w:val="Heading1"/>
        <w:spacing w:before="0"/>
        <w:rPr>
          <w:rFonts w:ascii="Arial" w:hAnsi="Arial" w:cs="Arial"/>
          <w:color w:val="auto"/>
          <w:sz w:val="20"/>
          <w:szCs w:val="20"/>
        </w:rPr>
      </w:pPr>
      <w:r w:rsidRPr="000A3446">
        <w:rPr>
          <w:rFonts w:ascii="Arial" w:hAnsi="Arial" w:cs="Arial"/>
          <w:color w:val="auto"/>
          <w:sz w:val="20"/>
          <w:szCs w:val="20"/>
        </w:rPr>
        <w:t xml:space="preserve">Group Cashflow Statement </w:t>
      </w:r>
    </w:p>
    <w:p w:rsidR="00990216" w:rsidRPr="00375FD4" w:rsidRDefault="00990216" w:rsidP="00990216">
      <w:pPr>
        <w:spacing w:before="0" w:after="0"/>
        <w:rPr>
          <w:rFonts w:ascii="Arial" w:hAnsi="Arial" w:cs="Arial"/>
          <w:b/>
        </w:rPr>
      </w:pPr>
    </w:p>
    <w:p w:rsidR="00E85592" w:rsidRDefault="00E85592" w:rsidP="00E85592">
      <w:pPr>
        <w:spacing w:before="0" w:after="0"/>
        <w:rPr>
          <w:rFonts w:ascii="Arial" w:hAnsi="Arial" w:cs="Arial"/>
        </w:rPr>
      </w:pPr>
      <w:r w:rsidRPr="00375FD4">
        <w:rPr>
          <w:rFonts w:ascii="Arial" w:hAnsi="Arial" w:cs="Arial"/>
        </w:rPr>
        <w:t>The cash flow statement shows the changes in ca</w:t>
      </w:r>
      <w:r>
        <w:rPr>
          <w:rFonts w:ascii="Arial" w:hAnsi="Arial" w:cs="Arial"/>
        </w:rPr>
        <w:t xml:space="preserve">sh and cash equivalents of the group </w:t>
      </w:r>
      <w:r w:rsidRPr="00375FD4">
        <w:rPr>
          <w:rFonts w:ascii="Arial" w:hAnsi="Arial" w:cs="Arial"/>
        </w:rPr>
        <w:t>during the reporting period.  The statement shows how</w:t>
      </w:r>
      <w:r>
        <w:rPr>
          <w:rFonts w:ascii="Arial" w:hAnsi="Arial" w:cs="Arial"/>
        </w:rPr>
        <w:t xml:space="preserve"> the group </w:t>
      </w:r>
      <w:r w:rsidRPr="00375FD4">
        <w:rPr>
          <w:rFonts w:ascii="Arial" w:hAnsi="Arial" w:cs="Arial"/>
        </w:rPr>
        <w:t xml:space="preserve">generates and uses cash and cash equivalents by classifying cash flows as operating, investing and financing activities.  The amount of net cash flows arising from operating activities is a key indicator of the extent to which the operations of the authority are funded by way of taxation and grant income or from the recipients of services provided by the authority.  Investing activities represent the extent to which cash outflows have been made for resources which are intended to contribute to </w:t>
      </w:r>
      <w:r>
        <w:rPr>
          <w:rFonts w:ascii="Arial" w:hAnsi="Arial" w:cs="Arial"/>
        </w:rPr>
        <w:t>the c</w:t>
      </w:r>
      <w:r w:rsidRPr="00375FD4">
        <w:rPr>
          <w:rFonts w:ascii="Arial" w:hAnsi="Arial" w:cs="Arial"/>
        </w:rPr>
        <w:t>ouncil’s future service delivery.  Cash flows arising from financing activities are useful in predicting claims on future cash flows by providers of c</w:t>
      </w:r>
      <w:r>
        <w:rPr>
          <w:rFonts w:ascii="Arial" w:hAnsi="Arial" w:cs="Arial"/>
        </w:rPr>
        <w:t>apital (i.e. borrowing) to the group</w:t>
      </w:r>
      <w:r w:rsidRPr="00375FD4">
        <w:rPr>
          <w:rFonts w:ascii="Arial" w:hAnsi="Arial" w:cs="Arial"/>
        </w:rPr>
        <w:t>.</w:t>
      </w:r>
    </w:p>
    <w:p w:rsidR="00E85592" w:rsidRDefault="00E85592" w:rsidP="00986026">
      <w:pPr>
        <w:spacing w:before="0" w:after="0"/>
        <w:rPr>
          <w:rFonts w:ascii="Arial" w:hAnsi="Arial" w:cs="Arial"/>
        </w:rPr>
      </w:pPr>
    </w:p>
    <w:p w:rsidR="00801140" w:rsidRDefault="004A760A" w:rsidP="00986026">
      <w:pPr>
        <w:spacing w:before="0" w:after="0"/>
        <w:rPr>
          <w:rFonts w:ascii="Arial" w:hAnsi="Arial" w:cs="Arial"/>
        </w:rPr>
      </w:pPr>
      <w:r>
        <w:rPr>
          <w:rFonts w:ascii="Arial" w:hAnsi="Arial" w:cs="Arial"/>
        </w:rPr>
        <w:t xml:space="preserve">The </w:t>
      </w:r>
      <w:r w:rsidR="00990216" w:rsidRPr="00375FD4">
        <w:rPr>
          <w:rFonts w:ascii="Arial" w:hAnsi="Arial" w:cs="Arial"/>
        </w:rPr>
        <w:t>incorporation of the associates</w:t>
      </w:r>
      <w:r w:rsidR="00801140">
        <w:rPr>
          <w:rFonts w:ascii="Arial" w:hAnsi="Arial" w:cs="Arial"/>
        </w:rPr>
        <w:t xml:space="preserve"> and subsidiaries</w:t>
      </w:r>
      <w:r w:rsidR="00990216" w:rsidRPr="00375FD4">
        <w:rPr>
          <w:rFonts w:ascii="Arial" w:hAnsi="Arial" w:cs="Arial"/>
        </w:rPr>
        <w:t xml:space="preserve"> within the group cash flow statement</w:t>
      </w:r>
      <w:r w:rsidR="00801140">
        <w:rPr>
          <w:rFonts w:ascii="Arial" w:hAnsi="Arial" w:cs="Arial"/>
        </w:rPr>
        <w:t xml:space="preserve"> is immaterial</w:t>
      </w:r>
      <w:r w:rsidR="00990216" w:rsidRPr="00375FD4">
        <w:rPr>
          <w:rFonts w:ascii="Arial" w:hAnsi="Arial" w:cs="Arial"/>
        </w:rPr>
        <w:t xml:space="preserve">, therefore, no cash flow statement is noted within the Group Accounts.  </w:t>
      </w:r>
    </w:p>
    <w:p w:rsidR="00801140" w:rsidRDefault="00801140" w:rsidP="00986026">
      <w:pPr>
        <w:spacing w:before="0" w:after="0"/>
        <w:rPr>
          <w:rFonts w:ascii="Arial" w:hAnsi="Arial" w:cs="Arial"/>
        </w:rPr>
      </w:pPr>
    </w:p>
    <w:p w:rsidR="00990216" w:rsidRPr="00375FD4" w:rsidRDefault="00801140" w:rsidP="00801140">
      <w:pPr>
        <w:spacing w:before="0" w:after="0"/>
        <w:rPr>
          <w:rFonts w:ascii="Arial" w:hAnsi="Arial" w:cs="Arial"/>
        </w:rPr>
      </w:pPr>
      <w:r>
        <w:rPr>
          <w:rFonts w:ascii="Arial" w:hAnsi="Arial" w:cs="Arial"/>
        </w:rPr>
        <w:t>The Council’s cash</w:t>
      </w:r>
      <w:r w:rsidR="00990216" w:rsidRPr="00375FD4">
        <w:rPr>
          <w:rFonts w:ascii="Arial" w:hAnsi="Arial" w:cs="Arial"/>
        </w:rPr>
        <w:t xml:space="preserve">flow </w:t>
      </w:r>
      <w:r>
        <w:rPr>
          <w:rFonts w:ascii="Arial" w:hAnsi="Arial" w:cs="Arial"/>
        </w:rPr>
        <w:t>is noted</w:t>
      </w:r>
      <w:r w:rsidR="000613C0">
        <w:rPr>
          <w:rFonts w:ascii="Arial" w:hAnsi="Arial" w:cs="Arial"/>
        </w:rPr>
        <w:t xml:space="preserve"> on page 39</w:t>
      </w:r>
      <w:r w:rsidR="00990216" w:rsidRPr="00375FD4">
        <w:rPr>
          <w:rFonts w:ascii="Arial" w:hAnsi="Arial" w:cs="Arial"/>
        </w:rPr>
        <w:t>.</w:t>
      </w:r>
    </w:p>
    <w:p w:rsidR="00990216" w:rsidRPr="00375FD4" w:rsidRDefault="00990216" w:rsidP="00990216">
      <w:pPr>
        <w:spacing w:before="0" w:after="0"/>
        <w:rPr>
          <w:rFonts w:ascii="Arial" w:hAnsi="Arial" w:cs="Arial"/>
          <w:b/>
        </w:rPr>
      </w:pPr>
    </w:p>
    <w:p w:rsidR="00990216" w:rsidRPr="00375FD4" w:rsidRDefault="00990216" w:rsidP="00720637">
      <w:pPr>
        <w:spacing w:before="0" w:after="0"/>
        <w:rPr>
          <w:rFonts w:ascii="Arial" w:hAnsi="Arial" w:cs="Arial"/>
          <w:b/>
          <w:sz w:val="24"/>
          <w:szCs w:val="24"/>
        </w:rPr>
      </w:pPr>
      <w:r w:rsidRPr="00375FD4">
        <w:rPr>
          <w:rFonts w:ascii="Arial" w:hAnsi="Arial" w:cs="Arial"/>
          <w:b/>
          <w:color w:val="FF0000"/>
        </w:rPr>
        <w:br w:type="page"/>
      </w:r>
      <w:r w:rsidRPr="00375FD4">
        <w:rPr>
          <w:rFonts w:ascii="Arial" w:hAnsi="Arial" w:cs="Arial"/>
          <w:b/>
          <w:sz w:val="24"/>
          <w:szCs w:val="24"/>
        </w:rPr>
        <w:lastRenderedPageBreak/>
        <w:t>Group Accounts (Cont’d)</w:t>
      </w:r>
    </w:p>
    <w:p w:rsidR="00990216" w:rsidRPr="00375FD4" w:rsidRDefault="00990216" w:rsidP="00990216">
      <w:pPr>
        <w:spacing w:before="0" w:after="0"/>
        <w:ind w:left="360"/>
        <w:rPr>
          <w:rFonts w:ascii="Arial" w:hAnsi="Arial" w:cs="Arial"/>
          <w:b/>
        </w:rPr>
      </w:pPr>
    </w:p>
    <w:p w:rsidR="00990216" w:rsidRPr="000A3446" w:rsidRDefault="00990216" w:rsidP="00310B99">
      <w:pPr>
        <w:pStyle w:val="Heading1"/>
        <w:spacing w:before="0"/>
        <w:rPr>
          <w:rFonts w:ascii="Arial" w:hAnsi="Arial" w:cs="Arial"/>
          <w:color w:val="auto"/>
          <w:sz w:val="20"/>
          <w:szCs w:val="20"/>
        </w:rPr>
      </w:pPr>
      <w:r w:rsidRPr="000A3446">
        <w:rPr>
          <w:rFonts w:ascii="Arial" w:hAnsi="Arial" w:cs="Arial"/>
          <w:color w:val="auto"/>
          <w:sz w:val="20"/>
          <w:szCs w:val="20"/>
        </w:rPr>
        <w:t>Notes to the Group Accounts</w:t>
      </w:r>
    </w:p>
    <w:p w:rsidR="00990216" w:rsidRPr="00375FD4" w:rsidRDefault="00990216" w:rsidP="00990216">
      <w:pPr>
        <w:spacing w:before="0" w:after="0"/>
        <w:ind w:left="360"/>
        <w:rPr>
          <w:rFonts w:ascii="Arial" w:hAnsi="Arial" w:cs="Arial"/>
        </w:rPr>
      </w:pPr>
    </w:p>
    <w:p w:rsidR="00990216" w:rsidRPr="00375FD4" w:rsidRDefault="00990216" w:rsidP="00986026">
      <w:pPr>
        <w:keepNext/>
        <w:spacing w:before="0" w:after="0"/>
        <w:jc w:val="both"/>
        <w:outlineLvl w:val="8"/>
        <w:rPr>
          <w:rFonts w:ascii="Arial" w:hAnsi="Arial" w:cs="Arial"/>
          <w:b/>
          <w:bCs/>
        </w:rPr>
      </w:pPr>
      <w:r w:rsidRPr="00375FD4">
        <w:rPr>
          <w:rFonts w:ascii="Arial" w:hAnsi="Arial" w:cs="Arial"/>
          <w:b/>
          <w:bCs/>
        </w:rPr>
        <w:t>Note 1 - Details of combining entities</w:t>
      </w:r>
    </w:p>
    <w:p w:rsidR="00990216" w:rsidRPr="00375FD4" w:rsidRDefault="00990216" w:rsidP="00990216">
      <w:pPr>
        <w:spacing w:before="0" w:after="0"/>
        <w:ind w:left="720" w:hanging="720"/>
        <w:jc w:val="both"/>
        <w:rPr>
          <w:rFonts w:ascii="Arial" w:hAnsi="Arial" w:cs="Arial"/>
          <w:b/>
        </w:rPr>
      </w:pPr>
    </w:p>
    <w:p w:rsidR="00990216" w:rsidRDefault="00990216" w:rsidP="00986026">
      <w:pPr>
        <w:spacing w:before="0" w:after="0"/>
        <w:rPr>
          <w:rFonts w:ascii="Arial" w:hAnsi="Arial" w:cs="Arial"/>
        </w:rPr>
      </w:pPr>
      <w:r w:rsidRPr="00EB6E39">
        <w:rPr>
          <w:rFonts w:ascii="Arial" w:hAnsi="Arial" w:cs="Arial"/>
        </w:rPr>
        <w:t>The notes required for the Financial Statements of West Dunbartonshire Council are disclosed separately in the preceding pages. For Strathclyde Partnership for Transport and Concessiona</w:t>
      </w:r>
      <w:r w:rsidR="002E7DAC" w:rsidRPr="00EB6E39">
        <w:rPr>
          <w:rFonts w:ascii="Arial" w:hAnsi="Arial" w:cs="Arial"/>
        </w:rPr>
        <w:t>ry Travel Scheme, although the c</w:t>
      </w:r>
      <w:r w:rsidRPr="00EB6E39">
        <w:rPr>
          <w:rFonts w:ascii="Arial" w:hAnsi="Arial" w:cs="Arial"/>
        </w:rPr>
        <w:t xml:space="preserve">ouncil holds less </w:t>
      </w:r>
      <w:r w:rsidR="00386A2D" w:rsidRPr="00EB6E39">
        <w:rPr>
          <w:rFonts w:ascii="Arial" w:hAnsi="Arial" w:cs="Arial"/>
        </w:rPr>
        <w:t>than</w:t>
      </w:r>
      <w:r w:rsidRPr="00EB6E39">
        <w:rPr>
          <w:rFonts w:ascii="Arial" w:hAnsi="Arial" w:cs="Arial"/>
        </w:rPr>
        <w:t xml:space="preserve"> 20% voting rights, it has a significant influence on the bodies. The organisations have voting allocations over 11 other local councils, with no one council holding majority shares, which ensures that all 12 councils can influence decisions. The following notes provide material additional amounts and details in relation to the other combining entities.</w:t>
      </w:r>
    </w:p>
    <w:p w:rsidR="002A4A00" w:rsidRDefault="002A4A00" w:rsidP="00986026">
      <w:pPr>
        <w:spacing w:before="0" w:after="0"/>
        <w:rPr>
          <w:rFonts w:ascii="Arial" w:hAnsi="Arial" w:cs="Arial"/>
        </w:rPr>
      </w:pPr>
    </w:p>
    <w:p w:rsidR="002A4A00" w:rsidRPr="002A4A00" w:rsidRDefault="002A4A00" w:rsidP="00986026">
      <w:pPr>
        <w:spacing w:before="0" w:after="0"/>
        <w:rPr>
          <w:rFonts w:ascii="Arial" w:hAnsi="Arial" w:cs="Arial"/>
          <w:b/>
          <w:bCs/>
          <w:u w:val="single"/>
        </w:rPr>
      </w:pPr>
      <w:r w:rsidRPr="002A4A00">
        <w:rPr>
          <w:rFonts w:ascii="Arial" w:hAnsi="Arial" w:cs="Arial"/>
          <w:b/>
          <w:bCs/>
          <w:u w:val="single"/>
        </w:rPr>
        <w:t>Associates and Joint Ventures</w:t>
      </w:r>
    </w:p>
    <w:p w:rsidR="00990216" w:rsidRPr="00375FD4" w:rsidRDefault="00990216" w:rsidP="00986026">
      <w:pPr>
        <w:spacing w:before="0" w:after="0"/>
        <w:ind w:hanging="720"/>
        <w:rPr>
          <w:rFonts w:ascii="Arial" w:hAnsi="Arial" w:cs="Arial"/>
          <w:color w:val="FF0000"/>
        </w:rPr>
      </w:pPr>
    </w:p>
    <w:p w:rsidR="00990216" w:rsidRPr="0059025F" w:rsidRDefault="00990216" w:rsidP="0059025F">
      <w:pPr>
        <w:spacing w:before="0" w:after="0"/>
        <w:rPr>
          <w:rFonts w:ascii="Arial" w:hAnsi="Arial" w:cs="Arial"/>
          <w:highlight w:val="yellow"/>
        </w:rPr>
      </w:pPr>
      <w:r w:rsidRPr="00375FD4">
        <w:rPr>
          <w:rFonts w:ascii="Arial" w:hAnsi="Arial" w:cs="Arial"/>
          <w:b/>
        </w:rPr>
        <w:t xml:space="preserve">Strathclyde Partnership for Transport </w:t>
      </w:r>
      <w:r w:rsidRPr="00375FD4">
        <w:rPr>
          <w:rFonts w:ascii="Arial" w:hAnsi="Arial" w:cs="Arial"/>
        </w:rPr>
        <w:t>is the statutory body responsible for formulating the public transport policy on behalf of the 12 local authorities i</w:t>
      </w:r>
      <w:r w:rsidR="00D06E1F">
        <w:rPr>
          <w:rFonts w:ascii="Arial" w:hAnsi="Arial" w:cs="Arial"/>
        </w:rPr>
        <w:t>n the West of Scotland.  In 2019/20</w:t>
      </w:r>
      <w:r w:rsidR="002E7DAC">
        <w:rPr>
          <w:rFonts w:ascii="Arial" w:hAnsi="Arial" w:cs="Arial"/>
        </w:rPr>
        <w:t>, the c</w:t>
      </w:r>
      <w:r w:rsidR="00FA4861">
        <w:rPr>
          <w:rFonts w:ascii="Arial" w:hAnsi="Arial" w:cs="Arial"/>
        </w:rPr>
        <w:t xml:space="preserve">ouncil </w:t>
      </w:r>
      <w:r w:rsidR="00FA4861" w:rsidRPr="0059025F">
        <w:rPr>
          <w:rFonts w:ascii="Arial" w:hAnsi="Arial" w:cs="Arial"/>
        </w:rPr>
        <w:t>contributed £</w:t>
      </w:r>
      <w:r w:rsidR="00A611D5" w:rsidRPr="0059025F">
        <w:rPr>
          <w:rFonts w:ascii="Arial" w:hAnsi="Arial" w:cs="Arial"/>
        </w:rPr>
        <w:t>1.605</w:t>
      </w:r>
      <w:r w:rsidR="00007B3E" w:rsidRPr="0059025F">
        <w:rPr>
          <w:rFonts w:ascii="Arial" w:hAnsi="Arial" w:cs="Arial"/>
        </w:rPr>
        <w:t>m</w:t>
      </w:r>
      <w:r w:rsidR="00D06E1F">
        <w:rPr>
          <w:rFonts w:ascii="Arial" w:hAnsi="Arial" w:cs="Arial"/>
        </w:rPr>
        <w:t xml:space="preserve"> (2018/19 £1.605</w:t>
      </w:r>
      <w:r w:rsidR="00FA4861" w:rsidRPr="00A611D5">
        <w:rPr>
          <w:rFonts w:ascii="Arial" w:hAnsi="Arial" w:cs="Arial"/>
        </w:rPr>
        <w:t xml:space="preserve">m) </w:t>
      </w:r>
      <w:r w:rsidR="00FA4861" w:rsidRPr="00EB6E39">
        <w:rPr>
          <w:rFonts w:ascii="Arial" w:hAnsi="Arial" w:cs="Arial"/>
        </w:rPr>
        <w:t>or</w:t>
      </w:r>
      <w:r w:rsidR="0053065E" w:rsidRPr="00EB6E39">
        <w:rPr>
          <w:rFonts w:ascii="Arial" w:hAnsi="Arial" w:cs="Arial"/>
        </w:rPr>
        <w:t xml:space="preserve"> </w:t>
      </w:r>
      <w:r w:rsidR="00EB6E39" w:rsidRPr="00EB6E39">
        <w:rPr>
          <w:rFonts w:ascii="Arial" w:hAnsi="Arial" w:cs="Arial"/>
        </w:rPr>
        <w:t>4.03</w:t>
      </w:r>
      <w:r w:rsidR="00FA4861" w:rsidRPr="00EB6E39">
        <w:rPr>
          <w:rFonts w:ascii="Arial" w:hAnsi="Arial" w:cs="Arial"/>
        </w:rPr>
        <w:t>% (</w:t>
      </w:r>
      <w:r w:rsidR="00FA4861">
        <w:rPr>
          <w:rFonts w:ascii="Arial" w:hAnsi="Arial" w:cs="Arial"/>
        </w:rPr>
        <w:t>20</w:t>
      </w:r>
      <w:r w:rsidR="00D06E1F">
        <w:rPr>
          <w:rFonts w:ascii="Arial" w:hAnsi="Arial" w:cs="Arial"/>
        </w:rPr>
        <w:t>18/19</w:t>
      </w:r>
      <w:r w:rsidRPr="00375FD4">
        <w:rPr>
          <w:rFonts w:ascii="Arial" w:hAnsi="Arial" w:cs="Arial"/>
        </w:rPr>
        <w:t xml:space="preserve"> 4.39%) </w:t>
      </w:r>
      <w:r w:rsidR="00386A2D" w:rsidRPr="00375FD4">
        <w:rPr>
          <w:rFonts w:ascii="Arial" w:hAnsi="Arial" w:cs="Arial"/>
        </w:rPr>
        <w:t>of the Board’s</w:t>
      </w:r>
      <w:r w:rsidRPr="00375FD4">
        <w:rPr>
          <w:rFonts w:ascii="Arial" w:hAnsi="Arial" w:cs="Arial"/>
        </w:rPr>
        <w:t xml:space="preserve"> estimated running costs </w:t>
      </w:r>
      <w:r w:rsidR="00386A2D" w:rsidRPr="00375FD4">
        <w:rPr>
          <w:rFonts w:ascii="Arial" w:hAnsi="Arial" w:cs="Arial"/>
        </w:rPr>
        <w:t>and its</w:t>
      </w:r>
      <w:r w:rsidRPr="00375FD4">
        <w:rPr>
          <w:rFonts w:ascii="Arial" w:hAnsi="Arial" w:cs="Arial"/>
        </w:rPr>
        <w:t xml:space="preserve"> share of the </w:t>
      </w:r>
      <w:r w:rsidRPr="009F6F89">
        <w:rPr>
          <w:rFonts w:ascii="Arial" w:hAnsi="Arial" w:cs="Arial"/>
        </w:rPr>
        <w:t>yea</w:t>
      </w:r>
      <w:r w:rsidR="00FA4861" w:rsidRPr="009F6F89">
        <w:rPr>
          <w:rFonts w:ascii="Arial" w:hAnsi="Arial" w:cs="Arial"/>
        </w:rPr>
        <w:t>r end net asset of £</w:t>
      </w:r>
      <w:r w:rsidR="00E85592">
        <w:rPr>
          <w:rFonts w:ascii="Arial" w:hAnsi="Arial" w:cs="Arial"/>
        </w:rPr>
        <w:t>17.209</w:t>
      </w:r>
      <w:r w:rsidR="00007B3E" w:rsidRPr="009F6F89">
        <w:rPr>
          <w:rFonts w:ascii="Arial" w:hAnsi="Arial" w:cs="Arial"/>
        </w:rPr>
        <w:t>m</w:t>
      </w:r>
      <w:r w:rsidR="00D06E1F" w:rsidRPr="009F6F89">
        <w:rPr>
          <w:rFonts w:ascii="Arial" w:hAnsi="Arial" w:cs="Arial"/>
        </w:rPr>
        <w:t xml:space="preserve"> (2018/19</w:t>
      </w:r>
      <w:r w:rsidR="00EC0F9D">
        <w:rPr>
          <w:rFonts w:ascii="Arial" w:hAnsi="Arial" w:cs="Arial"/>
        </w:rPr>
        <w:t xml:space="preserve"> £</w:t>
      </w:r>
      <w:r w:rsidR="00D06E1F">
        <w:rPr>
          <w:rFonts w:ascii="Arial" w:hAnsi="Arial" w:cs="Arial"/>
        </w:rPr>
        <w:t>14.541</w:t>
      </w:r>
      <w:r w:rsidRPr="00375FD4">
        <w:rPr>
          <w:rFonts w:ascii="Arial" w:hAnsi="Arial" w:cs="Arial"/>
        </w:rPr>
        <w:t>m) is included in the Group Balance Sheet. Copies of its accounts may be obtained from the Treasurer to</w:t>
      </w:r>
      <w:r w:rsidRPr="00375FD4">
        <w:rPr>
          <w:rFonts w:ascii="Arial" w:hAnsi="Arial" w:cs="Arial"/>
          <w:b/>
        </w:rPr>
        <w:t xml:space="preserve"> </w:t>
      </w:r>
      <w:r w:rsidRPr="00375FD4">
        <w:rPr>
          <w:rFonts w:ascii="Arial" w:hAnsi="Arial" w:cs="Arial"/>
        </w:rPr>
        <w:t>the Strathclyde Partnership for</w:t>
      </w:r>
      <w:r w:rsidR="006330AA">
        <w:rPr>
          <w:rFonts w:ascii="Arial" w:hAnsi="Arial" w:cs="Arial"/>
        </w:rPr>
        <w:t xml:space="preserve"> Transport, 131 St Vincent Street, Glasgow G2 5JF</w:t>
      </w:r>
      <w:r w:rsidRPr="00375FD4">
        <w:rPr>
          <w:rFonts w:ascii="Arial" w:hAnsi="Arial" w:cs="Arial"/>
        </w:rPr>
        <w:t>.</w:t>
      </w:r>
    </w:p>
    <w:p w:rsidR="00990216" w:rsidRPr="00375FD4" w:rsidRDefault="00990216" w:rsidP="00986026">
      <w:pPr>
        <w:spacing w:before="0" w:after="0"/>
        <w:rPr>
          <w:rFonts w:ascii="Arial" w:hAnsi="Arial" w:cs="Arial"/>
          <w:color w:val="FF0000"/>
        </w:rPr>
      </w:pPr>
    </w:p>
    <w:p w:rsidR="00990216" w:rsidRPr="00375FD4" w:rsidRDefault="00990216" w:rsidP="00986026">
      <w:pPr>
        <w:spacing w:before="0" w:after="0"/>
        <w:rPr>
          <w:rFonts w:ascii="Arial" w:hAnsi="Arial" w:cs="Arial"/>
        </w:rPr>
      </w:pPr>
      <w:r w:rsidRPr="00375FD4">
        <w:rPr>
          <w:rFonts w:ascii="Arial" w:hAnsi="Arial" w:cs="Arial"/>
          <w:b/>
        </w:rPr>
        <w:t>Strathclyde Concessionary Travel Scheme Joint Board</w:t>
      </w:r>
      <w:r w:rsidRPr="00375FD4">
        <w:rPr>
          <w:rFonts w:ascii="Arial" w:hAnsi="Arial" w:cs="Arial"/>
        </w:rPr>
        <w:t xml:space="preserve"> oversees the operation of the concessionary fares scheme for public transport on behalf of the 12 local authorities in the West of Scotland. The costs of the scheme are funded through requisitions from the 12 councils and by the Scottish Executive v</w:t>
      </w:r>
      <w:r w:rsidR="00912D5E">
        <w:rPr>
          <w:rFonts w:ascii="Arial" w:hAnsi="Arial" w:cs="Arial"/>
        </w:rPr>
        <w:t>ia a ‘section 70’ grant. In 2019/20</w:t>
      </w:r>
      <w:r w:rsidR="002E7DAC">
        <w:rPr>
          <w:rFonts w:ascii="Arial" w:hAnsi="Arial" w:cs="Arial"/>
        </w:rPr>
        <w:t>, the c</w:t>
      </w:r>
      <w:r w:rsidR="00FA4861">
        <w:rPr>
          <w:rFonts w:ascii="Arial" w:hAnsi="Arial" w:cs="Arial"/>
        </w:rPr>
        <w:t xml:space="preserve">ouncil contributed </w:t>
      </w:r>
      <w:r w:rsidR="00FA4861" w:rsidRPr="00A611D5">
        <w:rPr>
          <w:rFonts w:ascii="Arial" w:hAnsi="Arial" w:cs="Arial"/>
        </w:rPr>
        <w:t>£</w:t>
      </w:r>
      <w:r w:rsidR="00327432" w:rsidRPr="00EB6E39">
        <w:rPr>
          <w:rFonts w:ascii="Arial" w:hAnsi="Arial" w:cs="Arial"/>
        </w:rPr>
        <w:t>0.</w:t>
      </w:r>
      <w:r w:rsidR="00A611D5" w:rsidRPr="00EB6E39">
        <w:rPr>
          <w:rFonts w:ascii="Arial" w:hAnsi="Arial" w:cs="Arial"/>
        </w:rPr>
        <w:t>171</w:t>
      </w:r>
      <w:r w:rsidR="00797512" w:rsidRPr="00EB6E39">
        <w:rPr>
          <w:rFonts w:ascii="Arial" w:hAnsi="Arial" w:cs="Arial"/>
        </w:rPr>
        <w:t>m</w:t>
      </w:r>
      <w:r w:rsidR="00912D5E">
        <w:rPr>
          <w:rFonts w:ascii="Arial" w:hAnsi="Arial" w:cs="Arial"/>
        </w:rPr>
        <w:t xml:space="preserve"> (2018/19 £0.</w:t>
      </w:r>
      <w:r w:rsidR="00912D5E" w:rsidRPr="00EB6E39">
        <w:rPr>
          <w:rFonts w:ascii="Arial" w:hAnsi="Arial" w:cs="Arial"/>
        </w:rPr>
        <w:t>171</w:t>
      </w:r>
      <w:r w:rsidR="00A611D5" w:rsidRPr="00EB6E39">
        <w:rPr>
          <w:rFonts w:ascii="Arial" w:hAnsi="Arial" w:cs="Arial"/>
        </w:rPr>
        <w:t>m)</w:t>
      </w:r>
      <w:r w:rsidR="00CB53FC" w:rsidRPr="00EB6E39">
        <w:rPr>
          <w:rFonts w:ascii="Arial" w:hAnsi="Arial" w:cs="Arial"/>
        </w:rPr>
        <w:t xml:space="preserve">, </w:t>
      </w:r>
      <w:r w:rsidR="00EB6E39" w:rsidRPr="00EB6E39">
        <w:rPr>
          <w:rFonts w:ascii="Arial" w:hAnsi="Arial" w:cs="Arial"/>
        </w:rPr>
        <w:t>4.03</w:t>
      </w:r>
      <w:r w:rsidR="00797512" w:rsidRPr="00EB6E39">
        <w:rPr>
          <w:rFonts w:ascii="Arial" w:hAnsi="Arial" w:cs="Arial"/>
        </w:rPr>
        <w:t>%</w:t>
      </w:r>
      <w:r w:rsidR="00912D5E" w:rsidRPr="00EB6E39">
        <w:rPr>
          <w:rFonts w:ascii="Arial" w:hAnsi="Arial" w:cs="Arial"/>
        </w:rPr>
        <w:t xml:space="preserve"> (2018</w:t>
      </w:r>
      <w:r w:rsidR="00912D5E">
        <w:rPr>
          <w:rFonts w:ascii="Arial" w:hAnsi="Arial" w:cs="Arial"/>
        </w:rPr>
        <w:t>/19</w:t>
      </w:r>
      <w:r w:rsidRPr="00375FD4">
        <w:rPr>
          <w:rFonts w:ascii="Arial" w:hAnsi="Arial" w:cs="Arial"/>
        </w:rPr>
        <w:t xml:space="preserve"> 4.19%) of the Board’s estimated running costs and its share of the yea</w:t>
      </w:r>
      <w:r w:rsidR="00FA4861">
        <w:rPr>
          <w:rFonts w:ascii="Arial" w:hAnsi="Arial" w:cs="Arial"/>
        </w:rPr>
        <w:t xml:space="preserve">r </w:t>
      </w:r>
      <w:r w:rsidR="00FA4861" w:rsidRPr="00A611D5">
        <w:rPr>
          <w:rFonts w:ascii="Arial" w:hAnsi="Arial" w:cs="Arial"/>
        </w:rPr>
        <w:t xml:space="preserve">end </w:t>
      </w:r>
      <w:r w:rsidR="00FA4861" w:rsidRPr="0059025F">
        <w:rPr>
          <w:rFonts w:ascii="Arial" w:hAnsi="Arial" w:cs="Arial"/>
        </w:rPr>
        <w:t>net asset of £</w:t>
      </w:r>
      <w:r w:rsidR="00327432" w:rsidRPr="0059025F">
        <w:rPr>
          <w:rFonts w:ascii="Arial" w:hAnsi="Arial" w:cs="Arial"/>
        </w:rPr>
        <w:t>0.</w:t>
      </w:r>
      <w:r w:rsidR="0059025F" w:rsidRPr="0059025F">
        <w:rPr>
          <w:rFonts w:ascii="Arial" w:hAnsi="Arial" w:cs="Arial"/>
        </w:rPr>
        <w:t>029</w:t>
      </w:r>
      <w:r w:rsidR="00CB53FC" w:rsidRPr="0059025F">
        <w:rPr>
          <w:rFonts w:ascii="Arial" w:hAnsi="Arial" w:cs="Arial"/>
        </w:rPr>
        <w:t>m</w:t>
      </w:r>
      <w:r w:rsidR="00912D5E" w:rsidRPr="0059025F">
        <w:rPr>
          <w:rFonts w:ascii="Arial" w:hAnsi="Arial" w:cs="Arial"/>
        </w:rPr>
        <w:t xml:space="preserve"> (2018</w:t>
      </w:r>
      <w:r w:rsidRPr="00A611D5">
        <w:rPr>
          <w:rFonts w:ascii="Arial" w:hAnsi="Arial" w:cs="Arial"/>
        </w:rPr>
        <w:t>/1</w:t>
      </w:r>
      <w:r w:rsidR="00912D5E">
        <w:rPr>
          <w:rFonts w:ascii="Arial" w:hAnsi="Arial" w:cs="Arial"/>
        </w:rPr>
        <w:t>9 £0.053</w:t>
      </w:r>
      <w:r w:rsidRPr="00A611D5">
        <w:rPr>
          <w:rFonts w:ascii="Arial" w:hAnsi="Arial" w:cs="Arial"/>
        </w:rPr>
        <w:t>m) is included in the Group Balance Sheet. Copies of its</w:t>
      </w:r>
      <w:r w:rsidRPr="00375FD4">
        <w:rPr>
          <w:rFonts w:ascii="Arial" w:hAnsi="Arial" w:cs="Arial"/>
        </w:rPr>
        <w:t xml:space="preserve"> accounts may be obtained from the Treasurer to</w:t>
      </w:r>
      <w:r w:rsidRPr="00375FD4">
        <w:rPr>
          <w:rFonts w:ascii="Arial" w:hAnsi="Arial" w:cs="Arial"/>
          <w:b/>
        </w:rPr>
        <w:t xml:space="preserve"> </w:t>
      </w:r>
      <w:r w:rsidRPr="00375FD4">
        <w:rPr>
          <w:rFonts w:ascii="Arial" w:hAnsi="Arial" w:cs="Arial"/>
        </w:rPr>
        <w:t xml:space="preserve">the Strathclyde Partnership for Transport, </w:t>
      </w:r>
      <w:r w:rsidR="006330AA">
        <w:rPr>
          <w:rFonts w:ascii="Arial" w:hAnsi="Arial" w:cs="Arial"/>
        </w:rPr>
        <w:t>131 St Vincent Street, Glasgow G2 5JF</w:t>
      </w:r>
      <w:r w:rsidRPr="00375FD4">
        <w:rPr>
          <w:rFonts w:ascii="Arial" w:hAnsi="Arial" w:cs="Arial"/>
        </w:rPr>
        <w:t>.</w:t>
      </w:r>
    </w:p>
    <w:p w:rsidR="00990216" w:rsidRPr="00375FD4" w:rsidRDefault="00990216" w:rsidP="00986026">
      <w:pPr>
        <w:spacing w:before="0" w:after="0"/>
        <w:rPr>
          <w:rFonts w:ascii="Arial" w:hAnsi="Arial" w:cs="Arial"/>
          <w:color w:val="FF0000"/>
        </w:rPr>
      </w:pPr>
    </w:p>
    <w:p w:rsidR="00990216" w:rsidRPr="00375FD4" w:rsidRDefault="00990216" w:rsidP="00986026">
      <w:pPr>
        <w:spacing w:before="0" w:after="0"/>
        <w:rPr>
          <w:rFonts w:ascii="Arial" w:hAnsi="Arial" w:cs="Arial"/>
          <w:b/>
        </w:rPr>
      </w:pPr>
      <w:r w:rsidRPr="00375FD4">
        <w:rPr>
          <w:rFonts w:ascii="Arial" w:hAnsi="Arial" w:cs="Arial"/>
          <w:b/>
        </w:rPr>
        <w:t xml:space="preserve">Dunbartonshire and Argyll and Bute Valuation Joint Board </w:t>
      </w:r>
      <w:r w:rsidRPr="00375FD4">
        <w:rPr>
          <w:rFonts w:ascii="Arial" w:hAnsi="Arial" w:cs="Arial"/>
        </w:rPr>
        <w:t>was formed in 1996 at local government re-organisation by an Act of Parliament. The Board maintains the electoral, council tax and non-domestic rates registers for the three councils of West Dunbartonshire, East Dunbartonshire and Argyll and Bute. The Board</w:t>
      </w:r>
      <w:r w:rsidR="00FA4861">
        <w:rPr>
          <w:rFonts w:ascii="Arial" w:hAnsi="Arial" w:cs="Arial"/>
        </w:rPr>
        <w:t>’</w:t>
      </w:r>
      <w:r w:rsidRPr="00375FD4">
        <w:rPr>
          <w:rFonts w:ascii="Arial" w:hAnsi="Arial" w:cs="Arial"/>
        </w:rPr>
        <w:t>s running costs are met by the three authorities, with surpluses and deficits on the Board</w:t>
      </w:r>
      <w:r w:rsidR="00FA4861">
        <w:rPr>
          <w:rFonts w:ascii="Arial" w:hAnsi="Arial" w:cs="Arial"/>
        </w:rPr>
        <w:t>’</w:t>
      </w:r>
      <w:r w:rsidRPr="00375FD4">
        <w:rPr>
          <w:rFonts w:ascii="Arial" w:hAnsi="Arial" w:cs="Arial"/>
        </w:rPr>
        <w:t xml:space="preserve">s operations also </w:t>
      </w:r>
      <w:r w:rsidRPr="00EB6E39">
        <w:rPr>
          <w:rFonts w:ascii="Arial" w:hAnsi="Arial" w:cs="Arial"/>
        </w:rPr>
        <w:t>shar</w:t>
      </w:r>
      <w:r w:rsidR="00443DD3" w:rsidRPr="00EB6E39">
        <w:rPr>
          <w:rFonts w:ascii="Arial" w:hAnsi="Arial" w:cs="Arial"/>
        </w:rPr>
        <w:t>ed between t</w:t>
      </w:r>
      <w:r w:rsidR="00912D5E" w:rsidRPr="00EB6E39">
        <w:rPr>
          <w:rFonts w:ascii="Arial" w:hAnsi="Arial" w:cs="Arial"/>
        </w:rPr>
        <w:t>he councils. In 2019/20</w:t>
      </w:r>
      <w:r w:rsidR="002E7DAC" w:rsidRPr="00EB6E39">
        <w:rPr>
          <w:rFonts w:ascii="Arial" w:hAnsi="Arial" w:cs="Arial"/>
        </w:rPr>
        <w:t>, the c</w:t>
      </w:r>
      <w:r w:rsidR="00443DD3" w:rsidRPr="00EB6E39">
        <w:rPr>
          <w:rFonts w:ascii="Arial" w:hAnsi="Arial" w:cs="Arial"/>
        </w:rPr>
        <w:t>ouncil contributed £</w:t>
      </w:r>
      <w:r w:rsidR="00327432" w:rsidRPr="00EB6E39">
        <w:rPr>
          <w:rFonts w:ascii="Arial" w:hAnsi="Arial" w:cs="Arial"/>
        </w:rPr>
        <w:t>0.</w:t>
      </w:r>
      <w:r w:rsidR="00A611D5" w:rsidRPr="00EB6E39">
        <w:rPr>
          <w:rFonts w:ascii="Arial" w:hAnsi="Arial" w:cs="Arial"/>
        </w:rPr>
        <w:t>688</w:t>
      </w:r>
      <w:r w:rsidR="00912D5E" w:rsidRPr="00EB6E39">
        <w:rPr>
          <w:rFonts w:ascii="Arial" w:hAnsi="Arial" w:cs="Arial"/>
        </w:rPr>
        <w:t>m (2018/19 £0.688</w:t>
      </w:r>
      <w:r w:rsidR="00443DD3" w:rsidRPr="00EB6E39">
        <w:rPr>
          <w:rFonts w:ascii="Arial" w:hAnsi="Arial" w:cs="Arial"/>
        </w:rPr>
        <w:t xml:space="preserve">m) or </w:t>
      </w:r>
      <w:r w:rsidR="00EB6E39" w:rsidRPr="00EB6E39">
        <w:rPr>
          <w:rFonts w:ascii="Arial" w:hAnsi="Arial" w:cs="Arial"/>
        </w:rPr>
        <w:t>25.92</w:t>
      </w:r>
      <w:r w:rsidR="00797512" w:rsidRPr="00EB6E39">
        <w:rPr>
          <w:rFonts w:ascii="Arial" w:hAnsi="Arial" w:cs="Arial"/>
        </w:rPr>
        <w:t>%</w:t>
      </w:r>
      <w:r w:rsidR="00912D5E" w:rsidRPr="00EB6E39">
        <w:rPr>
          <w:rFonts w:ascii="Arial" w:hAnsi="Arial" w:cs="Arial"/>
        </w:rPr>
        <w:t xml:space="preserve"> (2018</w:t>
      </w:r>
      <w:r w:rsidR="00912D5E">
        <w:rPr>
          <w:rFonts w:ascii="Arial" w:hAnsi="Arial" w:cs="Arial"/>
        </w:rPr>
        <w:t>/19</w:t>
      </w:r>
      <w:r w:rsidRPr="00A611D5">
        <w:rPr>
          <w:rFonts w:ascii="Arial" w:hAnsi="Arial" w:cs="Arial"/>
        </w:rPr>
        <w:t xml:space="preserve"> 26.95%) of the Board’s estimated running costs and its share of the year </w:t>
      </w:r>
      <w:r w:rsidRPr="006E6815">
        <w:rPr>
          <w:rFonts w:ascii="Arial" w:hAnsi="Arial" w:cs="Arial"/>
        </w:rPr>
        <w:t>end net liab</w:t>
      </w:r>
      <w:r w:rsidR="00443DD3" w:rsidRPr="006E6815">
        <w:rPr>
          <w:rFonts w:ascii="Arial" w:hAnsi="Arial" w:cs="Arial"/>
        </w:rPr>
        <w:t>ility of £</w:t>
      </w:r>
      <w:r w:rsidR="00E85592">
        <w:rPr>
          <w:rFonts w:ascii="Arial" w:hAnsi="Arial" w:cs="Arial"/>
        </w:rPr>
        <w:t>0.507</w:t>
      </w:r>
      <w:r w:rsidR="00802D9E" w:rsidRPr="006E6815">
        <w:rPr>
          <w:rFonts w:ascii="Arial" w:hAnsi="Arial" w:cs="Arial"/>
        </w:rPr>
        <w:t>m</w:t>
      </w:r>
      <w:r w:rsidR="00912D5E" w:rsidRPr="006E6815">
        <w:rPr>
          <w:rFonts w:ascii="Arial" w:hAnsi="Arial" w:cs="Arial"/>
        </w:rPr>
        <w:t xml:space="preserve"> (</w:t>
      </w:r>
      <w:r w:rsidR="00912D5E">
        <w:rPr>
          <w:rFonts w:ascii="Arial" w:hAnsi="Arial" w:cs="Arial"/>
        </w:rPr>
        <w:t>2018/19 £1.084</w:t>
      </w:r>
      <w:r w:rsidRPr="00A611D5">
        <w:rPr>
          <w:rFonts w:ascii="Arial" w:hAnsi="Arial" w:cs="Arial"/>
        </w:rPr>
        <w:t>m) is included in</w:t>
      </w:r>
      <w:r w:rsidRPr="00375FD4">
        <w:rPr>
          <w:rFonts w:ascii="Arial" w:hAnsi="Arial" w:cs="Arial"/>
        </w:rPr>
        <w:t xml:space="preserve"> the Group Balance Sheet. Copies of its accounts may be obtained from the Treasurer to</w:t>
      </w:r>
      <w:r w:rsidRPr="00375FD4">
        <w:rPr>
          <w:rFonts w:ascii="Arial" w:hAnsi="Arial" w:cs="Arial"/>
          <w:b/>
        </w:rPr>
        <w:t xml:space="preserve"> </w:t>
      </w:r>
      <w:r w:rsidRPr="00375FD4">
        <w:rPr>
          <w:rFonts w:ascii="Arial" w:hAnsi="Arial" w:cs="Arial"/>
        </w:rPr>
        <w:t xml:space="preserve">the Valuation Joint Board, </w:t>
      </w:r>
      <w:r w:rsidR="00802D9E">
        <w:rPr>
          <w:rFonts w:ascii="Arial" w:hAnsi="Arial" w:cs="Arial"/>
        </w:rPr>
        <w:t>16 Church Street</w:t>
      </w:r>
      <w:r w:rsidRPr="00375FD4">
        <w:rPr>
          <w:rFonts w:ascii="Arial" w:hAnsi="Arial" w:cs="Arial"/>
        </w:rPr>
        <w:t xml:space="preserve">, Dumbarton G82 </w:t>
      </w:r>
      <w:r w:rsidR="00802D9E">
        <w:rPr>
          <w:rFonts w:ascii="Arial" w:hAnsi="Arial" w:cs="Arial"/>
        </w:rPr>
        <w:t>1QL</w:t>
      </w:r>
      <w:r w:rsidRPr="00375FD4">
        <w:rPr>
          <w:rFonts w:ascii="Arial" w:hAnsi="Arial" w:cs="Arial"/>
        </w:rPr>
        <w:t>.</w:t>
      </w:r>
    </w:p>
    <w:p w:rsidR="00990216" w:rsidRDefault="00990216" w:rsidP="00986026">
      <w:pPr>
        <w:spacing w:before="0" w:after="0"/>
        <w:ind w:hanging="349"/>
        <w:rPr>
          <w:rFonts w:ascii="Arial" w:hAnsi="Arial" w:cs="Arial"/>
          <w:color w:val="FF0000"/>
        </w:rPr>
      </w:pPr>
    </w:p>
    <w:p w:rsidR="00820885" w:rsidRDefault="00820885" w:rsidP="00986026">
      <w:pPr>
        <w:spacing w:before="0" w:after="0"/>
        <w:rPr>
          <w:rFonts w:ascii="Arial" w:hAnsi="Arial" w:cs="Arial"/>
          <w:color w:val="FF0000"/>
        </w:rPr>
      </w:pPr>
      <w:r w:rsidRPr="00820885">
        <w:rPr>
          <w:rFonts w:ascii="Arial" w:hAnsi="Arial" w:cs="Arial"/>
          <w:b/>
        </w:rPr>
        <w:t>The West Dunbartonshire Health &amp; Social Care Partnership</w:t>
      </w:r>
      <w:r w:rsidR="00FA4861">
        <w:rPr>
          <w:rFonts w:ascii="Arial" w:hAnsi="Arial" w:cs="Arial"/>
          <w:b/>
        </w:rPr>
        <w:t xml:space="preserve"> </w:t>
      </w:r>
      <w:r w:rsidR="00FA4861" w:rsidRPr="00FA4861">
        <w:rPr>
          <w:rFonts w:ascii="Arial" w:hAnsi="Arial" w:cs="Arial"/>
        </w:rPr>
        <w:t>- t</w:t>
      </w:r>
      <w:r w:rsidRPr="00FA4861">
        <w:rPr>
          <w:rFonts w:ascii="Arial" w:hAnsi="Arial" w:cs="Arial"/>
        </w:rPr>
        <w:t xml:space="preserve">he Public Bodies (Joint Working) Act (Scotland) 2014 sets out the arrangements for the integration of health and social care across the country. The Scottish Government-approved </w:t>
      </w:r>
      <w:r w:rsidR="00FA4861" w:rsidRPr="00FA4861">
        <w:rPr>
          <w:rFonts w:ascii="Arial" w:hAnsi="Arial" w:cs="Arial"/>
        </w:rPr>
        <w:t xml:space="preserve">the </w:t>
      </w:r>
      <w:r w:rsidRPr="00FA4861">
        <w:rPr>
          <w:rFonts w:ascii="Arial" w:hAnsi="Arial" w:cs="Arial"/>
        </w:rPr>
        <w:t xml:space="preserve">Integration Scheme for West Dunbartonshire </w:t>
      </w:r>
      <w:r w:rsidR="00FA4861" w:rsidRPr="00FA4861">
        <w:rPr>
          <w:rFonts w:ascii="Arial" w:hAnsi="Arial" w:cs="Arial"/>
        </w:rPr>
        <w:t xml:space="preserve">which </w:t>
      </w:r>
      <w:r w:rsidRPr="00FA4861">
        <w:rPr>
          <w:rFonts w:ascii="Arial" w:hAnsi="Arial" w:cs="Arial"/>
        </w:rPr>
        <w:t>details the ‘body corporate’ arrangement by which NHS Greater Glasgow &amp; Clyde Health Board and West Dunbartonshire Council agreed to formally delegate health and social care services for adults and children (including criminal justice</w:t>
      </w:r>
      <w:r w:rsidR="00FA4861" w:rsidRPr="00FA4861">
        <w:rPr>
          <w:rFonts w:ascii="Arial" w:hAnsi="Arial" w:cs="Arial"/>
        </w:rPr>
        <w:t>,</w:t>
      </w:r>
      <w:r w:rsidRPr="00FA4861">
        <w:rPr>
          <w:rFonts w:ascii="Arial" w:hAnsi="Arial" w:cs="Arial"/>
        </w:rPr>
        <w:t xml:space="preserve"> social work services) to a third body, which is described in the Act as an Integration Joint Board. The Integration Joint Board for West Dunbartonshire is known as the West Dunbartonshire Health &amp; Social Care Partnership Board (HSCP Board)</w:t>
      </w:r>
      <w:r w:rsidR="00FA4861">
        <w:rPr>
          <w:rFonts w:ascii="Arial" w:hAnsi="Arial" w:cs="Arial"/>
        </w:rPr>
        <w:t xml:space="preserve"> and started operations on 1 July 2015</w:t>
      </w:r>
      <w:r w:rsidR="00FA4861" w:rsidRPr="00FA4861">
        <w:rPr>
          <w:rFonts w:ascii="Arial" w:hAnsi="Arial" w:cs="Arial"/>
        </w:rPr>
        <w:t xml:space="preserve">. </w:t>
      </w:r>
      <w:r w:rsidR="00FA4861" w:rsidRPr="00375FD4">
        <w:rPr>
          <w:rFonts w:ascii="Arial" w:hAnsi="Arial" w:cs="Arial"/>
        </w:rPr>
        <w:t>The Board</w:t>
      </w:r>
      <w:r w:rsidR="00FA4861">
        <w:rPr>
          <w:rFonts w:ascii="Arial" w:hAnsi="Arial" w:cs="Arial"/>
        </w:rPr>
        <w:t>’</w:t>
      </w:r>
      <w:r w:rsidR="00FA4861" w:rsidRPr="00375FD4">
        <w:rPr>
          <w:rFonts w:ascii="Arial" w:hAnsi="Arial" w:cs="Arial"/>
        </w:rPr>
        <w:t xml:space="preserve">s running costs are met by the </w:t>
      </w:r>
      <w:r w:rsidR="00FA4861">
        <w:rPr>
          <w:rFonts w:ascii="Arial" w:hAnsi="Arial" w:cs="Arial"/>
        </w:rPr>
        <w:t>two bodies mentioned above</w:t>
      </w:r>
      <w:r w:rsidR="00FA4861" w:rsidRPr="00375FD4">
        <w:rPr>
          <w:rFonts w:ascii="Arial" w:hAnsi="Arial" w:cs="Arial"/>
        </w:rPr>
        <w:t xml:space="preserve">, with surpluses and deficits on the Boards operations </w:t>
      </w:r>
      <w:r w:rsidR="00FA4861">
        <w:rPr>
          <w:rFonts w:ascii="Arial" w:hAnsi="Arial" w:cs="Arial"/>
        </w:rPr>
        <w:t>a</w:t>
      </w:r>
      <w:r w:rsidR="00801140">
        <w:rPr>
          <w:rFonts w:ascii="Arial" w:hAnsi="Arial" w:cs="Arial"/>
        </w:rPr>
        <w:t>lso sh</w:t>
      </w:r>
      <w:r w:rsidR="00912D5E">
        <w:rPr>
          <w:rFonts w:ascii="Arial" w:hAnsi="Arial" w:cs="Arial"/>
        </w:rPr>
        <w:t>ared between them. In 2019/20</w:t>
      </w:r>
      <w:r w:rsidR="006A6C49">
        <w:rPr>
          <w:rFonts w:ascii="Arial" w:hAnsi="Arial" w:cs="Arial"/>
        </w:rPr>
        <w:t>,</w:t>
      </w:r>
      <w:r w:rsidR="002E7DAC">
        <w:rPr>
          <w:rFonts w:ascii="Arial" w:hAnsi="Arial" w:cs="Arial"/>
        </w:rPr>
        <w:t xml:space="preserve"> the c</w:t>
      </w:r>
      <w:r w:rsidR="0040540A">
        <w:rPr>
          <w:rFonts w:ascii="Arial" w:hAnsi="Arial" w:cs="Arial"/>
        </w:rPr>
        <w:t xml:space="preserve">ouncil </w:t>
      </w:r>
      <w:r w:rsidR="0040540A" w:rsidRPr="00EB6E39">
        <w:rPr>
          <w:rFonts w:ascii="Arial" w:hAnsi="Arial" w:cs="Arial"/>
        </w:rPr>
        <w:t>contributed £</w:t>
      </w:r>
      <w:r w:rsidR="005D659C">
        <w:rPr>
          <w:rFonts w:ascii="Arial" w:hAnsi="Arial" w:cs="Arial"/>
        </w:rPr>
        <w:t>67.584</w:t>
      </w:r>
      <w:r w:rsidR="00FA4861" w:rsidRPr="00EB6E39">
        <w:rPr>
          <w:rFonts w:ascii="Arial" w:hAnsi="Arial" w:cs="Arial"/>
        </w:rPr>
        <w:t xml:space="preserve">m </w:t>
      </w:r>
      <w:r w:rsidR="00685E17" w:rsidRPr="00EB6E39">
        <w:rPr>
          <w:rFonts w:ascii="Arial" w:hAnsi="Arial" w:cs="Arial"/>
        </w:rPr>
        <w:t xml:space="preserve">towards </w:t>
      </w:r>
      <w:r w:rsidR="00FA4861" w:rsidRPr="00EB6E39">
        <w:rPr>
          <w:rFonts w:ascii="Arial" w:hAnsi="Arial" w:cs="Arial"/>
        </w:rPr>
        <w:t xml:space="preserve">estimated running costs and its share of the year end net </w:t>
      </w:r>
      <w:r w:rsidR="009C7B2F" w:rsidRPr="00EB6E39">
        <w:rPr>
          <w:rFonts w:ascii="Arial" w:hAnsi="Arial" w:cs="Arial"/>
        </w:rPr>
        <w:t>asset</w:t>
      </w:r>
      <w:r w:rsidR="00EB6E39" w:rsidRPr="00EB6E39">
        <w:rPr>
          <w:rFonts w:ascii="Arial" w:hAnsi="Arial" w:cs="Arial"/>
        </w:rPr>
        <w:t xml:space="preserve"> of £4.032</w:t>
      </w:r>
      <w:r w:rsidR="00FA4861" w:rsidRPr="00EB6E39">
        <w:rPr>
          <w:rFonts w:ascii="Arial" w:hAnsi="Arial" w:cs="Arial"/>
        </w:rPr>
        <w:t>m is</w:t>
      </w:r>
      <w:r w:rsidR="00FA4861" w:rsidRPr="00386A2D">
        <w:rPr>
          <w:rFonts w:ascii="Arial" w:hAnsi="Arial" w:cs="Arial"/>
        </w:rPr>
        <w:t xml:space="preserve"> included in the Group Balance Sheet.</w:t>
      </w:r>
      <w:r w:rsidR="00FA4861" w:rsidRPr="00375FD4">
        <w:rPr>
          <w:rFonts w:ascii="Arial" w:hAnsi="Arial" w:cs="Arial"/>
        </w:rPr>
        <w:t xml:space="preserve"> Copies of its accounts ma</w:t>
      </w:r>
      <w:r w:rsidR="00146E34">
        <w:rPr>
          <w:rFonts w:ascii="Arial" w:hAnsi="Arial" w:cs="Arial"/>
        </w:rPr>
        <w:t>y be obtained from the Chief Financial Officer</w:t>
      </w:r>
      <w:r w:rsidR="00FA4861" w:rsidRPr="00375FD4">
        <w:rPr>
          <w:rFonts w:ascii="Arial" w:hAnsi="Arial" w:cs="Arial"/>
        </w:rPr>
        <w:t xml:space="preserve"> to</w:t>
      </w:r>
      <w:r w:rsidR="00FA4861" w:rsidRPr="00375FD4">
        <w:rPr>
          <w:rFonts w:ascii="Arial" w:hAnsi="Arial" w:cs="Arial"/>
          <w:b/>
        </w:rPr>
        <w:t xml:space="preserve"> </w:t>
      </w:r>
      <w:r w:rsidR="00025BD3">
        <w:rPr>
          <w:rFonts w:ascii="Arial" w:hAnsi="Arial" w:cs="Arial"/>
        </w:rPr>
        <w:t>the Integration</w:t>
      </w:r>
      <w:r w:rsidR="00FA4861" w:rsidRPr="00375FD4">
        <w:rPr>
          <w:rFonts w:ascii="Arial" w:hAnsi="Arial" w:cs="Arial"/>
        </w:rPr>
        <w:t xml:space="preserve"> Joint Board, </w:t>
      </w:r>
      <w:r w:rsidR="00802D9E">
        <w:rPr>
          <w:rFonts w:ascii="Arial" w:hAnsi="Arial" w:cs="Arial"/>
        </w:rPr>
        <w:t>16 Church Street</w:t>
      </w:r>
      <w:r w:rsidR="00802D9E" w:rsidRPr="00375FD4">
        <w:rPr>
          <w:rFonts w:ascii="Arial" w:hAnsi="Arial" w:cs="Arial"/>
        </w:rPr>
        <w:t xml:space="preserve">, Dumbarton G82 </w:t>
      </w:r>
      <w:r w:rsidR="00802D9E">
        <w:rPr>
          <w:rFonts w:ascii="Arial" w:hAnsi="Arial" w:cs="Arial"/>
        </w:rPr>
        <w:t>1QL</w:t>
      </w:r>
      <w:r w:rsidR="00FA4861" w:rsidRPr="00375FD4">
        <w:rPr>
          <w:rFonts w:ascii="Arial" w:hAnsi="Arial" w:cs="Arial"/>
        </w:rPr>
        <w:t>.</w:t>
      </w:r>
    </w:p>
    <w:p w:rsidR="00FA4861" w:rsidRDefault="00FA4861">
      <w:pPr>
        <w:spacing w:before="0" w:after="200" w:line="276" w:lineRule="auto"/>
        <w:rPr>
          <w:rFonts w:ascii="Arial" w:hAnsi="Arial" w:cs="Arial"/>
          <w:color w:val="FF0000"/>
        </w:rPr>
      </w:pPr>
      <w:r>
        <w:rPr>
          <w:rFonts w:ascii="Arial" w:hAnsi="Arial" w:cs="Arial"/>
          <w:color w:val="FF0000"/>
        </w:rPr>
        <w:br w:type="page"/>
      </w:r>
    </w:p>
    <w:p w:rsidR="00FA4861" w:rsidRPr="000A3446" w:rsidRDefault="00FA4861" w:rsidP="00FA4861">
      <w:pPr>
        <w:spacing w:before="0" w:after="0"/>
        <w:rPr>
          <w:rFonts w:ascii="Arial" w:hAnsi="Arial" w:cs="Arial"/>
          <w:b/>
          <w:sz w:val="24"/>
          <w:szCs w:val="24"/>
        </w:rPr>
      </w:pPr>
      <w:r w:rsidRPr="000A3446">
        <w:rPr>
          <w:rFonts w:ascii="Arial" w:hAnsi="Arial" w:cs="Arial"/>
          <w:b/>
          <w:sz w:val="24"/>
          <w:szCs w:val="24"/>
        </w:rPr>
        <w:lastRenderedPageBreak/>
        <w:t>Group Accounts (Cont’d)</w:t>
      </w:r>
    </w:p>
    <w:p w:rsidR="00FA4861" w:rsidRPr="00375FD4" w:rsidRDefault="00FA4861" w:rsidP="00FA4861">
      <w:pPr>
        <w:spacing w:before="0" w:after="0"/>
        <w:ind w:left="426"/>
        <w:rPr>
          <w:rFonts w:ascii="Arial" w:hAnsi="Arial" w:cs="Arial"/>
          <w:b/>
        </w:rPr>
      </w:pPr>
    </w:p>
    <w:p w:rsidR="00FA4861" w:rsidRPr="00375FD4" w:rsidRDefault="00FA4861" w:rsidP="00986026">
      <w:pPr>
        <w:spacing w:before="0" w:after="0"/>
        <w:rPr>
          <w:rFonts w:ascii="Arial" w:hAnsi="Arial" w:cs="Arial"/>
        </w:rPr>
      </w:pPr>
      <w:r w:rsidRPr="00375FD4">
        <w:rPr>
          <w:rFonts w:ascii="Arial" w:hAnsi="Arial" w:cs="Arial"/>
          <w:b/>
        </w:rPr>
        <w:t>Notes to the Group Accounts (Cont’d)</w:t>
      </w:r>
    </w:p>
    <w:p w:rsidR="00FA4861" w:rsidRPr="00375FD4" w:rsidRDefault="00FA4861" w:rsidP="00986026">
      <w:pPr>
        <w:spacing w:before="0" w:after="0"/>
        <w:rPr>
          <w:rFonts w:ascii="Arial" w:hAnsi="Arial" w:cs="Arial"/>
        </w:rPr>
      </w:pPr>
    </w:p>
    <w:p w:rsidR="00FA4861" w:rsidRDefault="00FA4861" w:rsidP="00986026">
      <w:pPr>
        <w:keepNext/>
        <w:spacing w:before="0" w:after="0"/>
        <w:jc w:val="both"/>
        <w:outlineLvl w:val="8"/>
        <w:rPr>
          <w:rFonts w:ascii="Arial" w:hAnsi="Arial" w:cs="Arial"/>
          <w:b/>
          <w:bCs/>
        </w:rPr>
      </w:pPr>
      <w:r w:rsidRPr="00375FD4">
        <w:rPr>
          <w:rFonts w:ascii="Arial" w:hAnsi="Arial" w:cs="Arial"/>
          <w:b/>
          <w:bCs/>
        </w:rPr>
        <w:t>Note 1 - Details of combining entities (Cont’d)</w:t>
      </w:r>
    </w:p>
    <w:p w:rsidR="00990216" w:rsidRPr="00375FD4" w:rsidRDefault="00990216" w:rsidP="00D1588F">
      <w:pPr>
        <w:spacing w:before="0" w:after="0"/>
        <w:jc w:val="both"/>
        <w:rPr>
          <w:rFonts w:ascii="Arial" w:hAnsi="Arial" w:cs="Arial"/>
          <w:b/>
          <w:color w:val="FF0000"/>
        </w:rPr>
      </w:pPr>
    </w:p>
    <w:p w:rsidR="00990216" w:rsidRPr="00375FD4" w:rsidRDefault="002E7DAC" w:rsidP="00692729">
      <w:pPr>
        <w:spacing w:before="0" w:after="0"/>
        <w:jc w:val="both"/>
        <w:rPr>
          <w:rFonts w:ascii="Arial" w:hAnsi="Arial" w:cs="Arial"/>
          <w:b/>
        </w:rPr>
      </w:pPr>
      <w:r>
        <w:rPr>
          <w:rFonts w:ascii="Arial" w:hAnsi="Arial" w:cs="Arial"/>
          <w:b/>
        </w:rPr>
        <w:t>The c</w:t>
      </w:r>
      <w:r w:rsidR="00990216" w:rsidRPr="00375FD4">
        <w:rPr>
          <w:rFonts w:ascii="Arial" w:hAnsi="Arial" w:cs="Arial"/>
          <w:b/>
        </w:rPr>
        <w:t xml:space="preserve">ouncil’s share of its associates </w:t>
      </w:r>
      <w:r w:rsidR="00EB7913">
        <w:rPr>
          <w:rFonts w:ascii="Arial" w:hAnsi="Arial" w:cs="Arial"/>
          <w:b/>
        </w:rPr>
        <w:t xml:space="preserve">and joint ventures </w:t>
      </w:r>
      <w:r w:rsidR="00990216" w:rsidRPr="00375FD4">
        <w:rPr>
          <w:rFonts w:ascii="Arial" w:hAnsi="Arial" w:cs="Arial"/>
          <w:b/>
        </w:rPr>
        <w:t>are as follows:</w:t>
      </w:r>
    </w:p>
    <w:p w:rsidR="00750BA3" w:rsidRPr="00375FD4" w:rsidRDefault="00750BA3" w:rsidP="00990216">
      <w:pPr>
        <w:spacing w:before="0" w:after="0"/>
        <w:ind w:left="360"/>
        <w:jc w:val="both"/>
        <w:rPr>
          <w:rFonts w:ascii="Arial" w:hAnsi="Arial" w:cs="Arial"/>
          <w:b/>
        </w:rPr>
      </w:pPr>
    </w:p>
    <w:p w:rsidR="00FA4861" w:rsidRDefault="00872F19" w:rsidP="0044313F">
      <w:pPr>
        <w:spacing w:before="0" w:after="0"/>
        <w:jc w:val="both"/>
        <w:rPr>
          <w:rFonts w:ascii="Arial" w:hAnsi="Arial" w:cs="Arial"/>
          <w:b/>
        </w:rPr>
      </w:pPr>
      <w:r w:rsidRPr="00872F19">
        <w:rPr>
          <w:noProof/>
          <w:lang w:eastAsia="en-GB"/>
        </w:rPr>
        <w:drawing>
          <wp:inline distT="0" distB="0" distL="0" distR="0">
            <wp:extent cx="5731510" cy="2693182"/>
            <wp:effectExtent l="0" t="0" r="2540" b="0"/>
            <wp:docPr id="40" name="Picture 40" descr="councils share of its associates and joint ventures" title="group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731510" cy="2693182"/>
                    </a:xfrm>
                    <a:prstGeom prst="rect">
                      <a:avLst/>
                    </a:prstGeom>
                    <a:noFill/>
                    <a:ln>
                      <a:noFill/>
                    </a:ln>
                  </pic:spPr>
                </pic:pic>
              </a:graphicData>
            </a:graphic>
          </wp:inline>
        </w:drawing>
      </w:r>
    </w:p>
    <w:p w:rsidR="00B002E5" w:rsidRDefault="00B002E5" w:rsidP="00990216">
      <w:pPr>
        <w:spacing w:before="0" w:after="0"/>
        <w:ind w:left="360"/>
        <w:jc w:val="both"/>
        <w:rPr>
          <w:rFonts w:ascii="Arial" w:hAnsi="Arial" w:cs="Arial"/>
          <w:b/>
        </w:rPr>
      </w:pPr>
    </w:p>
    <w:p w:rsidR="002A4A00" w:rsidRPr="002A4A00" w:rsidRDefault="002A4A00" w:rsidP="00D1588F">
      <w:pPr>
        <w:spacing w:before="0" w:after="0"/>
        <w:rPr>
          <w:rFonts w:ascii="Arial" w:hAnsi="Arial" w:cs="Arial"/>
          <w:b/>
          <w:u w:val="single"/>
        </w:rPr>
      </w:pPr>
      <w:r>
        <w:rPr>
          <w:rFonts w:ascii="Arial" w:hAnsi="Arial" w:cs="Arial"/>
          <w:b/>
          <w:u w:val="single"/>
        </w:rPr>
        <w:t>Subsidiaries</w:t>
      </w:r>
    </w:p>
    <w:p w:rsidR="002A4A00" w:rsidRDefault="002A4A00" w:rsidP="00D1588F">
      <w:pPr>
        <w:spacing w:before="0" w:after="0"/>
        <w:rPr>
          <w:rFonts w:ascii="Arial" w:hAnsi="Arial" w:cs="Arial"/>
          <w:b/>
        </w:rPr>
      </w:pPr>
    </w:p>
    <w:p w:rsidR="00D1588F" w:rsidRPr="00375FD4" w:rsidRDefault="00D1588F" w:rsidP="00D1588F">
      <w:pPr>
        <w:spacing w:before="0" w:after="0"/>
        <w:rPr>
          <w:rFonts w:ascii="Arial" w:hAnsi="Arial" w:cs="Arial"/>
        </w:rPr>
      </w:pPr>
      <w:r w:rsidRPr="00375FD4">
        <w:rPr>
          <w:rFonts w:ascii="Arial" w:hAnsi="Arial" w:cs="Arial"/>
          <w:b/>
        </w:rPr>
        <w:t>West Dunbartonshire Leisure Trust</w:t>
      </w:r>
      <w:r w:rsidRPr="00375FD4">
        <w:rPr>
          <w:rFonts w:ascii="Arial" w:hAnsi="Arial" w:cs="Arial"/>
        </w:rPr>
        <w:t xml:space="preserve"> was formed in December 2011 and sta</w:t>
      </w:r>
      <w:r>
        <w:rPr>
          <w:rFonts w:ascii="Arial" w:hAnsi="Arial" w:cs="Arial"/>
        </w:rPr>
        <w:t xml:space="preserve">rted trading on 5 April 2012. </w:t>
      </w:r>
      <w:r w:rsidRPr="00375FD4">
        <w:rPr>
          <w:rFonts w:ascii="Arial" w:hAnsi="Arial" w:cs="Arial"/>
        </w:rPr>
        <w:t>The  Trust is  a charitable  company  registered  in Scotland and provides leisure facilities  within  the  West  Dunbartonshire  area  to  the  general  public  and  operates spor</w:t>
      </w:r>
      <w:r>
        <w:rPr>
          <w:rFonts w:ascii="Arial" w:hAnsi="Arial" w:cs="Arial"/>
        </w:rPr>
        <w:t xml:space="preserve">ts centres,  leisure centres, </w:t>
      </w:r>
      <w:r w:rsidRPr="00375FD4">
        <w:rPr>
          <w:rFonts w:ascii="Arial" w:hAnsi="Arial" w:cs="Arial"/>
        </w:rPr>
        <w:t xml:space="preserve">swimming pools,  halls and community </w:t>
      </w:r>
      <w:r>
        <w:rPr>
          <w:rFonts w:ascii="Arial" w:hAnsi="Arial" w:cs="Arial"/>
        </w:rPr>
        <w:t>education centres owned by the c</w:t>
      </w:r>
      <w:r w:rsidRPr="00375FD4">
        <w:rPr>
          <w:rFonts w:ascii="Arial" w:hAnsi="Arial" w:cs="Arial"/>
        </w:rPr>
        <w:t xml:space="preserve">ouncil.   The Trust is paid a management fee by the </w:t>
      </w:r>
      <w:r>
        <w:rPr>
          <w:rFonts w:ascii="Arial" w:hAnsi="Arial" w:cs="Arial"/>
        </w:rPr>
        <w:t>c</w:t>
      </w:r>
      <w:r w:rsidRPr="00375FD4">
        <w:rPr>
          <w:rFonts w:ascii="Arial" w:hAnsi="Arial" w:cs="Arial"/>
        </w:rPr>
        <w:t xml:space="preserve">ouncil for the provision </w:t>
      </w:r>
      <w:r w:rsidRPr="00EB6E39">
        <w:rPr>
          <w:rFonts w:ascii="Arial" w:hAnsi="Arial" w:cs="Arial"/>
        </w:rPr>
        <w:t>of these services.   The Trust’s net asset at 3</w:t>
      </w:r>
      <w:r w:rsidR="00912D5E" w:rsidRPr="00EB6E39">
        <w:rPr>
          <w:rFonts w:ascii="Arial" w:hAnsi="Arial" w:cs="Arial"/>
        </w:rPr>
        <w:t>1 March 2020</w:t>
      </w:r>
      <w:r w:rsidR="00EB6E39" w:rsidRPr="00EB6E39">
        <w:rPr>
          <w:rFonts w:ascii="Arial" w:hAnsi="Arial" w:cs="Arial"/>
        </w:rPr>
        <w:t xml:space="preserve"> wa</w:t>
      </w:r>
      <w:r w:rsidR="00872F19">
        <w:rPr>
          <w:rFonts w:ascii="Arial" w:hAnsi="Arial" w:cs="Arial"/>
        </w:rPr>
        <w:t>s £1.833</w:t>
      </w:r>
      <w:r w:rsidRPr="00EB6E39">
        <w:rPr>
          <w:rFonts w:ascii="Arial" w:hAnsi="Arial" w:cs="Arial"/>
        </w:rPr>
        <w:t>m</w:t>
      </w:r>
      <w:r w:rsidR="00912D5E" w:rsidRPr="00EB6E39">
        <w:rPr>
          <w:rFonts w:ascii="Arial" w:hAnsi="Arial" w:cs="Arial"/>
        </w:rPr>
        <w:t xml:space="preserve"> (2018/19 £0.234</w:t>
      </w:r>
      <w:r w:rsidRPr="00EB6E39">
        <w:rPr>
          <w:rFonts w:ascii="Arial" w:hAnsi="Arial" w:cs="Arial"/>
        </w:rPr>
        <w:t xml:space="preserve">m net asset) and its </w:t>
      </w:r>
      <w:r w:rsidR="00EB6E39" w:rsidRPr="00EB6E39">
        <w:rPr>
          <w:rFonts w:ascii="Arial" w:hAnsi="Arial" w:cs="Arial"/>
        </w:rPr>
        <w:t>deficit</w:t>
      </w:r>
      <w:r w:rsidRPr="00EB6E39">
        <w:rPr>
          <w:rFonts w:ascii="Arial" w:hAnsi="Arial" w:cs="Arial"/>
        </w:rPr>
        <w:t xml:space="preserve"> for the year was £0.</w:t>
      </w:r>
      <w:r w:rsidR="00872F19">
        <w:rPr>
          <w:rFonts w:ascii="Arial" w:hAnsi="Arial" w:cs="Arial"/>
        </w:rPr>
        <w:t>005</w:t>
      </w:r>
      <w:r w:rsidRPr="00EB6E39">
        <w:rPr>
          <w:rFonts w:ascii="Arial" w:hAnsi="Arial" w:cs="Arial"/>
        </w:rPr>
        <w:t>m</w:t>
      </w:r>
      <w:r w:rsidR="00912D5E">
        <w:rPr>
          <w:rFonts w:ascii="Arial" w:hAnsi="Arial" w:cs="Arial"/>
        </w:rPr>
        <w:t xml:space="preserve"> (2018/19 £0.160</w:t>
      </w:r>
      <w:r>
        <w:rPr>
          <w:rFonts w:ascii="Arial" w:hAnsi="Arial" w:cs="Arial"/>
        </w:rPr>
        <w:t>m surplus</w:t>
      </w:r>
      <w:r w:rsidRPr="009F2372">
        <w:rPr>
          <w:rFonts w:ascii="Arial" w:hAnsi="Arial" w:cs="Arial"/>
        </w:rPr>
        <w:t>). The accounts of the Trust are</w:t>
      </w:r>
      <w:r w:rsidRPr="00375FD4">
        <w:rPr>
          <w:rFonts w:ascii="Arial" w:hAnsi="Arial" w:cs="Arial"/>
        </w:rPr>
        <w:t xml:space="preserve"> published separately and can be obtained from the Manager, Leisure Trust Headquarters, Alexandria CE Centre, Alexandria, G83 0NU which is also the company’s principal place of business.</w:t>
      </w:r>
    </w:p>
    <w:p w:rsidR="00D1588F" w:rsidRPr="00375FD4" w:rsidRDefault="00D1588F" w:rsidP="00D1588F">
      <w:pPr>
        <w:spacing w:before="0" w:after="0"/>
        <w:jc w:val="both"/>
        <w:rPr>
          <w:rFonts w:ascii="Arial" w:hAnsi="Arial" w:cs="Arial"/>
          <w:b/>
        </w:rPr>
      </w:pPr>
    </w:p>
    <w:p w:rsidR="00D1588F" w:rsidRDefault="00D1588F" w:rsidP="00D1588F">
      <w:pPr>
        <w:spacing w:before="0" w:after="0"/>
        <w:rPr>
          <w:rFonts w:ascii="Arial" w:hAnsi="Arial" w:cs="Arial"/>
          <w:b/>
        </w:rPr>
      </w:pPr>
      <w:r w:rsidRPr="00375FD4">
        <w:rPr>
          <w:rFonts w:ascii="Arial" w:hAnsi="Arial" w:cs="Arial"/>
          <w:b/>
        </w:rPr>
        <w:t xml:space="preserve">Clydebank Property Company </w:t>
      </w:r>
      <w:r w:rsidRPr="00375FD4">
        <w:rPr>
          <w:rFonts w:ascii="Arial" w:hAnsi="Arial" w:cs="Arial"/>
        </w:rPr>
        <w:t>was part of a group organisation previously known as Clydebank Rebuilt which was a pathfinder urban regeneration organisation, limited by guarantee and included a commercial letting company (industrial units) and a registered charity (the Titan Trust). On 11 August 2014, following the transfer of the Titan Cran</w:t>
      </w:r>
      <w:r>
        <w:rPr>
          <w:rFonts w:ascii="Arial" w:hAnsi="Arial" w:cs="Arial"/>
        </w:rPr>
        <w:t>e to the Property Company, the c</w:t>
      </w:r>
      <w:r w:rsidRPr="00375FD4">
        <w:rPr>
          <w:rFonts w:ascii="Arial" w:hAnsi="Arial" w:cs="Arial"/>
        </w:rPr>
        <w:t>ouncil bought the</w:t>
      </w:r>
      <w:r w:rsidRPr="00375FD4">
        <w:rPr>
          <w:rFonts w:ascii="Arial" w:hAnsi="Arial" w:cs="Arial"/>
          <w:b/>
        </w:rPr>
        <w:t xml:space="preserve"> </w:t>
      </w:r>
      <w:r w:rsidRPr="00375FD4">
        <w:rPr>
          <w:rFonts w:ascii="Arial" w:hAnsi="Arial" w:cs="Arial"/>
        </w:rPr>
        <w:t xml:space="preserve">commercial letting company with a view </w:t>
      </w:r>
      <w:r w:rsidRPr="00EB6E39">
        <w:rPr>
          <w:rFonts w:ascii="Arial" w:hAnsi="Arial" w:cs="Arial"/>
        </w:rPr>
        <w:t>to continuing its regeneration objective. The Company’s net asset at 3</w:t>
      </w:r>
      <w:r w:rsidR="00912D5E" w:rsidRPr="00EB6E39">
        <w:rPr>
          <w:rFonts w:ascii="Arial" w:hAnsi="Arial" w:cs="Arial"/>
        </w:rPr>
        <w:t>1 March 2020</w:t>
      </w:r>
      <w:r w:rsidR="0029199E" w:rsidRPr="00EB6E39">
        <w:rPr>
          <w:rFonts w:ascii="Arial" w:hAnsi="Arial" w:cs="Arial"/>
        </w:rPr>
        <w:t xml:space="preserve"> wa</w:t>
      </w:r>
      <w:r w:rsidR="006E6815">
        <w:rPr>
          <w:rFonts w:ascii="Arial" w:hAnsi="Arial" w:cs="Arial"/>
        </w:rPr>
        <w:t>s £3.408m and its surplus</w:t>
      </w:r>
      <w:r w:rsidRPr="00EB6E39">
        <w:rPr>
          <w:rFonts w:ascii="Arial" w:hAnsi="Arial" w:cs="Arial"/>
        </w:rPr>
        <w:t xml:space="preserve"> for the year before payment of a dividend was £0.</w:t>
      </w:r>
      <w:r w:rsidR="00872F19">
        <w:rPr>
          <w:rFonts w:ascii="Arial" w:hAnsi="Arial" w:cs="Arial"/>
        </w:rPr>
        <w:t>061</w:t>
      </w:r>
      <w:r w:rsidRPr="00EB6E39">
        <w:rPr>
          <w:rFonts w:ascii="Arial" w:hAnsi="Arial" w:cs="Arial"/>
        </w:rPr>
        <w:t>m</w:t>
      </w:r>
      <w:r w:rsidR="00912D5E" w:rsidRPr="00EB6E39">
        <w:rPr>
          <w:rFonts w:ascii="Arial" w:hAnsi="Arial" w:cs="Arial"/>
        </w:rPr>
        <w:t xml:space="preserve"> (2018/</w:t>
      </w:r>
      <w:r w:rsidR="00912D5E">
        <w:rPr>
          <w:rFonts w:ascii="Arial" w:hAnsi="Arial" w:cs="Arial"/>
        </w:rPr>
        <w:t>19 £0.028</w:t>
      </w:r>
      <w:r w:rsidR="006E6815">
        <w:rPr>
          <w:rFonts w:ascii="Arial" w:hAnsi="Arial" w:cs="Arial"/>
        </w:rPr>
        <w:t>m deficit</w:t>
      </w:r>
      <w:r w:rsidRPr="009F2372">
        <w:rPr>
          <w:rFonts w:ascii="Arial" w:hAnsi="Arial" w:cs="Arial"/>
        </w:rPr>
        <w:t>). The accounts of the Company are published separately and can be obtained from</w:t>
      </w:r>
      <w:r w:rsidRPr="00375FD4">
        <w:rPr>
          <w:rFonts w:ascii="Arial" w:hAnsi="Arial" w:cs="Arial"/>
        </w:rPr>
        <w:t xml:space="preserve"> the Company’s Headquarters, Titan Enterprise, 1 Aurora Avenue, Queen’s Quay, Clydebank G81 1BF which is also the Company’s principal place of business.</w:t>
      </w:r>
    </w:p>
    <w:p w:rsidR="00D1588F" w:rsidRDefault="00D1588F" w:rsidP="00D1588F">
      <w:pPr>
        <w:spacing w:before="0" w:after="0"/>
        <w:rPr>
          <w:rFonts w:ascii="Arial" w:hAnsi="Arial" w:cs="Arial"/>
          <w:b/>
        </w:rPr>
      </w:pPr>
    </w:p>
    <w:p w:rsidR="0029199E" w:rsidRDefault="00D1588F" w:rsidP="00D1588F">
      <w:pPr>
        <w:spacing w:before="0" w:after="0"/>
        <w:rPr>
          <w:rFonts w:ascii="Arial" w:hAnsi="Arial" w:cs="Arial"/>
          <w:b/>
        </w:rPr>
      </w:pPr>
      <w:r w:rsidRPr="00375FD4">
        <w:rPr>
          <w:rFonts w:ascii="Arial" w:hAnsi="Arial" w:cs="Arial"/>
          <w:b/>
        </w:rPr>
        <w:t xml:space="preserve">Dumbarton Common Good </w:t>
      </w:r>
      <w:r w:rsidR="0029199E" w:rsidRPr="0029199E">
        <w:rPr>
          <w:rFonts w:ascii="Arial" w:hAnsi="Arial" w:cs="Arial"/>
        </w:rPr>
        <w:t>is</w:t>
      </w:r>
      <w:r w:rsidR="0029199E">
        <w:rPr>
          <w:rFonts w:ascii="Arial" w:hAnsi="Arial" w:cs="Arial"/>
          <w:b/>
        </w:rPr>
        <w:t xml:space="preserve"> </w:t>
      </w:r>
      <w:r w:rsidR="0029199E" w:rsidRPr="00375FD4">
        <w:rPr>
          <w:rFonts w:ascii="Arial" w:hAnsi="Arial" w:cs="Arial"/>
        </w:rPr>
        <w:t>held in Trust by West Dunbar</w:t>
      </w:r>
      <w:r w:rsidR="0029199E">
        <w:rPr>
          <w:rFonts w:ascii="Arial" w:hAnsi="Arial" w:cs="Arial"/>
        </w:rPr>
        <w:t>tonshire Council.</w:t>
      </w:r>
      <w:r w:rsidR="0029199E" w:rsidRPr="0029199E">
        <w:rPr>
          <w:rFonts w:ascii="Arial" w:hAnsi="Arial" w:cs="Arial"/>
        </w:rPr>
        <w:t xml:space="preserve"> </w:t>
      </w:r>
      <w:r w:rsidR="0029199E">
        <w:rPr>
          <w:rFonts w:ascii="Arial" w:hAnsi="Arial" w:cs="Arial"/>
        </w:rPr>
        <w:t>Although the c</w:t>
      </w:r>
      <w:r w:rsidR="0029199E" w:rsidRPr="00375FD4">
        <w:rPr>
          <w:rFonts w:ascii="Arial" w:hAnsi="Arial" w:cs="Arial"/>
        </w:rPr>
        <w:t>oun</w:t>
      </w:r>
      <w:r w:rsidR="0029199E">
        <w:rPr>
          <w:rFonts w:ascii="Arial" w:hAnsi="Arial" w:cs="Arial"/>
        </w:rPr>
        <w:t xml:space="preserve">cil does not contribute to </w:t>
      </w:r>
      <w:r w:rsidR="0029199E" w:rsidRPr="00EB6E39">
        <w:rPr>
          <w:rFonts w:ascii="Arial" w:hAnsi="Arial" w:cs="Arial"/>
        </w:rPr>
        <w:t>this fund financially, it has been included within the council’s Group through materiality by n</w:t>
      </w:r>
      <w:r w:rsidR="00EB691C">
        <w:rPr>
          <w:rFonts w:ascii="Arial" w:hAnsi="Arial" w:cs="Arial"/>
        </w:rPr>
        <w:t>ature. Net usable spend</w:t>
      </w:r>
      <w:r w:rsidR="00912D5E" w:rsidRPr="00EB6E39">
        <w:rPr>
          <w:rFonts w:ascii="Arial" w:hAnsi="Arial" w:cs="Arial"/>
        </w:rPr>
        <w:t xml:space="preserve"> in 2019/20</w:t>
      </w:r>
      <w:r w:rsidR="0029199E" w:rsidRPr="00EB6E39">
        <w:rPr>
          <w:rFonts w:ascii="Arial" w:hAnsi="Arial" w:cs="Arial"/>
        </w:rPr>
        <w:t xml:space="preserve"> </w:t>
      </w:r>
      <w:r w:rsidR="00EB6E39" w:rsidRPr="00EB6E39">
        <w:rPr>
          <w:rFonts w:ascii="Arial" w:hAnsi="Arial" w:cs="Arial"/>
        </w:rPr>
        <w:t>was £0.031</w:t>
      </w:r>
      <w:r w:rsidR="00912D5E" w:rsidRPr="00EB6E39">
        <w:rPr>
          <w:rFonts w:ascii="Arial" w:hAnsi="Arial" w:cs="Arial"/>
        </w:rPr>
        <w:t>m</w:t>
      </w:r>
      <w:r w:rsidR="00912D5E">
        <w:rPr>
          <w:rFonts w:ascii="Arial" w:hAnsi="Arial" w:cs="Arial"/>
        </w:rPr>
        <w:t xml:space="preserve"> (2018/19 £0.060</w:t>
      </w:r>
      <w:r w:rsidR="0029199E">
        <w:rPr>
          <w:rFonts w:ascii="Arial" w:hAnsi="Arial" w:cs="Arial"/>
        </w:rPr>
        <w:t>m</w:t>
      </w:r>
      <w:r w:rsidR="00912D5E">
        <w:rPr>
          <w:rFonts w:ascii="Arial" w:hAnsi="Arial" w:cs="Arial"/>
        </w:rPr>
        <w:t xml:space="preserve"> net usable income</w:t>
      </w:r>
      <w:r w:rsidR="0029199E" w:rsidRPr="00375FD4">
        <w:rPr>
          <w:rFonts w:ascii="Arial" w:hAnsi="Arial" w:cs="Arial"/>
        </w:rPr>
        <w:t>)</w:t>
      </w:r>
      <w:r w:rsidR="0029199E">
        <w:rPr>
          <w:rFonts w:ascii="Arial" w:hAnsi="Arial" w:cs="Arial"/>
        </w:rPr>
        <w:t>.</w:t>
      </w:r>
    </w:p>
    <w:p w:rsidR="0029199E" w:rsidRDefault="0029199E" w:rsidP="00D1588F">
      <w:pPr>
        <w:spacing w:before="0" w:after="0"/>
        <w:rPr>
          <w:rFonts w:ascii="Arial" w:hAnsi="Arial" w:cs="Arial"/>
          <w:b/>
        </w:rPr>
      </w:pPr>
    </w:p>
    <w:p w:rsidR="00FA4861" w:rsidRDefault="00FA4861">
      <w:pPr>
        <w:spacing w:before="0" w:after="200" w:line="276" w:lineRule="auto"/>
        <w:rPr>
          <w:rFonts w:ascii="Arial" w:hAnsi="Arial" w:cs="Arial"/>
          <w:b/>
        </w:rPr>
      </w:pPr>
      <w:r>
        <w:rPr>
          <w:rFonts w:ascii="Arial" w:hAnsi="Arial" w:cs="Arial"/>
          <w:b/>
        </w:rPr>
        <w:br w:type="page"/>
      </w:r>
    </w:p>
    <w:p w:rsidR="00FA4861" w:rsidRPr="000A3446" w:rsidRDefault="00FA4861" w:rsidP="00FA4861">
      <w:pPr>
        <w:spacing w:before="0" w:after="0"/>
        <w:rPr>
          <w:rFonts w:ascii="Arial" w:hAnsi="Arial" w:cs="Arial"/>
          <w:b/>
          <w:sz w:val="24"/>
          <w:szCs w:val="24"/>
        </w:rPr>
      </w:pPr>
      <w:r w:rsidRPr="000A3446">
        <w:rPr>
          <w:rFonts w:ascii="Arial" w:hAnsi="Arial" w:cs="Arial"/>
          <w:b/>
          <w:sz w:val="24"/>
          <w:szCs w:val="24"/>
        </w:rPr>
        <w:lastRenderedPageBreak/>
        <w:t>Group Accounts (Cont’d)</w:t>
      </w:r>
    </w:p>
    <w:p w:rsidR="00FA4861" w:rsidRPr="00375FD4" w:rsidRDefault="00FA4861" w:rsidP="00FA4861">
      <w:pPr>
        <w:spacing w:before="0" w:after="0"/>
        <w:ind w:left="426"/>
        <w:rPr>
          <w:rFonts w:ascii="Arial" w:hAnsi="Arial" w:cs="Arial"/>
          <w:b/>
        </w:rPr>
      </w:pPr>
    </w:p>
    <w:p w:rsidR="00FA4861" w:rsidRPr="00375FD4" w:rsidRDefault="00FA4861" w:rsidP="00692729">
      <w:pPr>
        <w:spacing w:before="0" w:after="0"/>
        <w:rPr>
          <w:rFonts w:ascii="Arial" w:hAnsi="Arial" w:cs="Arial"/>
        </w:rPr>
      </w:pPr>
      <w:r w:rsidRPr="00375FD4">
        <w:rPr>
          <w:rFonts w:ascii="Arial" w:hAnsi="Arial" w:cs="Arial"/>
          <w:b/>
        </w:rPr>
        <w:t>Notes to the Group Accounts (Cont’d)</w:t>
      </w:r>
    </w:p>
    <w:p w:rsidR="00FA4861" w:rsidRPr="00375FD4" w:rsidRDefault="00FA4861" w:rsidP="00692729">
      <w:pPr>
        <w:spacing w:before="0" w:after="0"/>
        <w:rPr>
          <w:rFonts w:ascii="Arial" w:hAnsi="Arial" w:cs="Arial"/>
        </w:rPr>
      </w:pPr>
    </w:p>
    <w:p w:rsidR="00FA4861" w:rsidRPr="00375FD4" w:rsidRDefault="00FA4861" w:rsidP="00692729">
      <w:pPr>
        <w:keepNext/>
        <w:spacing w:before="0" w:after="0"/>
        <w:outlineLvl w:val="8"/>
        <w:rPr>
          <w:rFonts w:ascii="Arial" w:hAnsi="Arial" w:cs="Arial"/>
          <w:b/>
          <w:bCs/>
        </w:rPr>
      </w:pPr>
      <w:r w:rsidRPr="00375FD4">
        <w:rPr>
          <w:rFonts w:ascii="Arial" w:hAnsi="Arial" w:cs="Arial"/>
          <w:b/>
          <w:bCs/>
        </w:rPr>
        <w:t>Note 1 - Details of combining entities (Cont’d)</w:t>
      </w:r>
    </w:p>
    <w:p w:rsidR="00750BA3" w:rsidRDefault="00750BA3" w:rsidP="00692729">
      <w:pPr>
        <w:spacing w:before="0" w:after="0"/>
        <w:jc w:val="both"/>
        <w:rPr>
          <w:rFonts w:ascii="Arial" w:hAnsi="Arial" w:cs="Arial"/>
          <w:b/>
        </w:rPr>
      </w:pPr>
    </w:p>
    <w:p w:rsidR="0029199E" w:rsidRDefault="0029199E" w:rsidP="00EB6E39">
      <w:pPr>
        <w:spacing w:before="0" w:after="0"/>
        <w:jc w:val="both"/>
        <w:rPr>
          <w:rFonts w:ascii="Arial" w:hAnsi="Arial" w:cs="Arial"/>
          <w:b/>
        </w:rPr>
      </w:pPr>
      <w:r w:rsidRPr="00375FD4">
        <w:rPr>
          <w:rFonts w:ascii="Arial" w:hAnsi="Arial" w:cs="Arial"/>
          <w:b/>
        </w:rPr>
        <w:t>Trust Funds</w:t>
      </w:r>
      <w:r>
        <w:rPr>
          <w:rFonts w:ascii="Arial" w:hAnsi="Arial" w:cs="Arial"/>
        </w:rPr>
        <w:t xml:space="preserve"> are</w:t>
      </w:r>
      <w:r w:rsidRPr="00375FD4">
        <w:rPr>
          <w:rFonts w:ascii="Arial" w:hAnsi="Arial" w:cs="Arial"/>
        </w:rPr>
        <w:t xml:space="preserve"> held in Trust by West Dunbar</w:t>
      </w:r>
      <w:r>
        <w:rPr>
          <w:rFonts w:ascii="Arial" w:hAnsi="Arial" w:cs="Arial"/>
        </w:rPr>
        <w:t>tonshire Council.</w:t>
      </w:r>
      <w:r w:rsidRPr="00375FD4">
        <w:rPr>
          <w:rFonts w:ascii="Arial" w:hAnsi="Arial" w:cs="Arial"/>
        </w:rPr>
        <w:t xml:space="preserve"> </w:t>
      </w:r>
      <w:r>
        <w:rPr>
          <w:rFonts w:ascii="Arial" w:hAnsi="Arial" w:cs="Arial"/>
        </w:rPr>
        <w:t>Although the c</w:t>
      </w:r>
      <w:r w:rsidRPr="00375FD4">
        <w:rPr>
          <w:rFonts w:ascii="Arial" w:hAnsi="Arial" w:cs="Arial"/>
        </w:rPr>
        <w:t>ouncil does not contribute to these funds financially, they</w:t>
      </w:r>
      <w:r>
        <w:rPr>
          <w:rFonts w:ascii="Arial" w:hAnsi="Arial" w:cs="Arial"/>
        </w:rPr>
        <w:t xml:space="preserve"> have been included within the c</w:t>
      </w:r>
      <w:r w:rsidRPr="00375FD4">
        <w:rPr>
          <w:rFonts w:ascii="Arial" w:hAnsi="Arial" w:cs="Arial"/>
        </w:rPr>
        <w:t>ouncil’s Group through materiali</w:t>
      </w:r>
      <w:r>
        <w:rPr>
          <w:rFonts w:ascii="Arial" w:hAnsi="Arial" w:cs="Arial"/>
        </w:rPr>
        <w:t xml:space="preserve">ty by nature. The net </w:t>
      </w:r>
      <w:r w:rsidR="00EB6E39">
        <w:rPr>
          <w:rFonts w:ascii="Arial" w:hAnsi="Arial" w:cs="Arial"/>
        </w:rPr>
        <w:t>decrease in fu</w:t>
      </w:r>
      <w:r w:rsidR="00EB6E39" w:rsidRPr="00711E99">
        <w:rPr>
          <w:rFonts w:ascii="Arial" w:hAnsi="Arial" w:cs="Arial"/>
        </w:rPr>
        <w:t>nds of £0.006</w:t>
      </w:r>
      <w:r w:rsidRPr="00711E99">
        <w:rPr>
          <w:rFonts w:ascii="Arial" w:hAnsi="Arial" w:cs="Arial"/>
        </w:rPr>
        <w:t>m</w:t>
      </w:r>
      <w:r w:rsidR="00912D5E" w:rsidRPr="00711E99">
        <w:rPr>
          <w:rFonts w:ascii="Arial" w:hAnsi="Arial" w:cs="Arial"/>
        </w:rPr>
        <w:t xml:space="preserve"> (</w:t>
      </w:r>
      <w:r w:rsidR="00912D5E">
        <w:rPr>
          <w:rFonts w:ascii="Arial" w:hAnsi="Arial" w:cs="Arial"/>
        </w:rPr>
        <w:t>2018/19 £0.032</w:t>
      </w:r>
      <w:r>
        <w:rPr>
          <w:rFonts w:ascii="Arial" w:hAnsi="Arial" w:cs="Arial"/>
        </w:rPr>
        <w:t>m decrease</w:t>
      </w:r>
      <w:r w:rsidRPr="00375FD4">
        <w:rPr>
          <w:rFonts w:ascii="Arial" w:hAnsi="Arial" w:cs="Arial"/>
        </w:rPr>
        <w:t xml:space="preserve">) for the Trust Funds. </w:t>
      </w:r>
      <w:r>
        <w:rPr>
          <w:rFonts w:ascii="Arial" w:hAnsi="Arial" w:cs="Arial"/>
        </w:rPr>
        <w:t xml:space="preserve">For the purposes of the Group Accounts, two Trust Funds managed by the council (Dunbartonshire Educational Trust and McAulay Prize for Mathematics Trust) have been included </w:t>
      </w:r>
      <w:r w:rsidR="00912D5E">
        <w:rPr>
          <w:rFonts w:ascii="Arial" w:hAnsi="Arial" w:cs="Arial"/>
        </w:rPr>
        <w:t>pro rata to the council’s share</w:t>
      </w:r>
      <w:r>
        <w:rPr>
          <w:rFonts w:ascii="Arial" w:hAnsi="Arial" w:cs="Arial"/>
        </w:rPr>
        <w:t xml:space="preserve">. </w:t>
      </w:r>
      <w:r w:rsidRPr="00375FD4">
        <w:rPr>
          <w:rFonts w:ascii="Arial" w:hAnsi="Arial" w:cs="Arial"/>
        </w:rPr>
        <w:t>Copies of the accounts may be obtained from West Dunbartonshire Council,</w:t>
      </w:r>
      <w:r w:rsidRPr="00F6543D">
        <w:rPr>
          <w:rFonts w:ascii="Arial" w:hAnsi="Arial" w:cs="Arial"/>
        </w:rPr>
        <w:t xml:space="preserve"> </w:t>
      </w:r>
      <w:r>
        <w:rPr>
          <w:rFonts w:ascii="Arial" w:hAnsi="Arial" w:cs="Arial"/>
        </w:rPr>
        <w:t>16 Church Street</w:t>
      </w:r>
      <w:r w:rsidRPr="00375FD4">
        <w:rPr>
          <w:rFonts w:ascii="Arial" w:hAnsi="Arial" w:cs="Arial"/>
        </w:rPr>
        <w:t xml:space="preserve">, Dumbarton G82 </w:t>
      </w:r>
      <w:r>
        <w:rPr>
          <w:rFonts w:ascii="Arial" w:hAnsi="Arial" w:cs="Arial"/>
        </w:rPr>
        <w:t>1QL</w:t>
      </w:r>
      <w:r w:rsidRPr="00375FD4">
        <w:rPr>
          <w:rFonts w:ascii="Arial" w:hAnsi="Arial" w:cs="Arial"/>
        </w:rPr>
        <w:t>.</w:t>
      </w:r>
    </w:p>
    <w:p w:rsidR="0029199E" w:rsidRPr="00375FD4" w:rsidRDefault="0029199E" w:rsidP="00692729">
      <w:pPr>
        <w:spacing w:before="0" w:after="0"/>
        <w:jc w:val="both"/>
        <w:rPr>
          <w:rFonts w:ascii="Arial" w:hAnsi="Arial" w:cs="Arial"/>
          <w:b/>
        </w:rPr>
      </w:pPr>
    </w:p>
    <w:p w:rsidR="00750BA3" w:rsidRDefault="002E7DAC" w:rsidP="00692729">
      <w:pPr>
        <w:spacing w:before="0" w:after="0"/>
        <w:jc w:val="both"/>
        <w:rPr>
          <w:rFonts w:ascii="Arial" w:hAnsi="Arial" w:cs="Arial"/>
          <w:b/>
        </w:rPr>
      </w:pPr>
      <w:r>
        <w:rPr>
          <w:rFonts w:ascii="Arial" w:hAnsi="Arial" w:cs="Arial"/>
          <w:b/>
        </w:rPr>
        <w:t>The c</w:t>
      </w:r>
      <w:r w:rsidR="00990216" w:rsidRPr="00375FD4">
        <w:rPr>
          <w:rFonts w:ascii="Arial" w:hAnsi="Arial" w:cs="Arial"/>
          <w:b/>
        </w:rPr>
        <w:t>ouncil’s subsidiaries y</w:t>
      </w:r>
      <w:r w:rsidR="00A71917">
        <w:rPr>
          <w:rFonts w:ascii="Arial" w:hAnsi="Arial" w:cs="Arial"/>
          <w:b/>
        </w:rPr>
        <w:t>ear end results are as follows:</w:t>
      </w:r>
    </w:p>
    <w:p w:rsidR="00750BA3" w:rsidRPr="00375FD4" w:rsidRDefault="00872F19" w:rsidP="0044313F">
      <w:pPr>
        <w:spacing w:before="0" w:after="0"/>
        <w:jc w:val="both"/>
        <w:rPr>
          <w:rFonts w:ascii="Arial" w:hAnsi="Arial" w:cs="Arial"/>
          <w:b/>
        </w:rPr>
      </w:pPr>
      <w:r w:rsidRPr="00872F19">
        <w:rPr>
          <w:noProof/>
          <w:lang w:eastAsia="en-GB"/>
        </w:rPr>
        <w:drawing>
          <wp:inline distT="0" distB="0" distL="0" distR="0">
            <wp:extent cx="5731510" cy="2475771"/>
            <wp:effectExtent l="0" t="0" r="2540" b="1270"/>
            <wp:docPr id="41" name="Picture 41" descr="councils subsidiaries yearend  results" title="group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731510" cy="2475771"/>
                    </a:xfrm>
                    <a:prstGeom prst="rect">
                      <a:avLst/>
                    </a:prstGeom>
                    <a:noFill/>
                    <a:ln>
                      <a:noFill/>
                    </a:ln>
                  </pic:spPr>
                </pic:pic>
              </a:graphicData>
            </a:graphic>
          </wp:inline>
        </w:drawing>
      </w:r>
    </w:p>
    <w:p w:rsidR="00A71917" w:rsidRPr="00375FD4" w:rsidRDefault="00A71917" w:rsidP="00FA4861">
      <w:pPr>
        <w:spacing w:before="0" w:after="0"/>
        <w:rPr>
          <w:rFonts w:ascii="Arial" w:hAnsi="Arial" w:cs="Arial"/>
          <w:b/>
          <w:color w:val="FF0000"/>
        </w:rPr>
      </w:pPr>
    </w:p>
    <w:p w:rsidR="00990216" w:rsidRPr="00375FD4" w:rsidRDefault="00990216" w:rsidP="00990216">
      <w:pPr>
        <w:keepNext/>
        <w:spacing w:before="0" w:after="0"/>
        <w:outlineLvl w:val="8"/>
        <w:rPr>
          <w:rFonts w:ascii="Arial" w:hAnsi="Arial" w:cs="Arial"/>
          <w:b/>
          <w:bCs/>
          <w:color w:val="FF0000"/>
        </w:rPr>
      </w:pPr>
    </w:p>
    <w:p w:rsidR="00990216" w:rsidRPr="00375FD4" w:rsidRDefault="00990216" w:rsidP="00692729">
      <w:pPr>
        <w:keepNext/>
        <w:spacing w:before="0" w:after="0"/>
        <w:outlineLvl w:val="8"/>
        <w:rPr>
          <w:rFonts w:ascii="Arial" w:hAnsi="Arial" w:cs="Arial"/>
          <w:b/>
          <w:bCs/>
        </w:rPr>
      </w:pPr>
      <w:r w:rsidRPr="00375FD4">
        <w:rPr>
          <w:rFonts w:ascii="Arial" w:hAnsi="Arial" w:cs="Arial"/>
          <w:b/>
          <w:bCs/>
        </w:rPr>
        <w:t>Note 2 – Non-Material Interest in Other Entities</w:t>
      </w:r>
    </w:p>
    <w:p w:rsidR="00990216" w:rsidRPr="00375FD4" w:rsidRDefault="00990216" w:rsidP="00990216">
      <w:pPr>
        <w:spacing w:before="0" w:after="0"/>
        <w:ind w:left="720" w:hanging="720"/>
        <w:rPr>
          <w:rFonts w:ascii="Arial" w:hAnsi="Arial" w:cs="Arial"/>
        </w:rPr>
      </w:pPr>
    </w:p>
    <w:p w:rsidR="00990216" w:rsidRPr="00375FD4" w:rsidRDefault="002E7DAC" w:rsidP="00692729">
      <w:pPr>
        <w:spacing w:before="0" w:after="0"/>
        <w:rPr>
          <w:rFonts w:ascii="Arial" w:hAnsi="Arial" w:cs="Arial"/>
        </w:rPr>
      </w:pPr>
      <w:r>
        <w:rPr>
          <w:rFonts w:ascii="Arial" w:hAnsi="Arial" w:cs="Arial"/>
        </w:rPr>
        <w:t>The c</w:t>
      </w:r>
      <w:r w:rsidR="00990216" w:rsidRPr="00375FD4">
        <w:rPr>
          <w:rFonts w:ascii="Arial" w:hAnsi="Arial" w:cs="Arial"/>
        </w:rPr>
        <w:t>ouncil has an interest in a numb</w:t>
      </w:r>
      <w:r>
        <w:rPr>
          <w:rFonts w:ascii="Arial" w:hAnsi="Arial" w:cs="Arial"/>
        </w:rPr>
        <w:t>er of other organisations. The c</w:t>
      </w:r>
      <w:r w:rsidR="00990216" w:rsidRPr="00375FD4">
        <w:rPr>
          <w:rFonts w:ascii="Arial" w:hAnsi="Arial" w:cs="Arial"/>
        </w:rPr>
        <w:t>ouncil’s share of their net assets or liabilities is not material to the fair understanding of the financial po</w:t>
      </w:r>
      <w:r w:rsidR="00586525">
        <w:rPr>
          <w:rFonts w:ascii="Arial" w:hAnsi="Arial" w:cs="Arial"/>
        </w:rPr>
        <w:t>sition and transactions of the</w:t>
      </w:r>
      <w:r>
        <w:rPr>
          <w:rFonts w:ascii="Arial" w:hAnsi="Arial" w:cs="Arial"/>
        </w:rPr>
        <w:t xml:space="preserve"> c</w:t>
      </w:r>
      <w:r w:rsidR="00990216" w:rsidRPr="00375FD4">
        <w:rPr>
          <w:rFonts w:ascii="Arial" w:hAnsi="Arial" w:cs="Arial"/>
        </w:rPr>
        <w:t>ouncil. Accordingly, the Group Accounts do not include these organisations. Und</w:t>
      </w:r>
      <w:r>
        <w:rPr>
          <w:rFonts w:ascii="Arial" w:hAnsi="Arial" w:cs="Arial"/>
        </w:rPr>
        <w:t>er Accounting Regulations, the c</w:t>
      </w:r>
      <w:r w:rsidR="00990216" w:rsidRPr="00375FD4">
        <w:rPr>
          <w:rFonts w:ascii="Arial" w:hAnsi="Arial" w:cs="Arial"/>
        </w:rPr>
        <w:t>ouncil is required to disclose the business nature of each organisation.</w:t>
      </w:r>
    </w:p>
    <w:p w:rsidR="00990216" w:rsidRPr="00375FD4" w:rsidRDefault="00990216" w:rsidP="00692729">
      <w:pPr>
        <w:spacing w:before="0" w:after="0"/>
        <w:rPr>
          <w:rFonts w:ascii="Arial" w:hAnsi="Arial" w:cs="Arial"/>
          <w:b/>
        </w:rPr>
      </w:pPr>
    </w:p>
    <w:p w:rsidR="00B002E5" w:rsidRDefault="00990216" w:rsidP="00692729">
      <w:pPr>
        <w:spacing w:before="0" w:after="0"/>
        <w:rPr>
          <w:rFonts w:ascii="Arial" w:hAnsi="Arial" w:cs="Arial"/>
        </w:rPr>
      </w:pPr>
      <w:r w:rsidRPr="00375FD4">
        <w:rPr>
          <w:rFonts w:ascii="Arial" w:hAnsi="Arial" w:cs="Arial"/>
          <w:b/>
        </w:rPr>
        <w:t>Scotland Excel</w:t>
      </w:r>
      <w:r w:rsidRPr="00375FD4">
        <w:rPr>
          <w:rFonts w:ascii="Arial" w:hAnsi="Arial" w:cs="Arial"/>
        </w:rPr>
        <w:t xml:space="preserve"> is a joint committee established through Section 57 of the Local Government (Scotland) Act 1973.   The main purpose of the committee includes co-ordination of collaborative buying initiatives, representation of interests in public sector contracts, and the development and operation of a centre of procurement expertise for Local Government in Scotland.</w:t>
      </w:r>
    </w:p>
    <w:p w:rsidR="00B002E5" w:rsidRDefault="00B002E5" w:rsidP="00990216">
      <w:pPr>
        <w:spacing w:before="0" w:after="0"/>
        <w:ind w:left="720"/>
        <w:rPr>
          <w:rFonts w:ascii="Arial" w:hAnsi="Arial" w:cs="Arial"/>
        </w:rPr>
      </w:pPr>
    </w:p>
    <w:p w:rsidR="00B002E5" w:rsidRDefault="00692729" w:rsidP="00D7569C">
      <w:pPr>
        <w:spacing w:before="0" w:after="0"/>
        <w:rPr>
          <w:rFonts w:ascii="Arial" w:hAnsi="Arial" w:cs="Arial"/>
        </w:rPr>
      </w:pPr>
      <w:r w:rsidRPr="00375FD4">
        <w:rPr>
          <w:rFonts w:ascii="Arial" w:hAnsi="Arial" w:cs="Arial"/>
          <w:b/>
        </w:rPr>
        <w:t>Clydebank Municipal Bank</w:t>
      </w:r>
      <w:r w:rsidRPr="00375FD4">
        <w:rPr>
          <w:rFonts w:ascii="Arial" w:hAnsi="Arial" w:cs="Arial"/>
        </w:rPr>
        <w:t xml:space="preserve"> is a company limited by shares set up based upon the Companies Act 1908 and 1913. It acts as banker for a number of priva</w:t>
      </w:r>
      <w:r>
        <w:rPr>
          <w:rFonts w:ascii="Arial" w:hAnsi="Arial" w:cs="Arial"/>
        </w:rPr>
        <w:t xml:space="preserve">te individuals/organisations. </w:t>
      </w:r>
      <w:r w:rsidR="002E7DAC">
        <w:rPr>
          <w:rFonts w:ascii="Arial" w:hAnsi="Arial" w:cs="Arial"/>
        </w:rPr>
        <w:t>The c</w:t>
      </w:r>
      <w:r w:rsidRPr="00375FD4">
        <w:rPr>
          <w:rFonts w:ascii="Arial" w:hAnsi="Arial" w:cs="Arial"/>
        </w:rPr>
        <w:t>ouncil provides services to the bank and funds any annual losses incurred.  The bank’s year end is 5 April.  The principal business of the Municipal Bank is to accept deposits from private account holders and to invest funds with West Dunbartonshire Council.  The chairman and directors of the bank are Elected Members of the</w:t>
      </w:r>
      <w:r>
        <w:rPr>
          <w:rFonts w:ascii="Arial" w:hAnsi="Arial" w:cs="Arial"/>
        </w:rPr>
        <w:t xml:space="preserve"> </w:t>
      </w:r>
      <w:r w:rsidR="001C2895">
        <w:rPr>
          <w:rFonts w:ascii="Arial" w:hAnsi="Arial" w:cs="Arial"/>
        </w:rPr>
        <w:t>C</w:t>
      </w:r>
      <w:r w:rsidRPr="00375FD4">
        <w:rPr>
          <w:rFonts w:ascii="Arial" w:hAnsi="Arial" w:cs="Arial"/>
        </w:rPr>
        <w:t xml:space="preserve">ouncil.  As per the </w:t>
      </w:r>
      <w:r w:rsidRPr="00711E99">
        <w:rPr>
          <w:rFonts w:ascii="Arial" w:hAnsi="Arial" w:cs="Arial"/>
        </w:rPr>
        <w:t xml:space="preserve">bank’s unaudited financial statements at 31 March </w:t>
      </w:r>
      <w:r w:rsidR="00912D5E" w:rsidRPr="00711E99">
        <w:rPr>
          <w:rFonts w:ascii="Arial" w:hAnsi="Arial" w:cs="Arial"/>
        </w:rPr>
        <w:t>2020</w:t>
      </w:r>
      <w:r w:rsidRPr="00711E99">
        <w:rPr>
          <w:rFonts w:ascii="Arial" w:hAnsi="Arial" w:cs="Arial"/>
        </w:rPr>
        <w:t xml:space="preserve">, </w:t>
      </w:r>
      <w:r w:rsidR="00711E99" w:rsidRPr="00711E99">
        <w:rPr>
          <w:rFonts w:ascii="Arial" w:hAnsi="Arial" w:cs="Arial"/>
        </w:rPr>
        <w:t>2,482</w:t>
      </w:r>
      <w:r w:rsidR="00A11B1B" w:rsidRPr="00711E99">
        <w:rPr>
          <w:rFonts w:ascii="Arial" w:hAnsi="Arial" w:cs="Arial"/>
        </w:rPr>
        <w:t xml:space="preserve"> </w:t>
      </w:r>
      <w:r w:rsidRPr="00711E99">
        <w:rPr>
          <w:rFonts w:ascii="Arial" w:hAnsi="Arial" w:cs="Arial"/>
        </w:rPr>
        <w:t>accounts were h</w:t>
      </w:r>
      <w:r w:rsidR="00711E99" w:rsidRPr="00711E99">
        <w:rPr>
          <w:rFonts w:ascii="Arial" w:hAnsi="Arial" w:cs="Arial"/>
        </w:rPr>
        <w:t>eld with the bank (2018/19</w:t>
      </w:r>
      <w:r w:rsidR="00912D5E" w:rsidRPr="00711E99">
        <w:rPr>
          <w:rFonts w:ascii="Arial" w:hAnsi="Arial" w:cs="Arial"/>
        </w:rPr>
        <w:t xml:space="preserve"> 2,471</w:t>
      </w:r>
      <w:r w:rsidRPr="00711E99">
        <w:rPr>
          <w:rFonts w:ascii="Arial" w:hAnsi="Arial" w:cs="Arial"/>
        </w:rPr>
        <w:t>), with a total amount on depos</w:t>
      </w:r>
      <w:r w:rsidR="00D7569C" w:rsidRPr="00711E99">
        <w:rPr>
          <w:rFonts w:ascii="Arial" w:hAnsi="Arial" w:cs="Arial"/>
        </w:rPr>
        <w:t>it of £</w:t>
      </w:r>
      <w:r w:rsidR="00711E99" w:rsidRPr="00711E99">
        <w:rPr>
          <w:rFonts w:ascii="Arial" w:hAnsi="Arial" w:cs="Arial"/>
        </w:rPr>
        <w:t>1.</w:t>
      </w:r>
      <w:r w:rsidR="00A11B1B" w:rsidRPr="00711E99">
        <w:rPr>
          <w:rFonts w:ascii="Arial" w:hAnsi="Arial" w:cs="Arial"/>
        </w:rPr>
        <w:t>45</w:t>
      </w:r>
      <w:r w:rsidR="00711E99" w:rsidRPr="00711E99">
        <w:rPr>
          <w:rFonts w:ascii="Arial" w:hAnsi="Arial" w:cs="Arial"/>
        </w:rPr>
        <w:t>0</w:t>
      </w:r>
      <w:r w:rsidRPr="00711E99">
        <w:rPr>
          <w:rFonts w:ascii="Arial" w:hAnsi="Arial" w:cs="Arial"/>
        </w:rPr>
        <w:t>m</w:t>
      </w:r>
      <w:r w:rsidR="00912D5E" w:rsidRPr="00711E99">
        <w:rPr>
          <w:rFonts w:ascii="Arial" w:hAnsi="Arial" w:cs="Arial"/>
        </w:rPr>
        <w:t xml:space="preserve"> (2018/19 £1.345</w:t>
      </w:r>
      <w:r w:rsidRPr="00711E99">
        <w:rPr>
          <w:rFonts w:ascii="Arial" w:hAnsi="Arial" w:cs="Arial"/>
        </w:rPr>
        <w:t>m), wit</w:t>
      </w:r>
      <w:r w:rsidR="00A11B1B" w:rsidRPr="00711E99">
        <w:rPr>
          <w:rFonts w:ascii="Arial" w:hAnsi="Arial" w:cs="Arial"/>
        </w:rPr>
        <w:t>h £</w:t>
      </w:r>
      <w:r w:rsidR="00711E99" w:rsidRPr="00711E99">
        <w:rPr>
          <w:rFonts w:ascii="Arial" w:hAnsi="Arial" w:cs="Arial"/>
        </w:rPr>
        <w:t>1.306</w:t>
      </w:r>
      <w:r w:rsidRPr="00711E99">
        <w:rPr>
          <w:rFonts w:ascii="Arial" w:hAnsi="Arial" w:cs="Arial"/>
        </w:rPr>
        <w:t>m being invested w</w:t>
      </w:r>
      <w:r w:rsidR="002E7DAC" w:rsidRPr="00711E99">
        <w:rPr>
          <w:rFonts w:ascii="Arial" w:hAnsi="Arial" w:cs="Arial"/>
        </w:rPr>
        <w:t>ith the c</w:t>
      </w:r>
      <w:r w:rsidR="00912D5E" w:rsidRPr="00711E99">
        <w:rPr>
          <w:rFonts w:ascii="Arial" w:hAnsi="Arial" w:cs="Arial"/>
        </w:rPr>
        <w:t>ouncil (2018/19</w:t>
      </w:r>
      <w:r w:rsidRPr="00711E99">
        <w:rPr>
          <w:rFonts w:ascii="Arial" w:hAnsi="Arial" w:cs="Arial"/>
        </w:rPr>
        <w:t xml:space="preserve"> £</w:t>
      </w:r>
      <w:r w:rsidR="00912D5E" w:rsidRPr="00711E99">
        <w:rPr>
          <w:rFonts w:ascii="Arial" w:hAnsi="Arial" w:cs="Arial"/>
        </w:rPr>
        <w:t>1.131</w:t>
      </w:r>
      <w:r w:rsidRPr="00711E99">
        <w:rPr>
          <w:rFonts w:ascii="Arial" w:hAnsi="Arial" w:cs="Arial"/>
        </w:rPr>
        <w:t xml:space="preserve">m).  Interest paid by </w:t>
      </w:r>
      <w:r w:rsidR="002E7DAC" w:rsidRPr="00711E99">
        <w:rPr>
          <w:rFonts w:ascii="Arial" w:hAnsi="Arial" w:cs="Arial"/>
        </w:rPr>
        <w:t>the c</w:t>
      </w:r>
      <w:r w:rsidRPr="00711E99">
        <w:rPr>
          <w:rFonts w:ascii="Arial" w:hAnsi="Arial" w:cs="Arial"/>
        </w:rPr>
        <w:t>ouncil to the ba</w:t>
      </w:r>
      <w:r w:rsidR="00D7569C" w:rsidRPr="00711E99">
        <w:rPr>
          <w:rFonts w:ascii="Arial" w:hAnsi="Arial" w:cs="Arial"/>
        </w:rPr>
        <w:t>nk in the year was £0.0</w:t>
      </w:r>
      <w:r w:rsidR="00711E99" w:rsidRPr="00711E99">
        <w:rPr>
          <w:rFonts w:ascii="Arial" w:hAnsi="Arial" w:cs="Arial"/>
        </w:rPr>
        <w:t>33</w:t>
      </w:r>
      <w:r w:rsidR="00D7569C" w:rsidRPr="00711E99">
        <w:rPr>
          <w:rFonts w:ascii="Arial" w:hAnsi="Arial" w:cs="Arial"/>
        </w:rPr>
        <w:t>m</w:t>
      </w:r>
      <w:r w:rsidR="00912D5E" w:rsidRPr="00711E99">
        <w:rPr>
          <w:rFonts w:ascii="Arial" w:hAnsi="Arial" w:cs="Arial"/>
        </w:rPr>
        <w:t xml:space="preserve"> (2018</w:t>
      </w:r>
      <w:r w:rsidR="00912D5E">
        <w:rPr>
          <w:rFonts w:ascii="Arial" w:hAnsi="Arial" w:cs="Arial"/>
        </w:rPr>
        <w:t>/19 £0.028</w:t>
      </w:r>
      <w:r w:rsidRPr="0009066A">
        <w:rPr>
          <w:rFonts w:ascii="Arial" w:hAnsi="Arial" w:cs="Arial"/>
        </w:rPr>
        <w:t>m).</w:t>
      </w:r>
    </w:p>
    <w:p w:rsidR="00B002E5" w:rsidRDefault="00B002E5" w:rsidP="00990216">
      <w:pPr>
        <w:spacing w:before="0" w:after="0"/>
        <w:ind w:left="720"/>
        <w:rPr>
          <w:rFonts w:ascii="Arial" w:hAnsi="Arial" w:cs="Arial"/>
        </w:rPr>
      </w:pPr>
    </w:p>
    <w:p w:rsidR="00881A9A" w:rsidRDefault="00881A9A" w:rsidP="00B002E5">
      <w:pPr>
        <w:spacing w:before="0" w:after="0"/>
        <w:rPr>
          <w:rFonts w:ascii="Arial" w:hAnsi="Arial" w:cs="Arial"/>
          <w:b/>
          <w:sz w:val="24"/>
          <w:szCs w:val="24"/>
        </w:rPr>
      </w:pPr>
    </w:p>
    <w:p w:rsidR="00912D5E" w:rsidRDefault="00912D5E" w:rsidP="00B002E5">
      <w:pPr>
        <w:spacing w:before="0" w:after="0"/>
        <w:rPr>
          <w:rFonts w:ascii="Arial" w:hAnsi="Arial" w:cs="Arial"/>
          <w:b/>
          <w:sz w:val="24"/>
          <w:szCs w:val="24"/>
        </w:rPr>
      </w:pPr>
    </w:p>
    <w:p w:rsidR="0044313F" w:rsidRDefault="0044313F" w:rsidP="00B002E5">
      <w:pPr>
        <w:spacing w:before="0" w:after="0"/>
        <w:rPr>
          <w:rFonts w:ascii="Arial" w:hAnsi="Arial" w:cs="Arial"/>
          <w:b/>
          <w:sz w:val="24"/>
          <w:szCs w:val="24"/>
        </w:rPr>
      </w:pPr>
    </w:p>
    <w:p w:rsidR="00B002E5" w:rsidRPr="000A3446" w:rsidRDefault="00B002E5" w:rsidP="00B002E5">
      <w:pPr>
        <w:spacing w:before="0" w:after="0"/>
        <w:rPr>
          <w:rFonts w:ascii="Arial" w:hAnsi="Arial" w:cs="Arial"/>
          <w:b/>
          <w:sz w:val="24"/>
          <w:szCs w:val="24"/>
        </w:rPr>
      </w:pPr>
      <w:r w:rsidRPr="000A3446">
        <w:rPr>
          <w:rFonts w:ascii="Arial" w:hAnsi="Arial" w:cs="Arial"/>
          <w:b/>
          <w:sz w:val="24"/>
          <w:szCs w:val="24"/>
        </w:rPr>
        <w:lastRenderedPageBreak/>
        <w:t>Group Accounts (Cont’d)</w:t>
      </w:r>
    </w:p>
    <w:p w:rsidR="00B002E5" w:rsidRPr="00375FD4" w:rsidRDefault="00B002E5" w:rsidP="00B002E5">
      <w:pPr>
        <w:spacing w:before="0" w:after="0"/>
        <w:ind w:left="426"/>
        <w:rPr>
          <w:rFonts w:ascii="Arial" w:hAnsi="Arial" w:cs="Arial"/>
          <w:b/>
        </w:rPr>
      </w:pPr>
    </w:p>
    <w:p w:rsidR="00B002E5" w:rsidRPr="00375FD4" w:rsidRDefault="00B002E5" w:rsidP="00692729">
      <w:pPr>
        <w:spacing w:before="0" w:after="0"/>
        <w:rPr>
          <w:rFonts w:ascii="Arial" w:hAnsi="Arial" w:cs="Arial"/>
          <w:b/>
        </w:rPr>
      </w:pPr>
      <w:r w:rsidRPr="00375FD4">
        <w:rPr>
          <w:rFonts w:ascii="Arial" w:hAnsi="Arial" w:cs="Arial"/>
          <w:b/>
        </w:rPr>
        <w:t>Notes to the Group Accounts (Cont’d)</w:t>
      </w:r>
    </w:p>
    <w:p w:rsidR="00B002E5" w:rsidRDefault="00B002E5" w:rsidP="00692729">
      <w:pPr>
        <w:spacing w:before="0" w:after="0"/>
        <w:ind w:hanging="709"/>
        <w:rPr>
          <w:rFonts w:ascii="Arial" w:hAnsi="Arial" w:cs="Arial"/>
        </w:rPr>
      </w:pPr>
    </w:p>
    <w:p w:rsidR="00B002E5" w:rsidRPr="00FA4861" w:rsidRDefault="00B002E5" w:rsidP="00692729">
      <w:pPr>
        <w:keepNext/>
        <w:spacing w:before="0" w:after="0"/>
        <w:outlineLvl w:val="8"/>
        <w:rPr>
          <w:rFonts w:ascii="Arial" w:hAnsi="Arial" w:cs="Arial"/>
          <w:b/>
          <w:bCs/>
        </w:rPr>
      </w:pPr>
      <w:r w:rsidRPr="00375FD4">
        <w:rPr>
          <w:rFonts w:ascii="Arial" w:hAnsi="Arial" w:cs="Arial"/>
          <w:b/>
          <w:bCs/>
        </w:rPr>
        <w:t>Note 2 – Non-Material Interest in Other E</w:t>
      </w:r>
      <w:r>
        <w:rPr>
          <w:rFonts w:ascii="Arial" w:hAnsi="Arial" w:cs="Arial"/>
          <w:b/>
          <w:bCs/>
        </w:rPr>
        <w:t>ntities (Cont’d)</w:t>
      </w:r>
    </w:p>
    <w:p w:rsidR="00FA4861" w:rsidRDefault="00FA4861" w:rsidP="00692729">
      <w:pPr>
        <w:spacing w:before="0" w:after="0"/>
        <w:rPr>
          <w:rFonts w:ascii="Arial" w:hAnsi="Arial" w:cs="Arial"/>
        </w:rPr>
      </w:pPr>
    </w:p>
    <w:p w:rsidR="0029199E" w:rsidRPr="00375FD4" w:rsidRDefault="0029199E" w:rsidP="0029199E">
      <w:pPr>
        <w:spacing w:before="0" w:after="0"/>
        <w:rPr>
          <w:rFonts w:ascii="Arial" w:hAnsi="Arial" w:cs="Arial"/>
        </w:rPr>
      </w:pPr>
      <w:r w:rsidRPr="00375FD4">
        <w:rPr>
          <w:rFonts w:ascii="Arial" w:hAnsi="Arial" w:cs="Arial"/>
          <w:b/>
        </w:rPr>
        <w:t>Hub West of Scotland</w:t>
      </w:r>
      <w:r w:rsidRPr="00375FD4">
        <w:rPr>
          <w:rFonts w:ascii="Arial" w:hAnsi="Arial" w:cs="Arial"/>
        </w:rPr>
        <w:t xml:space="preserve"> is a public private Joint Venture development organisation established in 2012.  They work with the public sector partners to plan, design, build, and fund and maintain buildings in the most efficient and effective manner delivering better value for money and ultimately improving public services.  Hub West of Scotland comprises: Hub West Territory Participants, Scottish Futures Trust and The Wellspring Partnership.</w:t>
      </w:r>
    </w:p>
    <w:p w:rsidR="0029199E" w:rsidRDefault="0029199E" w:rsidP="00692729">
      <w:pPr>
        <w:spacing w:before="0" w:after="0"/>
        <w:rPr>
          <w:rFonts w:ascii="Arial" w:hAnsi="Arial" w:cs="Arial"/>
          <w:b/>
        </w:rPr>
      </w:pPr>
    </w:p>
    <w:p w:rsidR="00750BA3" w:rsidRPr="00375FD4" w:rsidRDefault="004258D2" w:rsidP="00692729">
      <w:pPr>
        <w:spacing w:before="0" w:after="0"/>
        <w:rPr>
          <w:rFonts w:ascii="Arial" w:hAnsi="Arial" w:cs="Arial"/>
        </w:rPr>
      </w:pPr>
      <w:r w:rsidRPr="00E53323">
        <w:rPr>
          <w:rFonts w:ascii="Arial" w:hAnsi="Arial" w:cs="Arial"/>
          <w:b/>
        </w:rPr>
        <w:t xml:space="preserve">Business Loans </w:t>
      </w:r>
      <w:r w:rsidR="00990216" w:rsidRPr="00E53323">
        <w:rPr>
          <w:rFonts w:ascii="Arial" w:hAnsi="Arial" w:cs="Arial"/>
          <w:b/>
        </w:rPr>
        <w:t>Scotland</w:t>
      </w:r>
      <w:r w:rsidRPr="00E53323">
        <w:rPr>
          <w:rFonts w:ascii="Arial" w:hAnsi="Arial" w:cs="Arial"/>
          <w:b/>
        </w:rPr>
        <w:t xml:space="preserve"> Ltd</w:t>
      </w:r>
      <w:r w:rsidR="00990216" w:rsidRPr="00E53323">
        <w:rPr>
          <w:rFonts w:ascii="Arial" w:hAnsi="Arial" w:cs="Arial"/>
          <w:b/>
        </w:rPr>
        <w:t xml:space="preserve"> </w:t>
      </w:r>
      <w:r w:rsidR="00E53323" w:rsidRPr="00E53323">
        <w:rPr>
          <w:rFonts w:ascii="Arial" w:hAnsi="Arial" w:cs="Arial"/>
        </w:rPr>
        <w:t>was formed in March 2017</w:t>
      </w:r>
      <w:r w:rsidR="00990216" w:rsidRPr="00E53323">
        <w:rPr>
          <w:rFonts w:ascii="Arial" w:hAnsi="Arial" w:cs="Arial"/>
        </w:rPr>
        <w:t xml:space="preserve"> </w:t>
      </w:r>
      <w:r w:rsidR="00E53323" w:rsidRPr="00E53323">
        <w:rPr>
          <w:rFonts w:ascii="Arial" w:hAnsi="Arial" w:cs="Arial"/>
        </w:rPr>
        <w:t xml:space="preserve">with 27 Scottish local authorities full members, including West Dunbartonshire Council, and </w:t>
      </w:r>
      <w:r w:rsidR="00E53323">
        <w:rPr>
          <w:rFonts w:ascii="Arial" w:hAnsi="Arial" w:cs="Arial"/>
        </w:rPr>
        <w:t xml:space="preserve">the remaining </w:t>
      </w:r>
      <w:r w:rsidR="00E53323" w:rsidRPr="00E53323">
        <w:rPr>
          <w:rFonts w:ascii="Arial" w:hAnsi="Arial" w:cs="Arial"/>
        </w:rPr>
        <w:t>5 Scottish local authorities becoming associate members</w:t>
      </w:r>
      <w:r w:rsidR="00990216" w:rsidRPr="00E53323">
        <w:rPr>
          <w:rFonts w:ascii="Arial" w:hAnsi="Arial" w:cs="Arial"/>
        </w:rPr>
        <w:t xml:space="preserve">. In this respect, each member local </w:t>
      </w:r>
      <w:r w:rsidR="001C2895" w:rsidRPr="00E53323">
        <w:rPr>
          <w:rFonts w:ascii="Arial" w:hAnsi="Arial" w:cs="Arial"/>
        </w:rPr>
        <w:t>c</w:t>
      </w:r>
      <w:r w:rsidR="00312456" w:rsidRPr="00E53323">
        <w:rPr>
          <w:rFonts w:ascii="Arial" w:hAnsi="Arial" w:cs="Arial"/>
        </w:rPr>
        <w:t>ouncil</w:t>
      </w:r>
      <w:r w:rsidR="00990216" w:rsidRPr="00E53323">
        <w:rPr>
          <w:rFonts w:ascii="Arial" w:hAnsi="Arial" w:cs="Arial"/>
        </w:rPr>
        <w:t xml:space="preserve"> provides a level of loan finance for companies in their area</w:t>
      </w:r>
      <w:r w:rsidR="00E53323" w:rsidRPr="00E53323">
        <w:rPr>
          <w:rFonts w:ascii="Arial" w:hAnsi="Arial" w:cs="Arial"/>
        </w:rPr>
        <w:t xml:space="preserve"> under Phase 1,</w:t>
      </w:r>
      <w:r w:rsidR="00990216" w:rsidRPr="00E53323">
        <w:rPr>
          <w:rFonts w:ascii="Arial" w:hAnsi="Arial" w:cs="Arial"/>
        </w:rPr>
        <w:t xml:space="preserve"> augmented</w:t>
      </w:r>
      <w:r w:rsidR="00E53323" w:rsidRPr="00E53323">
        <w:rPr>
          <w:rFonts w:ascii="Arial" w:hAnsi="Arial" w:cs="Arial"/>
        </w:rPr>
        <w:t xml:space="preserve"> in Phase 2</w:t>
      </w:r>
      <w:r w:rsidR="00990216" w:rsidRPr="00E53323">
        <w:rPr>
          <w:rFonts w:ascii="Arial" w:hAnsi="Arial" w:cs="Arial"/>
        </w:rPr>
        <w:t xml:space="preserve"> by </w:t>
      </w:r>
      <w:r w:rsidR="00E53323" w:rsidRPr="00E53323">
        <w:rPr>
          <w:rFonts w:ascii="Arial" w:hAnsi="Arial" w:cs="Arial"/>
        </w:rPr>
        <w:t xml:space="preserve">Scottish Growth Scheme and </w:t>
      </w:r>
      <w:r w:rsidR="00990216" w:rsidRPr="00E53323">
        <w:rPr>
          <w:rFonts w:ascii="Arial" w:hAnsi="Arial" w:cs="Arial"/>
        </w:rPr>
        <w:t>European Regional Development Funding (ERDF).</w:t>
      </w:r>
      <w:r w:rsidR="00990216" w:rsidRPr="00375FD4">
        <w:rPr>
          <w:rFonts w:ascii="Arial" w:hAnsi="Arial" w:cs="Arial"/>
        </w:rPr>
        <w:t xml:space="preserve"> </w:t>
      </w:r>
    </w:p>
    <w:p w:rsidR="00990216" w:rsidRPr="00375FD4" w:rsidRDefault="00990216" w:rsidP="00990216">
      <w:pPr>
        <w:spacing w:before="0" w:after="0"/>
        <w:ind w:left="426"/>
        <w:rPr>
          <w:rFonts w:ascii="Arial" w:hAnsi="Arial" w:cs="Arial"/>
          <w:b/>
        </w:rPr>
      </w:pPr>
    </w:p>
    <w:p w:rsidR="00990216" w:rsidRPr="00375FD4" w:rsidRDefault="00990216" w:rsidP="00692729">
      <w:pPr>
        <w:spacing w:before="0" w:after="0"/>
        <w:jc w:val="both"/>
        <w:outlineLvl w:val="5"/>
        <w:rPr>
          <w:rFonts w:ascii="Arial" w:hAnsi="Arial" w:cs="Arial"/>
          <w:b/>
          <w:bCs/>
        </w:rPr>
      </w:pPr>
      <w:r w:rsidRPr="00375FD4">
        <w:rPr>
          <w:rFonts w:ascii="Arial" w:hAnsi="Arial" w:cs="Arial"/>
          <w:b/>
          <w:bCs/>
        </w:rPr>
        <w:t>Note 3 – Financial Impact of Consolidation</w:t>
      </w:r>
    </w:p>
    <w:p w:rsidR="00990216" w:rsidRPr="00375FD4" w:rsidRDefault="00990216" w:rsidP="00990216">
      <w:pPr>
        <w:spacing w:before="0" w:after="0"/>
        <w:jc w:val="both"/>
        <w:rPr>
          <w:rFonts w:ascii="Arial" w:hAnsi="Arial" w:cs="Arial"/>
        </w:rPr>
      </w:pPr>
    </w:p>
    <w:p w:rsidR="00990216" w:rsidRPr="00375FD4" w:rsidRDefault="00990216" w:rsidP="00912D5E">
      <w:pPr>
        <w:spacing w:before="0" w:after="0"/>
        <w:jc w:val="both"/>
        <w:rPr>
          <w:rFonts w:ascii="Arial" w:hAnsi="Arial" w:cs="Arial"/>
        </w:rPr>
      </w:pPr>
      <w:r w:rsidRPr="00571779">
        <w:rPr>
          <w:rFonts w:ascii="Arial" w:hAnsi="Arial" w:cs="Arial"/>
        </w:rPr>
        <w:t xml:space="preserve">The effect  of  </w:t>
      </w:r>
      <w:r w:rsidRPr="00711E99">
        <w:rPr>
          <w:rFonts w:ascii="Arial" w:hAnsi="Arial" w:cs="Arial"/>
        </w:rPr>
        <w:t xml:space="preserve">inclusion  of  the  entities  on  the  Group Balance Sheet is  </w:t>
      </w:r>
      <w:r w:rsidR="00386A2D" w:rsidRPr="00711E99">
        <w:rPr>
          <w:rFonts w:ascii="Arial" w:hAnsi="Arial" w:cs="Arial"/>
        </w:rPr>
        <w:t xml:space="preserve">to </w:t>
      </w:r>
      <w:r w:rsidRPr="00711E99">
        <w:rPr>
          <w:rFonts w:ascii="Arial" w:hAnsi="Arial" w:cs="Arial"/>
        </w:rPr>
        <w:t>increase reserves an</w:t>
      </w:r>
      <w:r w:rsidR="00571779" w:rsidRPr="00711E99">
        <w:rPr>
          <w:rFonts w:ascii="Arial" w:hAnsi="Arial" w:cs="Arial"/>
        </w:rPr>
        <w:t>d  net</w:t>
      </w:r>
      <w:r w:rsidR="00967DCD" w:rsidRPr="00711E99">
        <w:rPr>
          <w:rFonts w:ascii="Arial" w:hAnsi="Arial" w:cs="Arial"/>
        </w:rPr>
        <w:t xml:space="preserve"> </w:t>
      </w:r>
      <w:r w:rsidR="00B002E5" w:rsidRPr="00711E99">
        <w:rPr>
          <w:rFonts w:ascii="Arial" w:hAnsi="Arial" w:cs="Arial"/>
        </w:rPr>
        <w:t>ass</w:t>
      </w:r>
      <w:r w:rsidR="0040540A" w:rsidRPr="00711E99">
        <w:rPr>
          <w:rFonts w:ascii="Arial" w:hAnsi="Arial" w:cs="Arial"/>
        </w:rPr>
        <w:t>ets by £</w:t>
      </w:r>
      <w:r w:rsidR="00872F19">
        <w:rPr>
          <w:rFonts w:ascii="Arial" w:hAnsi="Arial" w:cs="Arial"/>
        </w:rPr>
        <w:t>30.025</w:t>
      </w:r>
      <w:r w:rsidR="00293098" w:rsidRPr="00711E99">
        <w:rPr>
          <w:rFonts w:ascii="Arial" w:hAnsi="Arial" w:cs="Arial"/>
        </w:rPr>
        <w:t>m</w:t>
      </w:r>
      <w:r w:rsidR="00912D5E">
        <w:rPr>
          <w:rFonts w:ascii="Arial" w:hAnsi="Arial" w:cs="Arial"/>
        </w:rPr>
        <w:t xml:space="preserve"> (2018/19</w:t>
      </w:r>
      <w:r w:rsidR="00325BFF" w:rsidRPr="00105404">
        <w:rPr>
          <w:rFonts w:ascii="Arial" w:hAnsi="Arial" w:cs="Arial"/>
        </w:rPr>
        <w:t xml:space="preserve"> £</w:t>
      </w:r>
      <w:r w:rsidR="00912D5E">
        <w:rPr>
          <w:rFonts w:ascii="Arial" w:hAnsi="Arial" w:cs="Arial"/>
        </w:rPr>
        <w:t>24.</w:t>
      </w:r>
      <w:r w:rsidR="0029199E">
        <w:rPr>
          <w:rFonts w:ascii="Arial" w:hAnsi="Arial" w:cs="Arial"/>
        </w:rPr>
        <w:t>78</w:t>
      </w:r>
      <w:r w:rsidR="00912D5E">
        <w:rPr>
          <w:rFonts w:ascii="Arial" w:hAnsi="Arial" w:cs="Arial"/>
        </w:rPr>
        <w:t>8</w:t>
      </w:r>
      <w:r w:rsidRPr="00105404">
        <w:rPr>
          <w:rFonts w:ascii="Arial" w:hAnsi="Arial" w:cs="Arial"/>
        </w:rPr>
        <w:t>m</w:t>
      </w:r>
      <w:r w:rsidR="00912D5E">
        <w:rPr>
          <w:rFonts w:ascii="Arial" w:hAnsi="Arial" w:cs="Arial"/>
        </w:rPr>
        <w:t xml:space="preserve"> net asset</w:t>
      </w:r>
      <w:r w:rsidRPr="00105404">
        <w:rPr>
          <w:rFonts w:ascii="Arial" w:hAnsi="Arial" w:cs="Arial"/>
        </w:rPr>
        <w:t>) respectively representing the</w:t>
      </w:r>
      <w:r w:rsidR="002E7DAC">
        <w:rPr>
          <w:rFonts w:ascii="Arial" w:hAnsi="Arial" w:cs="Arial"/>
        </w:rPr>
        <w:t xml:space="preserve"> c</w:t>
      </w:r>
      <w:r w:rsidRPr="00375FD4">
        <w:rPr>
          <w:rFonts w:ascii="Arial" w:hAnsi="Arial" w:cs="Arial"/>
        </w:rPr>
        <w:t>ouncil’s share of the realisable surpluses/def</w:t>
      </w:r>
      <w:r w:rsidR="00443DD3">
        <w:rPr>
          <w:rFonts w:ascii="Arial" w:hAnsi="Arial" w:cs="Arial"/>
        </w:rPr>
        <w:t xml:space="preserve">icits in these organisations. </w:t>
      </w:r>
      <w:r w:rsidRPr="00375FD4">
        <w:rPr>
          <w:rFonts w:ascii="Arial" w:hAnsi="Arial" w:cs="Arial"/>
        </w:rPr>
        <w:t xml:space="preserve">This leaves the </w:t>
      </w:r>
      <w:r w:rsidRPr="00105404">
        <w:rPr>
          <w:rFonts w:ascii="Arial" w:hAnsi="Arial" w:cs="Arial"/>
        </w:rPr>
        <w:t xml:space="preserve">group account with </w:t>
      </w:r>
      <w:r w:rsidR="00443DD3" w:rsidRPr="00105404">
        <w:rPr>
          <w:rFonts w:ascii="Arial" w:hAnsi="Arial" w:cs="Arial"/>
        </w:rPr>
        <w:t xml:space="preserve">an </w:t>
      </w:r>
      <w:r w:rsidR="00443DD3" w:rsidRPr="00711E99">
        <w:rPr>
          <w:rFonts w:ascii="Arial" w:hAnsi="Arial" w:cs="Arial"/>
        </w:rPr>
        <w:t xml:space="preserve">overall net </w:t>
      </w:r>
      <w:r w:rsidR="00443DD3" w:rsidRPr="00A93C02">
        <w:rPr>
          <w:rFonts w:ascii="Arial" w:hAnsi="Arial" w:cs="Arial"/>
        </w:rPr>
        <w:t>asset of £</w:t>
      </w:r>
      <w:r w:rsidR="00A93C02" w:rsidRPr="00A93C02">
        <w:rPr>
          <w:rFonts w:ascii="Arial" w:hAnsi="Arial" w:cs="Arial"/>
        </w:rPr>
        <w:t>314.937</w:t>
      </w:r>
      <w:r w:rsidRPr="00A93C02">
        <w:rPr>
          <w:rFonts w:ascii="Arial" w:hAnsi="Arial" w:cs="Arial"/>
        </w:rPr>
        <w:t>m</w:t>
      </w:r>
      <w:r w:rsidRPr="00711E99">
        <w:rPr>
          <w:rFonts w:ascii="Arial" w:hAnsi="Arial" w:cs="Arial"/>
        </w:rPr>
        <w:t xml:space="preserve"> (20</w:t>
      </w:r>
      <w:r w:rsidR="006B5E23" w:rsidRPr="00711E99">
        <w:rPr>
          <w:rFonts w:ascii="Arial" w:hAnsi="Arial" w:cs="Arial"/>
        </w:rPr>
        <w:t>1</w:t>
      </w:r>
      <w:r w:rsidR="00912D5E" w:rsidRPr="00711E99">
        <w:rPr>
          <w:rFonts w:ascii="Arial" w:hAnsi="Arial" w:cs="Arial"/>
        </w:rPr>
        <w:t>8</w:t>
      </w:r>
      <w:r w:rsidR="00912D5E">
        <w:rPr>
          <w:rFonts w:ascii="Arial" w:hAnsi="Arial" w:cs="Arial"/>
        </w:rPr>
        <w:t>/19</w:t>
      </w:r>
      <w:r w:rsidR="00B002E5" w:rsidRPr="00105404">
        <w:rPr>
          <w:rFonts w:ascii="Arial" w:hAnsi="Arial" w:cs="Arial"/>
        </w:rPr>
        <w:t xml:space="preserve"> £</w:t>
      </w:r>
      <w:r w:rsidR="00912D5E">
        <w:rPr>
          <w:rFonts w:ascii="Arial" w:hAnsi="Arial" w:cs="Arial"/>
        </w:rPr>
        <w:t>215.766m</w:t>
      </w:r>
      <w:r w:rsidRPr="00105404">
        <w:rPr>
          <w:rFonts w:ascii="Arial" w:hAnsi="Arial" w:cs="Arial"/>
        </w:rPr>
        <w:t>).</w:t>
      </w:r>
    </w:p>
    <w:p w:rsidR="00990216" w:rsidRPr="00375FD4" w:rsidRDefault="00990216" w:rsidP="00990216">
      <w:pPr>
        <w:spacing w:before="0" w:after="0"/>
        <w:ind w:left="360"/>
        <w:rPr>
          <w:rFonts w:ascii="Arial" w:hAnsi="Arial" w:cs="Arial"/>
          <w:b/>
          <w:color w:val="FF0000"/>
        </w:rPr>
      </w:pPr>
    </w:p>
    <w:p w:rsidR="00990216" w:rsidRPr="00375FD4" w:rsidRDefault="00990216" w:rsidP="00692729">
      <w:pPr>
        <w:spacing w:before="0" w:after="0"/>
        <w:rPr>
          <w:rFonts w:ascii="Arial" w:hAnsi="Arial" w:cs="Arial"/>
          <w:b/>
        </w:rPr>
      </w:pPr>
      <w:r w:rsidRPr="00375FD4">
        <w:rPr>
          <w:rFonts w:ascii="Arial" w:hAnsi="Arial" w:cs="Arial"/>
          <w:b/>
        </w:rPr>
        <w:t>Note 4 – Analysis of Material Amounts in Income and Expenditure Account</w:t>
      </w:r>
    </w:p>
    <w:p w:rsidR="00990216" w:rsidRPr="00375FD4" w:rsidRDefault="00990216" w:rsidP="00990216">
      <w:pPr>
        <w:spacing w:before="0" w:after="0"/>
        <w:ind w:left="360" w:hanging="720"/>
        <w:rPr>
          <w:rFonts w:ascii="Arial" w:hAnsi="Arial" w:cs="Arial"/>
        </w:rPr>
      </w:pPr>
    </w:p>
    <w:p w:rsidR="00990216" w:rsidRPr="00375FD4" w:rsidRDefault="00990216" w:rsidP="00692729">
      <w:pPr>
        <w:spacing w:before="0" w:after="0"/>
        <w:jc w:val="both"/>
        <w:rPr>
          <w:rFonts w:ascii="Arial" w:hAnsi="Arial" w:cs="Arial"/>
        </w:rPr>
      </w:pPr>
      <w:r w:rsidRPr="00375FD4">
        <w:rPr>
          <w:rFonts w:ascii="Arial" w:hAnsi="Arial" w:cs="Arial"/>
        </w:rPr>
        <w:t>The following tab</w:t>
      </w:r>
      <w:r w:rsidR="002E7DAC">
        <w:rPr>
          <w:rFonts w:ascii="Arial" w:hAnsi="Arial" w:cs="Arial"/>
        </w:rPr>
        <w:t>le provides an analysis of the c</w:t>
      </w:r>
      <w:r w:rsidRPr="00375FD4">
        <w:rPr>
          <w:rFonts w:ascii="Arial" w:hAnsi="Arial" w:cs="Arial"/>
        </w:rPr>
        <w:t>ouncil’s share of the material amounts as a result of the inclusion of the associates and subsidiaries.</w:t>
      </w:r>
    </w:p>
    <w:p w:rsidR="00990216" w:rsidRPr="00375FD4" w:rsidRDefault="00990216" w:rsidP="00990216">
      <w:pPr>
        <w:spacing w:before="0" w:after="0"/>
        <w:rPr>
          <w:rFonts w:ascii="Arial" w:hAnsi="Arial" w:cs="Arial"/>
          <w:b/>
          <w:color w:val="FF0000"/>
        </w:rPr>
      </w:pPr>
    </w:p>
    <w:p w:rsidR="00990216" w:rsidRPr="00375FD4" w:rsidRDefault="00990216" w:rsidP="00692729">
      <w:pPr>
        <w:spacing w:before="0" w:after="0"/>
        <w:rPr>
          <w:rFonts w:ascii="Arial" w:hAnsi="Arial" w:cs="Arial"/>
          <w:b/>
        </w:rPr>
      </w:pPr>
      <w:r w:rsidRPr="00375FD4">
        <w:rPr>
          <w:rFonts w:ascii="Arial" w:hAnsi="Arial" w:cs="Arial"/>
          <w:b/>
        </w:rPr>
        <w:t>Contribution to Group Income and Expenditure Reserve:</w:t>
      </w:r>
    </w:p>
    <w:p w:rsidR="00990216" w:rsidRPr="00375FD4" w:rsidRDefault="00990216" w:rsidP="00990216">
      <w:pPr>
        <w:spacing w:before="0" w:after="0"/>
        <w:ind w:left="360"/>
        <w:rPr>
          <w:rFonts w:ascii="Arial" w:hAnsi="Arial" w:cs="Arial"/>
          <w:b/>
        </w:rPr>
      </w:pPr>
    </w:p>
    <w:p w:rsidR="00B16435" w:rsidRDefault="00872F19" w:rsidP="00A71917">
      <w:pPr>
        <w:spacing w:before="0" w:after="0"/>
        <w:ind w:left="360" w:firstLine="156"/>
        <w:rPr>
          <w:rFonts w:asciiTheme="minorHAnsi" w:eastAsiaTheme="minorHAnsi" w:hAnsiTheme="minorHAnsi" w:cstheme="minorBidi"/>
          <w:sz w:val="22"/>
          <w:szCs w:val="22"/>
        </w:rPr>
      </w:pPr>
      <w:r w:rsidRPr="00872F19">
        <w:rPr>
          <w:rFonts w:eastAsiaTheme="minorHAnsi"/>
          <w:noProof/>
          <w:lang w:eastAsia="en-GB"/>
        </w:rPr>
        <w:drawing>
          <wp:inline distT="0" distB="0" distL="0" distR="0">
            <wp:extent cx="4413250" cy="1771650"/>
            <wp:effectExtent l="0" t="0" r="6350" b="0"/>
            <wp:docPr id="45" name="Picture 45" descr="contribution to group income and expenditure" title="group accou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4413250" cy="1771650"/>
                    </a:xfrm>
                    <a:prstGeom prst="rect">
                      <a:avLst/>
                    </a:prstGeom>
                    <a:noFill/>
                    <a:ln>
                      <a:noFill/>
                    </a:ln>
                  </pic:spPr>
                </pic:pic>
              </a:graphicData>
            </a:graphic>
          </wp:inline>
        </w:drawing>
      </w:r>
    </w:p>
    <w:p w:rsidR="000A3FCB" w:rsidRDefault="000A3FCB" w:rsidP="00A71917">
      <w:pPr>
        <w:spacing w:before="0" w:after="0"/>
        <w:ind w:left="360" w:firstLine="156"/>
        <w:rPr>
          <w:rFonts w:asciiTheme="minorHAnsi" w:eastAsiaTheme="minorHAnsi" w:hAnsiTheme="minorHAnsi" w:cstheme="minorBidi"/>
          <w:sz w:val="22"/>
          <w:szCs w:val="22"/>
        </w:rPr>
      </w:pPr>
    </w:p>
    <w:p w:rsidR="00C90BA6" w:rsidRDefault="00C90BA6" w:rsidP="00C90BA6">
      <w:pPr>
        <w:spacing w:before="0" w:after="0"/>
        <w:rPr>
          <w:rFonts w:ascii="Arial" w:hAnsi="Arial" w:cs="Arial"/>
          <w:b/>
        </w:rPr>
      </w:pPr>
      <w:r>
        <w:rPr>
          <w:rFonts w:ascii="Arial" w:hAnsi="Arial" w:cs="Arial"/>
          <w:b/>
        </w:rPr>
        <w:t>Note 5</w:t>
      </w:r>
      <w:r w:rsidRPr="00375FD4">
        <w:rPr>
          <w:rFonts w:ascii="Arial" w:hAnsi="Arial" w:cs="Arial"/>
          <w:b/>
        </w:rPr>
        <w:t xml:space="preserve"> – </w:t>
      </w:r>
      <w:r>
        <w:rPr>
          <w:rFonts w:ascii="Arial" w:hAnsi="Arial" w:cs="Arial"/>
          <w:b/>
        </w:rPr>
        <w:t>Major Sources of Estimation Uncertainty</w:t>
      </w:r>
    </w:p>
    <w:p w:rsidR="00C90BA6" w:rsidRDefault="00C90BA6" w:rsidP="00C90BA6">
      <w:pPr>
        <w:spacing w:before="0" w:after="0"/>
        <w:rPr>
          <w:rFonts w:ascii="Arial" w:hAnsi="Arial" w:cs="Arial"/>
          <w:b/>
        </w:rPr>
      </w:pPr>
    </w:p>
    <w:p w:rsidR="00C90BA6" w:rsidRPr="00C90BA6" w:rsidRDefault="00C90BA6" w:rsidP="00C90BA6">
      <w:pPr>
        <w:spacing w:before="0" w:after="0"/>
        <w:rPr>
          <w:rFonts w:ascii="Arial" w:hAnsi="Arial" w:cs="Arial"/>
        </w:rPr>
      </w:pPr>
      <w:r w:rsidRPr="00C90BA6">
        <w:rPr>
          <w:rFonts w:ascii="Arial" w:hAnsi="Arial" w:cs="Arial"/>
          <w:b/>
        </w:rPr>
        <w:t>Covid -19</w:t>
      </w:r>
      <w:r>
        <w:rPr>
          <w:rFonts w:ascii="Arial" w:hAnsi="Arial" w:cs="Arial"/>
        </w:rPr>
        <w:t xml:space="preserve"> – similar to the uncertainty noted for the Council in Note 1, valuations of </w:t>
      </w:r>
      <w:r w:rsidR="002F0DAB">
        <w:rPr>
          <w:rFonts w:ascii="Arial" w:hAnsi="Arial" w:cs="Arial"/>
        </w:rPr>
        <w:t xml:space="preserve">Non Current Assets </w:t>
      </w:r>
      <w:r>
        <w:rPr>
          <w:rFonts w:ascii="Arial" w:hAnsi="Arial" w:cs="Arial"/>
        </w:rPr>
        <w:t xml:space="preserve">are subject to material value uncertainty for other group entities. </w:t>
      </w:r>
      <w:r w:rsidR="002F0DAB">
        <w:rPr>
          <w:rFonts w:ascii="Arial" w:hAnsi="Arial" w:cs="Arial"/>
        </w:rPr>
        <w:t>For avoidance of doubt, the inclusion of this declaration does not mean that the valuation cannot be relied upon, rather that it has been included to ensure transparency. Although this remains a generic uncertainty, it has been particularly highlighted for the Partnership for Transport.</w:t>
      </w:r>
    </w:p>
    <w:p w:rsidR="000A3FCB" w:rsidRDefault="000A3FCB" w:rsidP="00C90BA6">
      <w:pPr>
        <w:spacing w:before="0" w:after="0"/>
        <w:rPr>
          <w:rFonts w:asciiTheme="minorHAnsi" w:eastAsiaTheme="minorHAnsi" w:hAnsiTheme="minorHAnsi" w:cstheme="minorBidi"/>
          <w:sz w:val="22"/>
          <w:szCs w:val="22"/>
        </w:rPr>
      </w:pPr>
    </w:p>
    <w:p w:rsidR="000A3FCB" w:rsidRDefault="000A3FCB" w:rsidP="00A71917">
      <w:pPr>
        <w:spacing w:before="0" w:after="0"/>
        <w:ind w:left="360" w:firstLine="156"/>
        <w:rPr>
          <w:rFonts w:asciiTheme="minorHAnsi" w:eastAsiaTheme="minorHAnsi" w:hAnsiTheme="minorHAnsi" w:cstheme="minorBidi"/>
          <w:sz w:val="22"/>
          <w:szCs w:val="22"/>
        </w:rPr>
      </w:pPr>
    </w:p>
    <w:p w:rsidR="00C43E22" w:rsidRDefault="00C43E22" w:rsidP="00A71917">
      <w:pPr>
        <w:spacing w:before="0" w:after="0"/>
        <w:ind w:left="360" w:firstLine="156"/>
        <w:rPr>
          <w:rFonts w:asciiTheme="minorHAnsi" w:eastAsiaTheme="minorHAnsi" w:hAnsiTheme="minorHAnsi" w:cstheme="minorBidi"/>
          <w:sz w:val="22"/>
          <w:szCs w:val="22"/>
        </w:rPr>
      </w:pPr>
    </w:p>
    <w:p w:rsidR="00C43E22" w:rsidRDefault="00C43E22" w:rsidP="00A71917">
      <w:pPr>
        <w:spacing w:before="0" w:after="0"/>
        <w:ind w:left="360" w:firstLine="156"/>
        <w:rPr>
          <w:rFonts w:asciiTheme="minorHAnsi" w:eastAsiaTheme="minorHAnsi" w:hAnsiTheme="minorHAnsi" w:cstheme="minorBidi"/>
          <w:sz w:val="22"/>
          <w:szCs w:val="22"/>
        </w:rPr>
      </w:pPr>
    </w:p>
    <w:p w:rsidR="00C43E22" w:rsidRDefault="00C43E22" w:rsidP="00A71917">
      <w:pPr>
        <w:spacing w:before="0" w:after="0"/>
        <w:ind w:left="360" w:firstLine="156"/>
        <w:rPr>
          <w:rFonts w:asciiTheme="minorHAnsi" w:eastAsiaTheme="minorHAnsi" w:hAnsiTheme="minorHAnsi" w:cstheme="minorBidi"/>
          <w:sz w:val="22"/>
          <w:szCs w:val="22"/>
        </w:rPr>
      </w:pPr>
    </w:p>
    <w:p w:rsidR="00912D5E" w:rsidRDefault="00912D5E" w:rsidP="00746DB7">
      <w:pPr>
        <w:spacing w:before="0" w:after="0"/>
        <w:rPr>
          <w:rFonts w:ascii="Arial" w:hAnsi="Arial" w:cs="Arial"/>
          <w:b/>
          <w:sz w:val="24"/>
          <w:szCs w:val="24"/>
        </w:rPr>
      </w:pPr>
    </w:p>
    <w:p w:rsidR="00746DB7" w:rsidRDefault="007944CD" w:rsidP="00746DB7">
      <w:pPr>
        <w:spacing w:before="0" w:after="0"/>
        <w:rPr>
          <w:rFonts w:ascii="Arial" w:hAnsi="Arial" w:cs="Arial"/>
          <w:b/>
          <w:sz w:val="24"/>
          <w:szCs w:val="24"/>
        </w:rPr>
      </w:pPr>
      <w:r>
        <w:rPr>
          <w:rFonts w:ascii="Arial" w:hAnsi="Arial" w:cs="Arial"/>
          <w:b/>
          <w:sz w:val="24"/>
          <w:szCs w:val="24"/>
        </w:rPr>
        <w:lastRenderedPageBreak/>
        <w:t>G</w:t>
      </w:r>
      <w:r w:rsidR="00746DB7">
        <w:rPr>
          <w:rFonts w:ascii="Arial" w:hAnsi="Arial" w:cs="Arial"/>
          <w:b/>
          <w:sz w:val="24"/>
          <w:szCs w:val="24"/>
        </w:rPr>
        <w:t xml:space="preserve">eneral </w:t>
      </w:r>
      <w:r w:rsidR="00746DB7" w:rsidRPr="00746DB7">
        <w:rPr>
          <w:rFonts w:ascii="Arial" w:hAnsi="Arial" w:cs="Arial"/>
          <w:b/>
          <w:sz w:val="24"/>
          <w:szCs w:val="24"/>
        </w:rPr>
        <w:t>Accounting Policies</w:t>
      </w:r>
      <w:r w:rsidR="00EB691C">
        <w:rPr>
          <w:rFonts w:ascii="Arial" w:hAnsi="Arial" w:cs="Arial"/>
          <w:b/>
          <w:sz w:val="24"/>
          <w:szCs w:val="24"/>
        </w:rPr>
        <w:t xml:space="preserve"> and Information</w:t>
      </w:r>
    </w:p>
    <w:p w:rsidR="009D7DFF" w:rsidRDefault="009D7DFF" w:rsidP="00746DB7">
      <w:pPr>
        <w:spacing w:before="0" w:after="0"/>
        <w:rPr>
          <w:rFonts w:ascii="Arial" w:hAnsi="Arial" w:cs="Arial"/>
          <w:b/>
          <w:sz w:val="24"/>
          <w:szCs w:val="24"/>
        </w:rPr>
      </w:pPr>
    </w:p>
    <w:p w:rsidR="009D7DFF" w:rsidRPr="00375FD4" w:rsidRDefault="00EA05CA" w:rsidP="009D7DFF">
      <w:pPr>
        <w:spacing w:before="0" w:after="0"/>
        <w:jc w:val="both"/>
        <w:rPr>
          <w:rFonts w:ascii="Arial" w:hAnsi="Arial" w:cs="Arial"/>
          <w:b/>
        </w:rPr>
      </w:pPr>
      <w:r>
        <w:rPr>
          <w:rFonts w:ascii="Arial" w:hAnsi="Arial" w:cs="Arial"/>
          <w:b/>
        </w:rPr>
        <w:t>Note 32</w:t>
      </w:r>
      <w:r w:rsidR="009D7DFF">
        <w:rPr>
          <w:rFonts w:ascii="Arial" w:hAnsi="Arial" w:cs="Arial"/>
          <w:b/>
        </w:rPr>
        <w:t xml:space="preserve"> - Accounting Policies</w:t>
      </w:r>
    </w:p>
    <w:p w:rsidR="00746DB7" w:rsidRPr="00375FD4" w:rsidRDefault="00746DB7" w:rsidP="00746DB7">
      <w:pPr>
        <w:spacing w:before="0" w:after="0"/>
        <w:rPr>
          <w:rFonts w:ascii="Arial" w:hAnsi="Arial" w:cs="Arial"/>
        </w:rPr>
      </w:pPr>
    </w:p>
    <w:p w:rsidR="00746DB7" w:rsidRPr="00375FD4" w:rsidRDefault="00746DB7" w:rsidP="00EA6E47">
      <w:pPr>
        <w:pStyle w:val="ListParagraph"/>
        <w:numPr>
          <w:ilvl w:val="0"/>
          <w:numId w:val="9"/>
        </w:numPr>
        <w:spacing w:before="0" w:after="0"/>
        <w:ind w:left="426"/>
        <w:contextualSpacing w:val="0"/>
        <w:jc w:val="both"/>
        <w:rPr>
          <w:rFonts w:ascii="Arial" w:hAnsi="Arial" w:cs="Arial"/>
          <w:b/>
          <w:bCs/>
        </w:rPr>
      </w:pPr>
      <w:r w:rsidRPr="00375FD4">
        <w:rPr>
          <w:rFonts w:ascii="Arial" w:hAnsi="Arial" w:cs="Arial"/>
          <w:b/>
          <w:bCs/>
        </w:rPr>
        <w:t>General Principles</w:t>
      </w:r>
    </w:p>
    <w:p w:rsidR="00746DB7" w:rsidRPr="00375FD4" w:rsidRDefault="00746DB7" w:rsidP="00746DB7">
      <w:pPr>
        <w:pStyle w:val="ListParagraph"/>
        <w:spacing w:before="0" w:after="0"/>
        <w:ind w:left="360"/>
        <w:jc w:val="both"/>
        <w:rPr>
          <w:rFonts w:ascii="Arial" w:hAnsi="Arial" w:cs="Arial"/>
          <w:b/>
          <w:bCs/>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The Financial Statements summaris</w:t>
      </w:r>
      <w:r w:rsidR="002E7DAC">
        <w:rPr>
          <w:rFonts w:ascii="Arial" w:hAnsi="Arial" w:cs="Arial"/>
        </w:rPr>
        <w:t>es the c</w:t>
      </w:r>
      <w:r w:rsidRPr="00375FD4">
        <w:rPr>
          <w:rFonts w:ascii="Arial" w:hAnsi="Arial" w:cs="Arial"/>
        </w:rPr>
        <w:t>ou</w:t>
      </w:r>
      <w:r>
        <w:rPr>
          <w:rFonts w:ascii="Arial" w:hAnsi="Arial" w:cs="Arial"/>
        </w:rPr>
        <w:t>ncil’s transactions for the 201</w:t>
      </w:r>
      <w:r w:rsidR="00912D5E">
        <w:rPr>
          <w:rFonts w:ascii="Arial" w:hAnsi="Arial" w:cs="Arial"/>
        </w:rPr>
        <w:t>9/20</w:t>
      </w:r>
      <w:r w:rsidRPr="00375FD4">
        <w:rPr>
          <w:rFonts w:ascii="Arial" w:hAnsi="Arial" w:cs="Arial"/>
        </w:rPr>
        <w:t xml:space="preserve"> financial year and its position </w:t>
      </w:r>
      <w:r w:rsidR="00912D5E">
        <w:rPr>
          <w:rFonts w:ascii="Arial" w:hAnsi="Arial" w:cs="Arial"/>
        </w:rPr>
        <w:t>at the year end of 31 March 2020</w:t>
      </w:r>
      <w:r w:rsidR="002E7DAC">
        <w:rPr>
          <w:rFonts w:ascii="Arial" w:hAnsi="Arial" w:cs="Arial"/>
        </w:rPr>
        <w:t>. The c</w:t>
      </w:r>
      <w:r w:rsidRPr="00375FD4">
        <w:rPr>
          <w:rFonts w:ascii="Arial" w:hAnsi="Arial" w:cs="Arial"/>
        </w:rPr>
        <w:t>ouncil is required to prepare an Annual Statement of Accounts by the Local Authority Accou</w:t>
      </w:r>
      <w:r w:rsidR="006330AA">
        <w:rPr>
          <w:rFonts w:ascii="Arial" w:hAnsi="Arial" w:cs="Arial"/>
        </w:rPr>
        <w:t>nts (Scotland) Regulations 2014</w:t>
      </w:r>
      <w:r w:rsidRPr="00375FD4">
        <w:rPr>
          <w:rFonts w:ascii="Arial" w:hAnsi="Arial" w:cs="Arial"/>
        </w:rPr>
        <w:t>. Section 12 of the Local Government in Scotland Act 2003 requires they be prepared in accordance with proper accounting practices. These practices primarily comprise the Code of Practice on Local Authority Accou</w:t>
      </w:r>
      <w:r w:rsidR="00912D5E">
        <w:rPr>
          <w:rFonts w:ascii="Arial" w:hAnsi="Arial" w:cs="Arial"/>
        </w:rPr>
        <w:t>nting in the United Kingdom 2019/20</w:t>
      </w:r>
      <w:r w:rsidRPr="00375FD4">
        <w:rPr>
          <w:rFonts w:ascii="Arial" w:hAnsi="Arial" w:cs="Arial"/>
        </w:rPr>
        <w:t xml:space="preserve"> (“the code”) and the Service</w:t>
      </w:r>
      <w:r>
        <w:rPr>
          <w:rFonts w:ascii="Arial" w:hAnsi="Arial" w:cs="Arial"/>
        </w:rPr>
        <w:t xml:space="preserve"> Reporting Code of P</w:t>
      </w:r>
      <w:r w:rsidR="00912D5E">
        <w:rPr>
          <w:rFonts w:ascii="Arial" w:hAnsi="Arial" w:cs="Arial"/>
        </w:rPr>
        <w:t>ractice 2019/20</w:t>
      </w:r>
      <w:r w:rsidRPr="00375FD4">
        <w:rPr>
          <w:rFonts w:ascii="Arial" w:hAnsi="Arial" w:cs="Arial"/>
        </w:rPr>
        <w:t>, supported by International Financial Reporting Standards (IFRS).</w:t>
      </w:r>
    </w:p>
    <w:p w:rsidR="00746DB7" w:rsidRPr="00375FD4" w:rsidRDefault="00746DB7" w:rsidP="00692729">
      <w:pPr>
        <w:pStyle w:val="ListParagraph"/>
        <w:spacing w:before="0" w:after="0"/>
        <w:ind w:left="0"/>
        <w:rPr>
          <w:rFonts w:ascii="Arial" w:hAnsi="Arial" w:cs="Arial"/>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The accounting convention adopted in the Financial Statements is principally historic cost, modified by the revaluation of certain categories of non-current assets and financial instruments.</w:t>
      </w:r>
      <w:r>
        <w:rPr>
          <w:rFonts w:ascii="Arial" w:hAnsi="Arial" w:cs="Arial"/>
        </w:rPr>
        <w:t xml:space="preserve"> The convention also </w:t>
      </w:r>
      <w:r w:rsidR="002E7DAC">
        <w:rPr>
          <w:rFonts w:ascii="Arial" w:hAnsi="Arial" w:cs="Arial"/>
        </w:rPr>
        <w:t>adopts the assumption that the c</w:t>
      </w:r>
      <w:r>
        <w:rPr>
          <w:rFonts w:ascii="Arial" w:hAnsi="Arial" w:cs="Arial"/>
        </w:rPr>
        <w:t>ouncil will continue as a going concern for the foreseeable future.</w:t>
      </w:r>
    </w:p>
    <w:p w:rsidR="00746DB7" w:rsidRPr="00375FD4" w:rsidRDefault="00746DB7" w:rsidP="00522D7C">
      <w:pPr>
        <w:pStyle w:val="ListParagraph"/>
        <w:spacing w:before="0" w:after="0"/>
        <w:ind w:left="0"/>
        <w:rPr>
          <w:rFonts w:ascii="Arial" w:hAnsi="Arial" w:cs="Arial"/>
        </w:rPr>
      </w:pPr>
    </w:p>
    <w:p w:rsidR="00746DB7" w:rsidRPr="00375FD4" w:rsidRDefault="00746DB7" w:rsidP="00EA6E47">
      <w:pPr>
        <w:pStyle w:val="ListParagraph"/>
        <w:numPr>
          <w:ilvl w:val="0"/>
          <w:numId w:val="9"/>
        </w:numPr>
        <w:spacing w:before="0" w:after="0"/>
        <w:ind w:left="426"/>
        <w:contextualSpacing w:val="0"/>
        <w:rPr>
          <w:rFonts w:ascii="Arial" w:hAnsi="Arial" w:cs="Arial"/>
          <w:b/>
          <w:bCs/>
        </w:rPr>
      </w:pPr>
      <w:r w:rsidRPr="00375FD4">
        <w:rPr>
          <w:rFonts w:ascii="Arial" w:hAnsi="Arial" w:cs="Arial"/>
          <w:b/>
          <w:bCs/>
        </w:rPr>
        <w:t>Accruals of Income and Expenditure</w:t>
      </w:r>
    </w:p>
    <w:p w:rsidR="00746DB7" w:rsidRPr="00375FD4" w:rsidRDefault="00746DB7" w:rsidP="00522D7C">
      <w:pPr>
        <w:pStyle w:val="ListParagraph"/>
        <w:spacing w:before="0" w:after="0"/>
        <w:ind w:left="360"/>
        <w:rPr>
          <w:rFonts w:ascii="Arial" w:hAnsi="Arial" w:cs="Arial"/>
          <w:b/>
          <w:bCs/>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Activity is accounted for in the year that it takes place, not simply when payment is made or received. In particular:</w:t>
      </w:r>
    </w:p>
    <w:p w:rsidR="00746DB7" w:rsidRPr="00375FD4" w:rsidRDefault="00746DB7" w:rsidP="00522D7C">
      <w:pPr>
        <w:pStyle w:val="ListParagraph"/>
        <w:spacing w:before="0" w:after="0"/>
        <w:rPr>
          <w:rFonts w:ascii="Arial" w:hAnsi="Arial" w:cs="Arial"/>
        </w:rPr>
      </w:pPr>
    </w:p>
    <w:p w:rsidR="00746DB7" w:rsidRPr="009A1704"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revenue from sale o</w:t>
      </w:r>
      <w:r w:rsidR="002E7DAC">
        <w:rPr>
          <w:rFonts w:ascii="Arial" w:hAnsi="Arial" w:cs="Arial"/>
        </w:rPr>
        <w:t>f goods is recognised when the c</w:t>
      </w:r>
      <w:r w:rsidRPr="00375FD4">
        <w:rPr>
          <w:rFonts w:ascii="Arial" w:hAnsi="Arial" w:cs="Arial"/>
        </w:rPr>
        <w:t>ouncil transfers the significant risks and rewards of ownership to the purchaser and when it is probable that the economic benefits associated with th</w:t>
      </w:r>
      <w:r w:rsidR="001C2895">
        <w:rPr>
          <w:rFonts w:ascii="Arial" w:hAnsi="Arial" w:cs="Arial"/>
        </w:rPr>
        <w:t>e tr</w:t>
      </w:r>
      <w:r w:rsidR="002E7DAC">
        <w:rPr>
          <w:rFonts w:ascii="Arial" w:hAnsi="Arial" w:cs="Arial"/>
        </w:rPr>
        <w:t>ansaction will flow to the c</w:t>
      </w:r>
      <w:r w:rsidRPr="00375FD4">
        <w:rPr>
          <w:rFonts w:ascii="Arial" w:hAnsi="Arial" w:cs="Arial"/>
        </w:rPr>
        <w:t>ouncil;</w:t>
      </w:r>
    </w:p>
    <w:p w:rsidR="00746DB7" w:rsidRPr="009A1704"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revenue from the provision of s</w:t>
      </w:r>
      <w:r w:rsidR="002E7DAC">
        <w:rPr>
          <w:rFonts w:ascii="Arial" w:hAnsi="Arial" w:cs="Arial"/>
        </w:rPr>
        <w:t>ervices is recognised when the c</w:t>
      </w:r>
      <w:r w:rsidRPr="00375FD4">
        <w:rPr>
          <w:rFonts w:ascii="Arial" w:hAnsi="Arial" w:cs="Arial"/>
        </w:rPr>
        <w:t xml:space="preserve">ouncil can measure reliably the percentage of completion of the transaction and when it is probable that the economic benefits associated with the </w:t>
      </w:r>
      <w:r w:rsidR="001C2895">
        <w:rPr>
          <w:rFonts w:ascii="Arial" w:hAnsi="Arial" w:cs="Arial"/>
        </w:rPr>
        <w:t>transactio</w:t>
      </w:r>
      <w:r w:rsidR="002E7DAC">
        <w:rPr>
          <w:rFonts w:ascii="Arial" w:hAnsi="Arial" w:cs="Arial"/>
        </w:rPr>
        <w:t>n will flow to the c</w:t>
      </w:r>
      <w:r w:rsidRPr="00375FD4">
        <w:rPr>
          <w:rFonts w:ascii="Arial" w:hAnsi="Arial" w:cs="Arial"/>
        </w:rPr>
        <w:t>ouncil;</w:t>
      </w:r>
    </w:p>
    <w:p w:rsidR="00746DB7" w:rsidRPr="009A1704"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expenses in relation to services received are recorded as expenditure when the services are received, rather than when payment is made;</w:t>
      </w:r>
    </w:p>
    <w:p w:rsidR="00746DB7" w:rsidRPr="009A1704"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supplies are recorded as expenditure when they are consumed.  Where there is a gap between the date supplies are received and their consumption their value is carried as inventories on the Balance Sheet;</w:t>
      </w:r>
    </w:p>
    <w:p w:rsidR="00746DB7" w:rsidRPr="009A1704"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interest payable on borrowings and receivable on investments is accounted for on the basis of the effective interest rate for the relevant financial instrument, rather than on cash flows fixed or</w:t>
      </w:r>
      <w:r w:rsidR="0036004B">
        <w:rPr>
          <w:rFonts w:ascii="Arial" w:hAnsi="Arial" w:cs="Arial"/>
        </w:rPr>
        <w:t xml:space="preserve"> determined by the contract; </w:t>
      </w:r>
    </w:p>
    <w:p w:rsidR="00746DB7" w:rsidRDefault="00746DB7" w:rsidP="00EA6E47">
      <w:pPr>
        <w:pStyle w:val="ListParagraph"/>
        <w:numPr>
          <w:ilvl w:val="0"/>
          <w:numId w:val="10"/>
        </w:numPr>
        <w:spacing w:before="0" w:after="0"/>
        <w:ind w:left="426" w:hanging="425"/>
        <w:contextualSpacing w:val="0"/>
        <w:rPr>
          <w:rFonts w:ascii="Arial" w:hAnsi="Arial" w:cs="Arial"/>
        </w:rPr>
      </w:pPr>
      <w:r w:rsidRPr="00375FD4">
        <w:rPr>
          <w:rFonts w:ascii="Arial" w:hAnsi="Arial" w:cs="Arial"/>
        </w:rPr>
        <w:t>where income and expenditure have been recognised but cash has not been received or paid, a debtor or creditor for the relevant amount is recorded in the Balance Sheet. Where there is evidence that debts are unlikely to be settled, the balance of debtors is written down and charged to revenue for the inc</w:t>
      </w:r>
      <w:r w:rsidR="0036004B">
        <w:rPr>
          <w:rFonts w:ascii="Arial" w:hAnsi="Arial" w:cs="Arial"/>
        </w:rPr>
        <w:t>ome that might not be collected; and</w:t>
      </w:r>
    </w:p>
    <w:p w:rsidR="0036004B" w:rsidRPr="0036004B" w:rsidRDefault="0036004B" w:rsidP="00EA6E47">
      <w:pPr>
        <w:pStyle w:val="ListParagraph"/>
        <w:numPr>
          <w:ilvl w:val="0"/>
          <w:numId w:val="10"/>
        </w:numPr>
        <w:spacing w:before="0" w:after="0"/>
        <w:ind w:left="426" w:hanging="425"/>
        <w:contextualSpacing w:val="0"/>
        <w:rPr>
          <w:rFonts w:ascii="Arial" w:hAnsi="Arial" w:cs="Arial"/>
        </w:rPr>
      </w:pPr>
      <w:r w:rsidRPr="0036004B">
        <w:rPr>
          <w:rFonts w:ascii="Arial" w:hAnsi="Arial" w:cs="Arial"/>
        </w:rPr>
        <w:t xml:space="preserve">Revenue from contracts with service recipients, whether for services or the provision of goods, is recognised when (or as) the goods or services are transferred to the service recipient in accordance with the performance obligations in the contract. </w:t>
      </w:r>
    </w:p>
    <w:p w:rsidR="00746DB7" w:rsidRPr="0036004B" w:rsidRDefault="00746DB7" w:rsidP="0036004B">
      <w:pPr>
        <w:pStyle w:val="ListParagraph"/>
        <w:spacing w:before="0" w:after="0"/>
        <w:ind w:left="426"/>
        <w:contextualSpacing w:val="0"/>
        <w:rPr>
          <w:rFonts w:ascii="Arial" w:hAnsi="Arial" w:cs="Arial"/>
        </w:rPr>
      </w:pPr>
    </w:p>
    <w:p w:rsidR="00746DB7" w:rsidRPr="00375FD4" w:rsidRDefault="00746DB7" w:rsidP="00EA6E47">
      <w:pPr>
        <w:pStyle w:val="ListParagraph"/>
        <w:numPr>
          <w:ilvl w:val="0"/>
          <w:numId w:val="9"/>
        </w:numPr>
        <w:spacing w:before="0" w:after="0"/>
        <w:ind w:left="426"/>
        <w:contextualSpacing w:val="0"/>
        <w:rPr>
          <w:rFonts w:ascii="Arial" w:hAnsi="Arial" w:cs="Arial"/>
          <w:b/>
          <w:bCs/>
        </w:rPr>
      </w:pPr>
      <w:r w:rsidRPr="00375FD4">
        <w:rPr>
          <w:rFonts w:ascii="Arial" w:hAnsi="Arial" w:cs="Arial"/>
          <w:b/>
          <w:bCs/>
        </w:rPr>
        <w:t>Changes in Accounting policies, Estimates and Errors</w:t>
      </w:r>
    </w:p>
    <w:p w:rsidR="00746DB7" w:rsidRPr="00375FD4" w:rsidRDefault="00746DB7" w:rsidP="00522D7C">
      <w:pPr>
        <w:pStyle w:val="ListParagraph"/>
        <w:spacing w:before="0" w:after="0"/>
        <w:ind w:left="360"/>
        <w:rPr>
          <w:rFonts w:ascii="Arial" w:hAnsi="Arial" w:cs="Arial"/>
          <w:b/>
          <w:bCs/>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Changes in accounting policies are only made when required by proper accounting practices or the change provides more reliable or relevant information about the effect of transaction</w:t>
      </w:r>
      <w:r w:rsidR="002E7DAC">
        <w:rPr>
          <w:rFonts w:ascii="Arial" w:hAnsi="Arial" w:cs="Arial"/>
        </w:rPr>
        <w:t>s, events or conditions on the c</w:t>
      </w:r>
      <w:r w:rsidRPr="00375FD4">
        <w:rPr>
          <w:rFonts w:ascii="Arial" w:hAnsi="Arial" w:cs="Arial"/>
        </w:rPr>
        <w:t>ouncil’s financial position or performance. Where a change is made, it is applied retrospectively by adjusting opening balances and comparative figures, as if the new policy has always been applied.</w:t>
      </w:r>
    </w:p>
    <w:p w:rsidR="00746DB7" w:rsidRPr="00375FD4" w:rsidRDefault="00746DB7" w:rsidP="00692729">
      <w:pPr>
        <w:pStyle w:val="ListParagraph"/>
        <w:spacing w:before="0" w:after="0"/>
        <w:ind w:left="0"/>
        <w:rPr>
          <w:rFonts w:ascii="Arial" w:hAnsi="Arial" w:cs="Arial"/>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Changes in accounting estimates are accounted for prospectively, i.e. in the current and future years only.</w:t>
      </w:r>
    </w:p>
    <w:p w:rsidR="00746DB7" w:rsidRPr="00375FD4" w:rsidRDefault="00746DB7" w:rsidP="00692729">
      <w:pPr>
        <w:pStyle w:val="ListParagraph"/>
        <w:spacing w:before="0" w:after="0"/>
        <w:ind w:left="0"/>
        <w:rPr>
          <w:rFonts w:ascii="Arial" w:hAnsi="Arial" w:cs="Arial"/>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Material errors discovered in prior period figures are corrected retrospectively by amending opening balances and comparative figures.</w:t>
      </w:r>
    </w:p>
    <w:p w:rsidR="00374305" w:rsidRDefault="00374305" w:rsidP="00522D7C">
      <w:pPr>
        <w:spacing w:before="0" w:after="0"/>
        <w:jc w:val="both"/>
        <w:rPr>
          <w:rFonts w:ascii="Arial" w:hAnsi="Arial" w:cs="Arial"/>
          <w:b/>
          <w:sz w:val="24"/>
          <w:szCs w:val="24"/>
        </w:rPr>
      </w:pPr>
      <w:r>
        <w:rPr>
          <w:rFonts w:ascii="Arial" w:hAnsi="Arial" w:cs="Arial"/>
          <w:b/>
          <w:sz w:val="24"/>
          <w:szCs w:val="24"/>
        </w:rPr>
        <w:lastRenderedPageBreak/>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374305" w:rsidRDefault="00374305" w:rsidP="00522D7C">
      <w:pPr>
        <w:pStyle w:val="ListParagraph"/>
        <w:spacing w:before="0" w:after="0"/>
        <w:jc w:val="both"/>
        <w:rPr>
          <w:rFonts w:ascii="Arial" w:hAnsi="Arial" w:cs="Arial"/>
        </w:rPr>
      </w:pPr>
    </w:p>
    <w:p w:rsidR="00374305" w:rsidRPr="00374305" w:rsidRDefault="00374305" w:rsidP="00522D7C">
      <w:pPr>
        <w:spacing w:before="0" w:after="0"/>
        <w:jc w:val="both"/>
        <w:rPr>
          <w:rFonts w:ascii="Arial" w:hAnsi="Arial" w:cs="Arial"/>
          <w:b/>
        </w:rPr>
      </w:pPr>
      <w:r>
        <w:rPr>
          <w:rFonts w:ascii="Arial" w:hAnsi="Arial" w:cs="Arial"/>
          <w:b/>
        </w:rPr>
        <w:t>Not</w:t>
      </w:r>
      <w:r w:rsidR="00EA05CA">
        <w:rPr>
          <w:rFonts w:ascii="Arial" w:hAnsi="Arial" w:cs="Arial"/>
          <w:b/>
        </w:rPr>
        <w:t>e 32</w:t>
      </w:r>
      <w:r>
        <w:rPr>
          <w:rFonts w:ascii="Arial" w:hAnsi="Arial" w:cs="Arial"/>
          <w:b/>
        </w:rPr>
        <w:t xml:space="preserve"> - Accounting Policies (Cont’d)</w:t>
      </w:r>
    </w:p>
    <w:p w:rsidR="00374305" w:rsidRPr="00375FD4" w:rsidRDefault="00374305" w:rsidP="00522D7C">
      <w:pPr>
        <w:pStyle w:val="ListParagraph"/>
        <w:spacing w:before="0" w:after="0"/>
        <w:jc w:val="both"/>
        <w:rPr>
          <w:rFonts w:ascii="Arial" w:hAnsi="Arial" w:cs="Arial"/>
        </w:rPr>
      </w:pPr>
    </w:p>
    <w:p w:rsidR="00746DB7" w:rsidRPr="00375FD4" w:rsidRDefault="00746DB7" w:rsidP="00EA6E47">
      <w:pPr>
        <w:pStyle w:val="ListParagraph"/>
        <w:numPr>
          <w:ilvl w:val="0"/>
          <w:numId w:val="9"/>
        </w:numPr>
        <w:spacing w:before="0" w:after="0"/>
        <w:ind w:left="426"/>
        <w:contextualSpacing w:val="0"/>
        <w:jc w:val="both"/>
        <w:rPr>
          <w:rFonts w:ascii="Arial" w:hAnsi="Arial" w:cs="Arial"/>
          <w:b/>
          <w:bCs/>
        </w:rPr>
      </w:pPr>
      <w:r w:rsidRPr="00375FD4">
        <w:rPr>
          <w:rFonts w:ascii="Arial" w:hAnsi="Arial" w:cs="Arial"/>
          <w:b/>
          <w:bCs/>
        </w:rPr>
        <w:t>Charges to Revenue for Property, Plant and Equipment</w:t>
      </w:r>
    </w:p>
    <w:p w:rsidR="00746DB7" w:rsidRPr="00375FD4" w:rsidRDefault="00746DB7" w:rsidP="00522D7C">
      <w:pPr>
        <w:pStyle w:val="ListParagraph"/>
        <w:spacing w:before="0" w:after="0"/>
        <w:jc w:val="both"/>
        <w:rPr>
          <w:rFonts w:ascii="Arial" w:hAnsi="Arial" w:cs="Arial"/>
          <w:b/>
          <w:bCs/>
        </w:rPr>
      </w:pPr>
    </w:p>
    <w:p w:rsidR="00746DB7" w:rsidRPr="00375FD4" w:rsidRDefault="00746DB7" w:rsidP="00692729">
      <w:pPr>
        <w:pStyle w:val="ListParagraph"/>
        <w:spacing w:before="0" w:after="0"/>
        <w:ind w:left="0"/>
        <w:rPr>
          <w:rFonts w:ascii="Arial" w:hAnsi="Arial" w:cs="Arial"/>
        </w:rPr>
      </w:pPr>
      <w:r w:rsidRPr="00375FD4">
        <w:rPr>
          <w:rFonts w:ascii="Arial" w:hAnsi="Arial" w:cs="Arial"/>
        </w:rPr>
        <w:t>Council Services and Trading Accounts are debited</w:t>
      </w:r>
      <w:r w:rsidR="00F55858">
        <w:rPr>
          <w:rFonts w:ascii="Arial" w:hAnsi="Arial" w:cs="Arial"/>
        </w:rPr>
        <w:t>/ credited</w:t>
      </w:r>
      <w:r w:rsidRPr="00375FD4">
        <w:rPr>
          <w:rFonts w:ascii="Arial" w:hAnsi="Arial" w:cs="Arial"/>
        </w:rPr>
        <w:t xml:space="preserve"> with the following amounts to record the cost of using or holding fixed assets during the year:</w:t>
      </w:r>
    </w:p>
    <w:p w:rsidR="00746DB7" w:rsidRPr="00375FD4" w:rsidRDefault="00746DB7" w:rsidP="00522D7C">
      <w:pPr>
        <w:pStyle w:val="ListParagraph"/>
        <w:spacing w:before="0" w:after="0"/>
        <w:rPr>
          <w:rFonts w:ascii="Arial" w:hAnsi="Arial" w:cs="Arial"/>
        </w:rPr>
      </w:pPr>
    </w:p>
    <w:p w:rsidR="00746DB7" w:rsidRPr="00F94AC9" w:rsidRDefault="00746DB7" w:rsidP="00EA6E47">
      <w:pPr>
        <w:pStyle w:val="ListParagraph"/>
        <w:numPr>
          <w:ilvl w:val="0"/>
          <w:numId w:val="11"/>
        </w:numPr>
        <w:spacing w:before="0" w:after="0"/>
        <w:ind w:left="426" w:hanging="425"/>
        <w:contextualSpacing w:val="0"/>
        <w:rPr>
          <w:rFonts w:ascii="Arial" w:hAnsi="Arial" w:cs="Arial"/>
        </w:rPr>
      </w:pPr>
      <w:r w:rsidRPr="00375FD4">
        <w:rPr>
          <w:rFonts w:ascii="Arial" w:hAnsi="Arial" w:cs="Arial"/>
        </w:rPr>
        <w:t>depreciation, attributable to the assets used by the relevant service or trading account;</w:t>
      </w:r>
    </w:p>
    <w:p w:rsidR="00746DB7" w:rsidRPr="00F94AC9" w:rsidRDefault="00746DB7" w:rsidP="00EA6E47">
      <w:pPr>
        <w:pStyle w:val="ListParagraph"/>
        <w:numPr>
          <w:ilvl w:val="0"/>
          <w:numId w:val="11"/>
        </w:numPr>
        <w:spacing w:before="0" w:after="0"/>
        <w:ind w:left="426" w:hanging="425"/>
        <w:contextualSpacing w:val="0"/>
        <w:rPr>
          <w:rFonts w:ascii="Arial" w:hAnsi="Arial" w:cs="Arial"/>
        </w:rPr>
      </w:pPr>
      <w:r w:rsidRPr="00375FD4">
        <w:rPr>
          <w:rFonts w:ascii="Arial" w:hAnsi="Arial" w:cs="Arial"/>
        </w:rPr>
        <w:t xml:space="preserve">revaluation and impairment losses, where there is no accumulated gain in the Revaluation Reserve; </w:t>
      </w:r>
    </w:p>
    <w:p w:rsidR="00746DB7" w:rsidRPr="00F94AC9" w:rsidRDefault="00746DB7" w:rsidP="00EA6E47">
      <w:pPr>
        <w:pStyle w:val="ListParagraph"/>
        <w:numPr>
          <w:ilvl w:val="0"/>
          <w:numId w:val="11"/>
        </w:numPr>
        <w:spacing w:before="0" w:after="0"/>
        <w:ind w:left="426" w:hanging="425"/>
        <w:contextualSpacing w:val="0"/>
        <w:rPr>
          <w:rFonts w:ascii="Arial" w:hAnsi="Arial" w:cs="Arial"/>
        </w:rPr>
      </w:pPr>
      <w:r w:rsidRPr="00375FD4">
        <w:rPr>
          <w:rFonts w:ascii="Arial" w:hAnsi="Arial" w:cs="Arial"/>
        </w:rPr>
        <w:t>revaluation gains, where these reverse an impairment loss previously charged to the service or trading account; and</w:t>
      </w:r>
    </w:p>
    <w:p w:rsidR="00746DB7" w:rsidRPr="00375FD4" w:rsidRDefault="00746DB7" w:rsidP="00EA6E47">
      <w:pPr>
        <w:pStyle w:val="ListParagraph"/>
        <w:numPr>
          <w:ilvl w:val="0"/>
          <w:numId w:val="11"/>
        </w:numPr>
        <w:spacing w:before="0" w:after="0"/>
        <w:ind w:left="426" w:hanging="425"/>
        <w:contextualSpacing w:val="0"/>
        <w:rPr>
          <w:rFonts w:ascii="Arial" w:hAnsi="Arial" w:cs="Arial"/>
        </w:rPr>
      </w:pPr>
      <w:r w:rsidRPr="00375FD4">
        <w:rPr>
          <w:rFonts w:ascii="Arial" w:hAnsi="Arial" w:cs="Arial"/>
        </w:rPr>
        <w:t>amortisation of intangible fixed assets.</w:t>
      </w:r>
    </w:p>
    <w:p w:rsidR="00746DB7" w:rsidRPr="00375FD4" w:rsidRDefault="00746DB7" w:rsidP="00522D7C">
      <w:pPr>
        <w:pStyle w:val="ListParagraph"/>
        <w:spacing w:before="0" w:after="0"/>
        <w:ind w:left="0"/>
        <w:jc w:val="both"/>
        <w:rPr>
          <w:rFonts w:ascii="Arial" w:hAnsi="Arial" w:cs="Arial"/>
        </w:rPr>
      </w:pPr>
    </w:p>
    <w:p w:rsidR="00746DB7" w:rsidRPr="00375FD4" w:rsidRDefault="002E7DAC" w:rsidP="00F94AC9">
      <w:pPr>
        <w:pStyle w:val="ListParagraph"/>
        <w:spacing w:before="0" w:after="0"/>
        <w:ind w:left="0"/>
        <w:rPr>
          <w:rFonts w:ascii="Arial" w:hAnsi="Arial" w:cs="Arial"/>
        </w:rPr>
      </w:pPr>
      <w:r>
        <w:rPr>
          <w:rFonts w:ascii="Arial" w:hAnsi="Arial" w:cs="Arial"/>
        </w:rPr>
        <w:t>The c</w:t>
      </w:r>
      <w:r w:rsidR="00746DB7" w:rsidRPr="00375FD4">
        <w:rPr>
          <w:rFonts w:ascii="Arial" w:hAnsi="Arial" w:cs="Arial"/>
        </w:rPr>
        <w:t>ouncil is not required to raise council tax to cover depreciation, revaluation gains or losses or impairment losses. However, it is required to make annual provision from revenue towards the reduction in its overall borrowing requirement.  Depreciation, revaluation and impairment losses and amortisations are replaced by the revenue provision in the General Fund by an adjustment within the Capital Adjustment Account in the Movement in Reserves Statement for the difference between the two.</w:t>
      </w:r>
    </w:p>
    <w:p w:rsidR="008319F2" w:rsidRDefault="008319F2" w:rsidP="00522D7C">
      <w:pPr>
        <w:spacing w:before="0" w:after="0"/>
        <w:rPr>
          <w:rFonts w:ascii="Arial" w:hAnsi="Arial" w:cs="Arial"/>
          <w:b/>
        </w:rPr>
      </w:pPr>
    </w:p>
    <w:p w:rsidR="008319F2" w:rsidRPr="00375FD4" w:rsidRDefault="008319F2" w:rsidP="00EA6E47">
      <w:pPr>
        <w:pStyle w:val="ListParagraph"/>
        <w:numPr>
          <w:ilvl w:val="0"/>
          <w:numId w:val="9"/>
        </w:numPr>
        <w:spacing w:before="0" w:after="0"/>
        <w:ind w:left="426"/>
        <w:contextualSpacing w:val="0"/>
        <w:rPr>
          <w:rFonts w:ascii="Arial" w:hAnsi="Arial" w:cs="Arial"/>
          <w:b/>
          <w:bCs/>
        </w:rPr>
      </w:pPr>
      <w:r w:rsidRPr="00375FD4">
        <w:rPr>
          <w:rFonts w:ascii="Arial" w:hAnsi="Arial" w:cs="Arial"/>
          <w:b/>
          <w:bCs/>
        </w:rPr>
        <w:t>Intangible assets</w:t>
      </w:r>
    </w:p>
    <w:p w:rsidR="008319F2" w:rsidRPr="00375FD4" w:rsidRDefault="008319F2" w:rsidP="00522D7C">
      <w:pPr>
        <w:pStyle w:val="ListParagraph"/>
        <w:spacing w:before="0" w:after="0"/>
        <w:ind w:left="0" w:firstLine="720"/>
        <w:rPr>
          <w:rFonts w:ascii="Arial" w:hAnsi="Arial" w:cs="Arial"/>
          <w:b/>
          <w:bCs/>
        </w:rPr>
      </w:pPr>
    </w:p>
    <w:p w:rsidR="008319F2" w:rsidRPr="00375FD4" w:rsidRDefault="008319F2" w:rsidP="00F94AC9">
      <w:pPr>
        <w:pStyle w:val="ListParagraph"/>
        <w:spacing w:before="0" w:after="0"/>
        <w:ind w:left="0"/>
        <w:rPr>
          <w:rFonts w:ascii="Arial" w:hAnsi="Arial" w:cs="Arial"/>
        </w:rPr>
      </w:pPr>
      <w:r w:rsidRPr="00375FD4">
        <w:rPr>
          <w:rFonts w:ascii="Arial" w:hAnsi="Arial" w:cs="Arial"/>
        </w:rPr>
        <w:t>Internally generated assets are capitalised where it is demonstrable that the project is technically feasible and is intended to be completed (with adequate reso</w:t>
      </w:r>
      <w:r w:rsidR="002E7DAC">
        <w:rPr>
          <w:rFonts w:ascii="Arial" w:hAnsi="Arial" w:cs="Arial"/>
        </w:rPr>
        <w:t>urces being available) and the c</w:t>
      </w:r>
      <w:r w:rsidRPr="00375FD4">
        <w:rPr>
          <w:rFonts w:ascii="Arial" w:hAnsi="Arial" w:cs="Arial"/>
        </w:rPr>
        <w:t>ouncil will be able to generate future economic benefits or deliver service potential by being able to sell or use the asset.  Expenditure is capitalised where it can be measured reliably as attributable to the asset and restricted to that incurred during the development phase (research expenditure is not capitalised).</w:t>
      </w:r>
    </w:p>
    <w:p w:rsidR="008319F2" w:rsidRPr="00375FD4" w:rsidRDefault="008319F2" w:rsidP="00F94AC9">
      <w:pPr>
        <w:pStyle w:val="ListParagraph"/>
        <w:spacing w:before="0" w:after="0"/>
        <w:ind w:left="0"/>
        <w:rPr>
          <w:rFonts w:ascii="Arial" w:hAnsi="Arial" w:cs="Arial"/>
        </w:rPr>
      </w:pPr>
    </w:p>
    <w:p w:rsidR="008319F2" w:rsidRPr="00375FD4" w:rsidRDefault="008319F2" w:rsidP="00F94AC9">
      <w:pPr>
        <w:pStyle w:val="ListParagraph"/>
        <w:spacing w:before="0" w:after="0"/>
        <w:ind w:left="0"/>
        <w:rPr>
          <w:rFonts w:ascii="Arial" w:hAnsi="Arial" w:cs="Arial"/>
        </w:rPr>
      </w:pPr>
      <w:r w:rsidRPr="00375FD4">
        <w:rPr>
          <w:rFonts w:ascii="Arial" w:hAnsi="Arial" w:cs="Arial"/>
        </w:rPr>
        <w:t>Expenditure on the development of websites is not capitalised if the website is solely or primarily intend</w:t>
      </w:r>
      <w:r w:rsidR="002E7DAC">
        <w:rPr>
          <w:rFonts w:ascii="Arial" w:hAnsi="Arial" w:cs="Arial"/>
        </w:rPr>
        <w:t>ed to promote or advertise the c</w:t>
      </w:r>
      <w:r w:rsidRPr="00375FD4">
        <w:rPr>
          <w:rFonts w:ascii="Arial" w:hAnsi="Arial" w:cs="Arial"/>
        </w:rPr>
        <w:t>ouncil’s goods or services.</w:t>
      </w:r>
    </w:p>
    <w:p w:rsidR="008319F2" w:rsidRDefault="008319F2" w:rsidP="00522D7C">
      <w:pPr>
        <w:spacing w:before="0" w:after="0"/>
        <w:rPr>
          <w:rFonts w:ascii="Arial" w:hAnsi="Arial" w:cs="Arial"/>
          <w:b/>
        </w:rPr>
      </w:pPr>
    </w:p>
    <w:p w:rsidR="008319F2" w:rsidRPr="00375FD4" w:rsidRDefault="008319F2" w:rsidP="00F94AC9">
      <w:pPr>
        <w:pStyle w:val="ListParagraph"/>
        <w:spacing w:before="0" w:after="0"/>
        <w:ind w:left="0"/>
        <w:rPr>
          <w:rFonts w:ascii="Arial" w:hAnsi="Arial" w:cs="Arial"/>
        </w:rPr>
      </w:pPr>
      <w:r w:rsidRPr="00375FD4">
        <w:rPr>
          <w:rFonts w:ascii="Arial" w:hAnsi="Arial" w:cs="Arial"/>
        </w:rPr>
        <w:t>Assets are measured originally at cost and only revalued where the fair value of the asset can be determined by reference to an active market.</w:t>
      </w:r>
    </w:p>
    <w:p w:rsidR="00374305" w:rsidRDefault="00374305" w:rsidP="00F94AC9">
      <w:pPr>
        <w:pStyle w:val="ListParagraph"/>
        <w:spacing w:before="0" w:after="0"/>
        <w:ind w:left="0"/>
        <w:rPr>
          <w:rFonts w:ascii="Arial" w:hAnsi="Arial" w:cs="Arial"/>
        </w:rPr>
      </w:pPr>
    </w:p>
    <w:p w:rsidR="00374305" w:rsidRPr="00375FD4" w:rsidRDefault="00374305" w:rsidP="00F94AC9">
      <w:pPr>
        <w:pStyle w:val="ListParagraph"/>
        <w:spacing w:before="0" w:after="0"/>
        <w:ind w:left="0"/>
        <w:rPr>
          <w:rFonts w:ascii="Arial" w:hAnsi="Arial" w:cs="Arial"/>
        </w:rPr>
      </w:pPr>
      <w:r w:rsidRPr="00375FD4">
        <w:rPr>
          <w:rFonts w:ascii="Arial" w:hAnsi="Arial" w:cs="Arial"/>
        </w:rPr>
        <w:t>Where an intangible asset has a finite useful life, the depreciable amount of the asset is charged over its useful life to the relevant service line(s) in the Comprehensive Income and Expenditure Statement.  An asset is tested for impairment whenever there is an indication that the asset might be impaired – any losses recognised are posted to the relevant service line(s) in the Comprehensive Income and Expenditure Statement.  Any gain or loss arising on the disposal or abandonment of an intangible asset is recognised in the Surplus or Deficit on the Provision of Services when the asset is derecognised.</w:t>
      </w:r>
    </w:p>
    <w:p w:rsidR="009C7F05" w:rsidRDefault="009C7F05" w:rsidP="00522D7C">
      <w:pPr>
        <w:spacing w:before="0" w:after="0"/>
        <w:jc w:val="both"/>
        <w:rPr>
          <w:rFonts w:ascii="Arial" w:hAnsi="Arial" w:cs="Arial"/>
          <w:b/>
          <w:sz w:val="24"/>
          <w:szCs w:val="24"/>
        </w:rPr>
      </w:pPr>
    </w:p>
    <w:p w:rsidR="00746DB7" w:rsidRPr="00375FD4" w:rsidRDefault="00A27C20" w:rsidP="00F94AC9">
      <w:pPr>
        <w:pStyle w:val="ListParagraph"/>
        <w:spacing w:before="0" w:after="0"/>
        <w:ind w:left="426" w:hanging="360"/>
        <w:jc w:val="both"/>
        <w:rPr>
          <w:rFonts w:ascii="Arial" w:hAnsi="Arial" w:cs="Arial"/>
          <w:b/>
          <w:bCs/>
        </w:rPr>
      </w:pPr>
      <w:r>
        <w:rPr>
          <w:rFonts w:ascii="Arial" w:hAnsi="Arial" w:cs="Arial"/>
          <w:b/>
          <w:bCs/>
        </w:rPr>
        <w:t>6</w:t>
      </w:r>
      <w:r w:rsidR="00746DB7" w:rsidRPr="00375FD4">
        <w:rPr>
          <w:rFonts w:ascii="Arial" w:hAnsi="Arial" w:cs="Arial"/>
          <w:b/>
          <w:bCs/>
        </w:rPr>
        <w:t>.</w:t>
      </w:r>
      <w:r w:rsidR="00746DB7" w:rsidRPr="00375FD4">
        <w:rPr>
          <w:rFonts w:ascii="Arial" w:hAnsi="Arial" w:cs="Arial"/>
          <w:b/>
          <w:bCs/>
        </w:rPr>
        <w:tab/>
        <w:t>Property, Plant and Equipment</w:t>
      </w:r>
    </w:p>
    <w:p w:rsidR="00746DB7" w:rsidRPr="00375FD4" w:rsidRDefault="00746DB7" w:rsidP="00522D7C">
      <w:pPr>
        <w:pStyle w:val="ListParagraph"/>
        <w:spacing w:before="0" w:after="0"/>
        <w:jc w:val="both"/>
        <w:rPr>
          <w:rFonts w:ascii="Arial" w:hAnsi="Arial" w:cs="Arial"/>
          <w:b/>
          <w:bCs/>
        </w:rPr>
      </w:pPr>
    </w:p>
    <w:p w:rsidR="00746DB7" w:rsidRPr="00375FD4" w:rsidRDefault="00746DB7" w:rsidP="00F94AC9">
      <w:pPr>
        <w:pStyle w:val="ListParagraph"/>
        <w:spacing w:before="0" w:after="0"/>
        <w:ind w:left="0"/>
        <w:rPr>
          <w:rFonts w:ascii="Arial" w:hAnsi="Arial" w:cs="Arial"/>
        </w:rPr>
      </w:pPr>
      <w:r w:rsidRPr="00375FD4">
        <w:rPr>
          <w:rFonts w:ascii="Arial" w:hAnsi="Arial" w:cs="Arial"/>
        </w:rPr>
        <w:t>Assets that have physical substance and are held for the supply of goods and services, either directly or indirectly, and that are expected to be used during more than one financial year are classified as Property, Plant and Equipment.</w:t>
      </w:r>
    </w:p>
    <w:p w:rsidR="00746DB7" w:rsidRPr="00375FD4" w:rsidRDefault="00746DB7" w:rsidP="00522D7C">
      <w:pPr>
        <w:pStyle w:val="ListParagraph"/>
        <w:spacing w:before="0" w:after="0"/>
        <w:ind w:left="0"/>
        <w:jc w:val="both"/>
        <w:rPr>
          <w:rFonts w:ascii="Arial" w:hAnsi="Arial" w:cs="Arial"/>
        </w:rPr>
      </w:pPr>
    </w:p>
    <w:p w:rsidR="00F94AC9" w:rsidRPr="00375FD4" w:rsidRDefault="00F94AC9" w:rsidP="00F94AC9">
      <w:pPr>
        <w:pStyle w:val="ListParagraph"/>
        <w:spacing w:before="0" w:after="0"/>
        <w:ind w:left="0"/>
        <w:jc w:val="both"/>
        <w:rPr>
          <w:rFonts w:ascii="Arial" w:hAnsi="Arial" w:cs="Arial"/>
          <w:u w:val="single"/>
        </w:rPr>
      </w:pPr>
      <w:r w:rsidRPr="00375FD4">
        <w:rPr>
          <w:rFonts w:ascii="Arial" w:hAnsi="Arial" w:cs="Arial"/>
          <w:u w:val="single"/>
        </w:rPr>
        <w:t>Recognition</w:t>
      </w:r>
    </w:p>
    <w:p w:rsidR="00F94AC9" w:rsidRPr="00375FD4" w:rsidRDefault="00F94AC9" w:rsidP="00F94AC9">
      <w:pPr>
        <w:pStyle w:val="ListParagraph"/>
        <w:spacing w:before="0" w:after="0"/>
        <w:ind w:left="0"/>
        <w:jc w:val="both"/>
        <w:rPr>
          <w:rFonts w:ascii="Arial" w:hAnsi="Arial" w:cs="Arial"/>
          <w:u w:val="single"/>
        </w:rPr>
      </w:pPr>
    </w:p>
    <w:p w:rsidR="009B720F" w:rsidRPr="00F865E3" w:rsidRDefault="00F94AC9" w:rsidP="00F865E3">
      <w:pPr>
        <w:pStyle w:val="ListParagraph"/>
        <w:spacing w:before="0" w:after="0"/>
        <w:ind w:left="0"/>
        <w:rPr>
          <w:rFonts w:ascii="Arial" w:hAnsi="Arial" w:cs="Arial"/>
        </w:rPr>
      </w:pPr>
      <w:r w:rsidRPr="00375FD4">
        <w:rPr>
          <w:rFonts w:ascii="Arial" w:hAnsi="Arial" w:cs="Arial"/>
        </w:rPr>
        <w:t xml:space="preserve">Expenditure on the acquisition, creation or enhancement of property, plant and equipment is capitalised on an accruals basis, provided that it is probable that the future economic benefits or service potential associated </w:t>
      </w:r>
      <w:r w:rsidR="002E7DAC">
        <w:rPr>
          <w:rFonts w:ascii="Arial" w:hAnsi="Arial" w:cs="Arial"/>
        </w:rPr>
        <w:t>with the item will flow to the c</w:t>
      </w:r>
      <w:r w:rsidRPr="00375FD4">
        <w:rPr>
          <w:rFonts w:ascii="Arial" w:hAnsi="Arial" w:cs="Arial"/>
        </w:rPr>
        <w:t>ouncil and the cost of the asset can be measured reliably.  Expenditure that maintains, but does not add to the asset’s potential to deliver future economic benefits or service potential, is charged as an expense when it is incurred.</w:t>
      </w:r>
    </w:p>
    <w:p w:rsidR="009B720F" w:rsidRDefault="009B720F" w:rsidP="00522D7C">
      <w:pPr>
        <w:spacing w:before="0" w:after="0"/>
        <w:jc w:val="both"/>
        <w:rPr>
          <w:rFonts w:ascii="Arial" w:hAnsi="Arial" w:cs="Arial"/>
          <w:b/>
          <w:sz w:val="24"/>
          <w:szCs w:val="24"/>
        </w:rPr>
      </w:pPr>
      <w:r>
        <w:rPr>
          <w:rFonts w:ascii="Arial" w:hAnsi="Arial" w:cs="Arial"/>
          <w:b/>
          <w:sz w:val="24"/>
          <w:szCs w:val="24"/>
        </w:rPr>
        <w:lastRenderedPageBreak/>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9B720F" w:rsidRPr="00375FD4" w:rsidRDefault="009B720F" w:rsidP="00522D7C">
      <w:pPr>
        <w:spacing w:before="0" w:after="0"/>
        <w:jc w:val="both"/>
        <w:rPr>
          <w:rFonts w:ascii="Arial" w:hAnsi="Arial" w:cs="Arial"/>
        </w:rPr>
      </w:pPr>
    </w:p>
    <w:p w:rsidR="009B720F" w:rsidRPr="00375FD4" w:rsidRDefault="00EA05CA" w:rsidP="00522D7C">
      <w:pPr>
        <w:spacing w:before="0" w:after="0"/>
        <w:jc w:val="both"/>
        <w:rPr>
          <w:rFonts w:ascii="Arial" w:hAnsi="Arial" w:cs="Arial"/>
          <w:b/>
        </w:rPr>
      </w:pPr>
      <w:r>
        <w:rPr>
          <w:rFonts w:ascii="Arial" w:hAnsi="Arial" w:cs="Arial"/>
          <w:b/>
        </w:rPr>
        <w:t>Note 32</w:t>
      </w:r>
      <w:r w:rsidR="009B720F" w:rsidRPr="00375FD4">
        <w:rPr>
          <w:rFonts w:ascii="Arial" w:hAnsi="Arial" w:cs="Arial"/>
          <w:b/>
        </w:rPr>
        <w:t xml:space="preserve"> - Accounting Policies (Cont’d)</w:t>
      </w:r>
    </w:p>
    <w:p w:rsidR="009B720F" w:rsidRPr="009B720F" w:rsidRDefault="009B720F" w:rsidP="00522D7C">
      <w:pPr>
        <w:spacing w:before="0" w:after="0"/>
        <w:jc w:val="both"/>
        <w:rPr>
          <w:rFonts w:ascii="Arial" w:hAnsi="Arial" w:cs="Arial"/>
          <w:u w:val="single"/>
        </w:rPr>
      </w:pPr>
    </w:p>
    <w:p w:rsidR="00A27C20" w:rsidRPr="00375FD4" w:rsidRDefault="00A27C20" w:rsidP="00A27C20">
      <w:pPr>
        <w:pStyle w:val="ListParagraph"/>
        <w:spacing w:before="0" w:after="0"/>
        <w:ind w:left="426" w:hanging="360"/>
        <w:jc w:val="both"/>
        <w:rPr>
          <w:rFonts w:ascii="Arial" w:hAnsi="Arial" w:cs="Arial"/>
          <w:b/>
          <w:bCs/>
        </w:rPr>
      </w:pPr>
      <w:r>
        <w:rPr>
          <w:rFonts w:ascii="Arial" w:hAnsi="Arial" w:cs="Arial"/>
          <w:b/>
          <w:bCs/>
        </w:rPr>
        <w:t>6</w:t>
      </w:r>
      <w:r w:rsidRPr="00375FD4">
        <w:rPr>
          <w:rFonts w:ascii="Arial" w:hAnsi="Arial" w:cs="Arial"/>
          <w:b/>
          <w:bCs/>
        </w:rPr>
        <w:t>.</w:t>
      </w:r>
      <w:r w:rsidRPr="00375FD4">
        <w:rPr>
          <w:rFonts w:ascii="Arial" w:hAnsi="Arial" w:cs="Arial"/>
          <w:b/>
          <w:bCs/>
        </w:rPr>
        <w:tab/>
        <w:t>Property, Plant and Equipment</w:t>
      </w:r>
      <w:r>
        <w:rPr>
          <w:rFonts w:ascii="Arial" w:hAnsi="Arial" w:cs="Arial"/>
          <w:b/>
          <w:bCs/>
        </w:rPr>
        <w:t xml:space="preserve"> (Cont’d)</w:t>
      </w:r>
    </w:p>
    <w:p w:rsidR="00746DB7" w:rsidRPr="00375FD4" w:rsidRDefault="00746DB7" w:rsidP="00522D7C">
      <w:pPr>
        <w:spacing w:before="0" w:after="0"/>
        <w:jc w:val="both"/>
        <w:rPr>
          <w:rFonts w:ascii="Arial" w:hAnsi="Arial" w:cs="Arial"/>
          <w:b/>
        </w:rPr>
      </w:pPr>
    </w:p>
    <w:p w:rsidR="00746DB7" w:rsidRPr="00375FD4" w:rsidRDefault="00746DB7" w:rsidP="00F94AC9">
      <w:pPr>
        <w:pStyle w:val="ListParagraph"/>
        <w:spacing w:before="0" w:after="0"/>
        <w:ind w:left="0"/>
        <w:jc w:val="both"/>
        <w:rPr>
          <w:rFonts w:ascii="Arial" w:hAnsi="Arial" w:cs="Arial"/>
          <w:u w:val="single"/>
        </w:rPr>
      </w:pPr>
      <w:r w:rsidRPr="00375FD4">
        <w:rPr>
          <w:rFonts w:ascii="Arial" w:hAnsi="Arial" w:cs="Arial"/>
          <w:u w:val="single"/>
        </w:rPr>
        <w:t>Measurement</w:t>
      </w:r>
    </w:p>
    <w:p w:rsidR="00746DB7" w:rsidRPr="00375FD4" w:rsidRDefault="00746DB7" w:rsidP="00F94AC9">
      <w:pPr>
        <w:pStyle w:val="ListParagraph"/>
        <w:spacing w:before="0" w:after="0"/>
        <w:ind w:left="0"/>
        <w:jc w:val="both"/>
        <w:rPr>
          <w:rFonts w:ascii="Arial" w:hAnsi="Arial" w:cs="Arial"/>
        </w:rPr>
      </w:pPr>
    </w:p>
    <w:p w:rsidR="00746DB7" w:rsidRPr="00375FD4" w:rsidRDefault="00746DB7" w:rsidP="00F94AC9">
      <w:pPr>
        <w:pStyle w:val="ListParagraph"/>
        <w:spacing w:before="0" w:after="0"/>
        <w:ind w:left="0"/>
        <w:jc w:val="both"/>
        <w:rPr>
          <w:rFonts w:ascii="Arial" w:hAnsi="Arial" w:cs="Arial"/>
        </w:rPr>
      </w:pPr>
      <w:r w:rsidRPr="00375FD4">
        <w:rPr>
          <w:rFonts w:ascii="Arial" w:hAnsi="Arial" w:cs="Arial"/>
        </w:rPr>
        <w:t>Initially measured at cost, comprising of:</w:t>
      </w:r>
    </w:p>
    <w:p w:rsidR="00746DB7" w:rsidRPr="00375FD4" w:rsidRDefault="00746DB7" w:rsidP="00522D7C">
      <w:pPr>
        <w:pStyle w:val="ListParagraph"/>
        <w:spacing w:before="0" w:after="0"/>
        <w:jc w:val="both"/>
        <w:rPr>
          <w:rFonts w:ascii="Arial" w:hAnsi="Arial" w:cs="Arial"/>
        </w:rPr>
      </w:pPr>
    </w:p>
    <w:p w:rsidR="00746DB7" w:rsidRPr="00374305" w:rsidRDefault="00746DB7" w:rsidP="00EA6E47">
      <w:pPr>
        <w:pStyle w:val="ListParagraph"/>
        <w:numPr>
          <w:ilvl w:val="0"/>
          <w:numId w:val="16"/>
        </w:numPr>
        <w:spacing w:before="0" w:after="0"/>
        <w:ind w:left="426" w:hanging="425"/>
        <w:contextualSpacing w:val="0"/>
        <w:jc w:val="both"/>
        <w:rPr>
          <w:rFonts w:ascii="Arial" w:hAnsi="Arial" w:cs="Arial"/>
        </w:rPr>
      </w:pPr>
      <w:r w:rsidRPr="00375FD4">
        <w:rPr>
          <w:rFonts w:ascii="Arial" w:hAnsi="Arial" w:cs="Arial"/>
        </w:rPr>
        <w:t>purchase price</w:t>
      </w:r>
      <w:r w:rsidR="00872F19">
        <w:rPr>
          <w:rFonts w:ascii="Arial" w:hAnsi="Arial" w:cs="Arial"/>
        </w:rPr>
        <w:t xml:space="preserve"> (the council h</w:t>
      </w:r>
      <w:r w:rsidR="00872F19" w:rsidRPr="00CD6808">
        <w:rPr>
          <w:rFonts w:ascii="Arial" w:hAnsi="Arial" w:cs="Arial"/>
        </w:rPr>
        <w:t xml:space="preserve">as </w:t>
      </w:r>
      <w:r w:rsidR="00CD6808" w:rsidRPr="00CD6808">
        <w:rPr>
          <w:rFonts w:ascii="Arial" w:hAnsi="Arial" w:cs="Arial"/>
        </w:rPr>
        <w:t>no de minimum level</w:t>
      </w:r>
      <w:r w:rsidR="00872F19" w:rsidRPr="00CD6808">
        <w:rPr>
          <w:rFonts w:ascii="Arial" w:hAnsi="Arial" w:cs="Arial"/>
        </w:rPr>
        <w:t xml:space="preserve"> set)</w:t>
      </w:r>
      <w:r w:rsidRPr="00CD6808">
        <w:rPr>
          <w:rFonts w:ascii="Arial" w:hAnsi="Arial" w:cs="Arial"/>
        </w:rPr>
        <w:t>;</w:t>
      </w:r>
    </w:p>
    <w:p w:rsidR="00746DB7" w:rsidRPr="00374305" w:rsidRDefault="00746DB7" w:rsidP="00EA6E47">
      <w:pPr>
        <w:pStyle w:val="ListParagraph"/>
        <w:numPr>
          <w:ilvl w:val="0"/>
          <w:numId w:val="16"/>
        </w:numPr>
        <w:spacing w:before="0" w:after="0"/>
        <w:ind w:left="426" w:hanging="425"/>
        <w:contextualSpacing w:val="0"/>
        <w:jc w:val="both"/>
        <w:rPr>
          <w:rFonts w:ascii="Arial" w:hAnsi="Arial" w:cs="Arial"/>
        </w:rPr>
      </w:pPr>
      <w:r w:rsidRPr="00375FD4">
        <w:rPr>
          <w:rFonts w:ascii="Arial" w:hAnsi="Arial" w:cs="Arial"/>
        </w:rPr>
        <w:t>any costs associated with bringing the asset to the location or condition necessary for it to be capable of operating in the ma</w:t>
      </w:r>
      <w:r w:rsidR="00374305">
        <w:rPr>
          <w:rFonts w:ascii="Arial" w:hAnsi="Arial" w:cs="Arial"/>
        </w:rPr>
        <w:t xml:space="preserve">nner intended by management; </w:t>
      </w:r>
      <w:r w:rsidR="0052596D">
        <w:rPr>
          <w:rFonts w:ascii="Arial" w:hAnsi="Arial" w:cs="Arial"/>
        </w:rPr>
        <w:t>and</w:t>
      </w:r>
    </w:p>
    <w:p w:rsidR="00374305" w:rsidRDefault="00746DB7" w:rsidP="00EA6E47">
      <w:pPr>
        <w:pStyle w:val="ListParagraph"/>
        <w:numPr>
          <w:ilvl w:val="0"/>
          <w:numId w:val="16"/>
        </w:numPr>
        <w:spacing w:before="0" w:after="0"/>
        <w:ind w:left="426" w:hanging="425"/>
        <w:contextualSpacing w:val="0"/>
        <w:jc w:val="both"/>
        <w:rPr>
          <w:rFonts w:ascii="Arial" w:hAnsi="Arial" w:cs="Arial"/>
        </w:rPr>
      </w:pPr>
      <w:r w:rsidRPr="00375FD4">
        <w:rPr>
          <w:rFonts w:ascii="Arial" w:hAnsi="Arial" w:cs="Arial"/>
        </w:rPr>
        <w:t>the initial estimate of costs for dismantling and removing the item and restoring the site on which it is located to its origina</w:t>
      </w:r>
      <w:r w:rsidR="0052596D">
        <w:rPr>
          <w:rFonts w:ascii="Arial" w:hAnsi="Arial" w:cs="Arial"/>
        </w:rPr>
        <w:t>l state.</w:t>
      </w:r>
    </w:p>
    <w:p w:rsidR="0052596D" w:rsidRDefault="0052596D" w:rsidP="0052596D">
      <w:pPr>
        <w:spacing w:before="0" w:after="0"/>
        <w:ind w:left="1"/>
        <w:jc w:val="both"/>
        <w:rPr>
          <w:rFonts w:ascii="Arial" w:hAnsi="Arial" w:cs="Arial"/>
        </w:rPr>
      </w:pPr>
    </w:p>
    <w:p w:rsidR="00746DB7" w:rsidRPr="0052596D" w:rsidRDefault="002E7DAC" w:rsidP="0052596D">
      <w:pPr>
        <w:spacing w:before="0" w:after="0"/>
        <w:ind w:left="1"/>
        <w:jc w:val="both"/>
        <w:rPr>
          <w:rFonts w:ascii="Arial" w:hAnsi="Arial" w:cs="Arial"/>
        </w:rPr>
      </w:pPr>
      <w:r>
        <w:rPr>
          <w:rFonts w:ascii="Arial" w:hAnsi="Arial" w:cs="Arial"/>
        </w:rPr>
        <w:t>The c</w:t>
      </w:r>
      <w:r w:rsidR="00746DB7" w:rsidRPr="0052596D">
        <w:rPr>
          <w:rFonts w:ascii="Arial" w:hAnsi="Arial" w:cs="Arial"/>
        </w:rPr>
        <w:t>ouncil does not capitalise borrowing costs incurred during construction of an asset.</w:t>
      </w:r>
    </w:p>
    <w:p w:rsidR="00746DB7" w:rsidRPr="00375FD4" w:rsidRDefault="00746DB7" w:rsidP="00522D7C">
      <w:pPr>
        <w:pStyle w:val="ListParagraph"/>
        <w:spacing w:before="0" w:after="0"/>
        <w:jc w:val="both"/>
        <w:rPr>
          <w:rFonts w:ascii="Arial" w:hAnsi="Arial" w:cs="Arial"/>
        </w:rPr>
      </w:pPr>
    </w:p>
    <w:p w:rsidR="00746DB7" w:rsidRDefault="00746DB7" w:rsidP="00F94AC9">
      <w:pPr>
        <w:pStyle w:val="ListParagraph"/>
        <w:spacing w:before="0" w:after="0"/>
        <w:ind w:left="0"/>
        <w:jc w:val="both"/>
        <w:rPr>
          <w:rFonts w:ascii="Arial" w:hAnsi="Arial" w:cs="Arial"/>
        </w:rPr>
      </w:pPr>
      <w:r w:rsidRPr="00375FD4">
        <w:rPr>
          <w:rFonts w:ascii="Arial" w:hAnsi="Arial" w:cs="Arial"/>
        </w:rPr>
        <w:t>Where property, plant or equipment are acquired in exchange for a non monetary asset or assets, or a combination of monetary and non monetary assets, the cost of the acquired item shall be measured at fair value unless there is no economic substance to the exchange transaction, or the fair value of neither the asset received nor the asset given up can be reliably measured.  The acquired item is meas</w:t>
      </w:r>
      <w:r w:rsidR="002E7DAC">
        <w:rPr>
          <w:rFonts w:ascii="Arial" w:hAnsi="Arial" w:cs="Arial"/>
        </w:rPr>
        <w:t>ured at fair value even if the c</w:t>
      </w:r>
      <w:r w:rsidRPr="00375FD4">
        <w:rPr>
          <w:rFonts w:ascii="Arial" w:hAnsi="Arial" w:cs="Arial"/>
        </w:rPr>
        <w:t>ouncil cannot immediately derecognise the asset given up.  The acquired item is measured at the carrying amount of the asset given up if it is not measured at fair value.</w:t>
      </w:r>
    </w:p>
    <w:p w:rsidR="00746DB7" w:rsidRPr="00375FD4" w:rsidRDefault="00746DB7" w:rsidP="00F94AC9">
      <w:pPr>
        <w:spacing w:before="0" w:after="0"/>
        <w:jc w:val="both"/>
        <w:rPr>
          <w:rFonts w:ascii="Arial" w:hAnsi="Arial" w:cs="Arial"/>
          <w:b/>
        </w:rPr>
      </w:pPr>
    </w:p>
    <w:p w:rsidR="00746DB7" w:rsidRDefault="00746DB7" w:rsidP="00F94AC9">
      <w:pPr>
        <w:spacing w:before="0" w:after="0"/>
        <w:jc w:val="both"/>
        <w:rPr>
          <w:rFonts w:ascii="Arial" w:hAnsi="Arial" w:cs="Arial"/>
        </w:rPr>
      </w:pPr>
      <w:r w:rsidRPr="00375FD4">
        <w:rPr>
          <w:rFonts w:ascii="Arial" w:hAnsi="Arial" w:cs="Arial"/>
        </w:rPr>
        <w:t>Assets are then carried in the Balance Sheet using the following measurement bases:</w:t>
      </w:r>
    </w:p>
    <w:p w:rsidR="00D104E4" w:rsidRDefault="00D104E4" w:rsidP="00522D7C">
      <w:pPr>
        <w:spacing w:before="0" w:after="0"/>
        <w:jc w:val="both"/>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ounting policies"/>
        <w:tblDescription w:val="property plant and equipment"/>
      </w:tblPr>
      <w:tblGrid>
        <w:gridCol w:w="3804"/>
        <w:gridCol w:w="4621"/>
      </w:tblGrid>
      <w:tr w:rsidR="00D104E4" w:rsidRPr="00D104E4" w:rsidTr="00274F66">
        <w:trPr>
          <w:tblHeader/>
        </w:trPr>
        <w:tc>
          <w:tcPr>
            <w:tcW w:w="3804" w:type="dxa"/>
          </w:tcPr>
          <w:p w:rsidR="00D104E4" w:rsidRPr="00D104E4" w:rsidRDefault="00D104E4" w:rsidP="00522D7C">
            <w:pPr>
              <w:spacing w:before="0" w:after="0"/>
              <w:jc w:val="both"/>
              <w:rPr>
                <w:rFonts w:ascii="Arial" w:hAnsi="Arial" w:cs="Arial"/>
                <w:b/>
              </w:rPr>
            </w:pPr>
            <w:r w:rsidRPr="00D104E4">
              <w:rPr>
                <w:rFonts w:ascii="Arial" w:hAnsi="Arial" w:cs="Arial"/>
                <w:b/>
              </w:rPr>
              <w:t>Asset Type</w:t>
            </w:r>
          </w:p>
        </w:tc>
        <w:tc>
          <w:tcPr>
            <w:tcW w:w="4621" w:type="dxa"/>
          </w:tcPr>
          <w:p w:rsidR="00D104E4" w:rsidRPr="00D104E4" w:rsidRDefault="00D104E4" w:rsidP="00522D7C">
            <w:pPr>
              <w:spacing w:before="0" w:after="0"/>
              <w:jc w:val="both"/>
              <w:rPr>
                <w:rFonts w:ascii="Arial" w:hAnsi="Arial" w:cs="Arial"/>
                <w:b/>
              </w:rPr>
            </w:pPr>
            <w:r w:rsidRPr="00D104E4">
              <w:rPr>
                <w:rFonts w:ascii="Arial" w:hAnsi="Arial" w:cs="Arial"/>
                <w:b/>
              </w:rPr>
              <w:t>Valuation Method</w:t>
            </w:r>
          </w:p>
        </w:tc>
      </w:tr>
      <w:tr w:rsidR="00D104E4" w:rsidTr="00F94AC9">
        <w:tc>
          <w:tcPr>
            <w:tcW w:w="3804" w:type="dxa"/>
          </w:tcPr>
          <w:p w:rsidR="00D104E4" w:rsidRDefault="00D104E4" w:rsidP="00522D7C">
            <w:pPr>
              <w:spacing w:before="0" w:after="0"/>
              <w:jc w:val="both"/>
              <w:rPr>
                <w:rFonts w:ascii="Arial" w:hAnsi="Arial" w:cs="Arial"/>
              </w:rPr>
            </w:pPr>
            <w:r w:rsidRPr="00375FD4">
              <w:rPr>
                <w:rFonts w:ascii="Arial" w:hAnsi="Arial" w:cs="Arial"/>
              </w:rPr>
              <w:t>Infrastructure, community and assets under construction assets</w:t>
            </w:r>
          </w:p>
        </w:tc>
        <w:tc>
          <w:tcPr>
            <w:tcW w:w="4621" w:type="dxa"/>
          </w:tcPr>
          <w:p w:rsidR="00D104E4" w:rsidRDefault="00D104E4" w:rsidP="00522D7C">
            <w:pPr>
              <w:spacing w:before="0" w:after="0"/>
              <w:jc w:val="both"/>
              <w:rPr>
                <w:rFonts w:ascii="Arial" w:hAnsi="Arial" w:cs="Arial"/>
              </w:rPr>
            </w:pPr>
            <w:r>
              <w:rPr>
                <w:rFonts w:ascii="Arial" w:hAnsi="Arial" w:cs="Arial"/>
              </w:rPr>
              <w:t>Historic Cost</w:t>
            </w:r>
          </w:p>
        </w:tc>
      </w:tr>
      <w:tr w:rsidR="00D104E4" w:rsidTr="00F94AC9">
        <w:tc>
          <w:tcPr>
            <w:tcW w:w="3804" w:type="dxa"/>
          </w:tcPr>
          <w:p w:rsidR="00D104E4" w:rsidRDefault="00D104E4" w:rsidP="00522D7C">
            <w:pPr>
              <w:spacing w:before="0" w:after="0"/>
              <w:jc w:val="both"/>
              <w:rPr>
                <w:rFonts w:ascii="Arial" w:hAnsi="Arial" w:cs="Arial"/>
              </w:rPr>
            </w:pPr>
            <w:r w:rsidRPr="00375FD4">
              <w:rPr>
                <w:rFonts w:ascii="Arial" w:hAnsi="Arial" w:cs="Arial"/>
              </w:rPr>
              <w:t>Council dwellings</w:t>
            </w:r>
          </w:p>
        </w:tc>
        <w:tc>
          <w:tcPr>
            <w:tcW w:w="4621" w:type="dxa"/>
          </w:tcPr>
          <w:p w:rsidR="00D104E4" w:rsidRDefault="00D104E4" w:rsidP="00522D7C">
            <w:pPr>
              <w:spacing w:before="0" w:after="0"/>
              <w:rPr>
                <w:rFonts w:ascii="Arial" w:hAnsi="Arial" w:cs="Arial"/>
              </w:rPr>
            </w:pPr>
            <w:r>
              <w:rPr>
                <w:rFonts w:ascii="Arial" w:hAnsi="Arial" w:cs="Arial"/>
              </w:rPr>
              <w:t>Fair value -</w:t>
            </w:r>
            <w:r w:rsidRPr="00375FD4">
              <w:rPr>
                <w:rFonts w:ascii="Arial" w:hAnsi="Arial" w:cs="Arial"/>
              </w:rPr>
              <w:t xml:space="preserve"> determined in accordance with existing use value of social housing (EUV-SH)</w:t>
            </w:r>
          </w:p>
          <w:p w:rsidR="00D104E4" w:rsidRDefault="00D104E4" w:rsidP="00522D7C">
            <w:pPr>
              <w:spacing w:before="0" w:after="0"/>
              <w:jc w:val="both"/>
              <w:rPr>
                <w:rFonts w:ascii="Arial" w:hAnsi="Arial" w:cs="Arial"/>
              </w:rPr>
            </w:pPr>
          </w:p>
        </w:tc>
      </w:tr>
      <w:tr w:rsidR="00D104E4" w:rsidTr="00F94AC9">
        <w:tc>
          <w:tcPr>
            <w:tcW w:w="3804" w:type="dxa"/>
          </w:tcPr>
          <w:p w:rsidR="00D104E4" w:rsidRDefault="00D104E4" w:rsidP="00522D7C">
            <w:pPr>
              <w:spacing w:before="0" w:after="0"/>
              <w:rPr>
                <w:rFonts w:ascii="Arial" w:hAnsi="Arial" w:cs="Arial"/>
              </w:rPr>
            </w:pPr>
            <w:r w:rsidRPr="00375FD4">
              <w:rPr>
                <w:rFonts w:ascii="Arial" w:hAnsi="Arial" w:cs="Arial"/>
              </w:rPr>
              <w:t>Other buildings</w:t>
            </w:r>
          </w:p>
        </w:tc>
        <w:tc>
          <w:tcPr>
            <w:tcW w:w="4621" w:type="dxa"/>
          </w:tcPr>
          <w:p w:rsidR="00D104E4" w:rsidRDefault="00D104E4" w:rsidP="00522D7C">
            <w:pPr>
              <w:spacing w:before="0" w:after="0"/>
              <w:rPr>
                <w:rFonts w:ascii="Arial" w:hAnsi="Arial" w:cs="Arial"/>
              </w:rPr>
            </w:pPr>
            <w:r>
              <w:rPr>
                <w:rFonts w:ascii="Arial" w:hAnsi="Arial" w:cs="Arial"/>
              </w:rPr>
              <w:t>F</w:t>
            </w:r>
            <w:r w:rsidRPr="00375FD4">
              <w:rPr>
                <w:rFonts w:ascii="Arial" w:hAnsi="Arial" w:cs="Arial"/>
              </w:rPr>
              <w:t>air value.  Where there is no market based evidence of fair value because of the specialised nature of the asset and the asset is rarely sold, depreciated replacement cost is used as an estimate of fair value</w:t>
            </w:r>
          </w:p>
          <w:p w:rsidR="00D104E4" w:rsidRDefault="00D104E4" w:rsidP="00522D7C">
            <w:pPr>
              <w:spacing w:before="0" w:after="0"/>
              <w:jc w:val="both"/>
              <w:rPr>
                <w:rFonts w:ascii="Arial" w:hAnsi="Arial" w:cs="Arial"/>
              </w:rPr>
            </w:pPr>
          </w:p>
        </w:tc>
      </w:tr>
      <w:tr w:rsidR="00D104E4" w:rsidTr="00F94AC9">
        <w:tc>
          <w:tcPr>
            <w:tcW w:w="3804" w:type="dxa"/>
          </w:tcPr>
          <w:p w:rsidR="00D104E4" w:rsidRDefault="00D104E4" w:rsidP="00522D7C">
            <w:pPr>
              <w:spacing w:before="0" w:after="0"/>
              <w:jc w:val="both"/>
              <w:rPr>
                <w:rFonts w:ascii="Arial" w:hAnsi="Arial" w:cs="Arial"/>
              </w:rPr>
            </w:pPr>
            <w:r w:rsidRPr="00375FD4">
              <w:rPr>
                <w:rFonts w:ascii="Arial" w:hAnsi="Arial" w:cs="Arial"/>
              </w:rPr>
              <w:t>Plant and equipment and other non property assets</w:t>
            </w:r>
          </w:p>
        </w:tc>
        <w:tc>
          <w:tcPr>
            <w:tcW w:w="4621" w:type="dxa"/>
          </w:tcPr>
          <w:p w:rsidR="00D104E4" w:rsidRDefault="00D104E4" w:rsidP="00522D7C">
            <w:pPr>
              <w:spacing w:before="0" w:after="0"/>
              <w:rPr>
                <w:rFonts w:ascii="Arial" w:hAnsi="Arial" w:cs="Arial"/>
              </w:rPr>
            </w:pPr>
            <w:r>
              <w:rPr>
                <w:rFonts w:ascii="Arial" w:hAnsi="Arial" w:cs="Arial"/>
              </w:rPr>
              <w:t>F</w:t>
            </w:r>
            <w:r w:rsidRPr="00375FD4">
              <w:rPr>
                <w:rFonts w:ascii="Arial" w:hAnsi="Arial" w:cs="Arial"/>
              </w:rPr>
              <w:t>air value.  Where assets in this class have either short useful lives or low values (or both), depreciated historical cost is considered to be a proxy for fair value where the useful life is a realistic reflection of the life of the asset and the depreciation method provides a realistic reflection of the consumption of the asset class</w:t>
            </w:r>
          </w:p>
          <w:p w:rsidR="00D104E4" w:rsidRDefault="00D104E4" w:rsidP="00522D7C">
            <w:pPr>
              <w:spacing w:before="0" w:after="0"/>
              <w:jc w:val="both"/>
              <w:rPr>
                <w:rFonts w:ascii="Arial" w:hAnsi="Arial" w:cs="Arial"/>
              </w:rPr>
            </w:pPr>
          </w:p>
        </w:tc>
      </w:tr>
    </w:tbl>
    <w:p w:rsidR="00F94AC9" w:rsidRPr="00375FD4" w:rsidRDefault="00F94AC9" w:rsidP="00F94AC9">
      <w:pPr>
        <w:pStyle w:val="ListParagraph"/>
        <w:spacing w:before="0" w:after="0"/>
        <w:ind w:left="0"/>
        <w:jc w:val="both"/>
        <w:rPr>
          <w:rFonts w:ascii="Arial" w:hAnsi="Arial" w:cs="Arial"/>
          <w:u w:val="single"/>
        </w:rPr>
      </w:pPr>
      <w:r>
        <w:rPr>
          <w:rFonts w:ascii="Arial" w:hAnsi="Arial" w:cs="Arial"/>
          <w:u w:val="single"/>
        </w:rPr>
        <w:t>Revaluation</w:t>
      </w:r>
    </w:p>
    <w:p w:rsidR="00B772AD" w:rsidRDefault="00B772AD" w:rsidP="00F94AC9">
      <w:pPr>
        <w:spacing w:before="0" w:after="0"/>
        <w:jc w:val="both"/>
        <w:rPr>
          <w:rFonts w:ascii="Arial" w:hAnsi="Arial" w:cs="Arial"/>
        </w:rPr>
      </w:pPr>
    </w:p>
    <w:p w:rsidR="000B6458" w:rsidRDefault="00F94AC9" w:rsidP="00B960E4">
      <w:pPr>
        <w:spacing w:before="0" w:after="0"/>
        <w:rPr>
          <w:rFonts w:ascii="Arial" w:hAnsi="Arial" w:cs="Arial"/>
        </w:rPr>
      </w:pPr>
      <w:r w:rsidRPr="00375FD4">
        <w:rPr>
          <w:rFonts w:ascii="Arial" w:hAnsi="Arial" w:cs="Arial"/>
        </w:rPr>
        <w:t>Assets included in the Balance Sheet at fair value are re-valued regularly to ensure their carrying amount is not materially different from the fair value at the year end, as a minimum every 5 years.  The p</w:t>
      </w:r>
      <w:r w:rsidR="00912D5E">
        <w:rPr>
          <w:rFonts w:ascii="Arial" w:hAnsi="Arial" w:cs="Arial"/>
        </w:rPr>
        <w:t>rogramme of revaluation for 2019/20</w:t>
      </w:r>
      <w:r w:rsidRPr="00375FD4">
        <w:rPr>
          <w:rFonts w:ascii="Arial" w:hAnsi="Arial" w:cs="Arial"/>
        </w:rPr>
        <w:t xml:space="preserve"> and planned each of the following four years is as follows:</w:t>
      </w: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rPr>
          <w:rFonts w:ascii="Arial" w:hAnsi="Arial" w:cs="Arial"/>
        </w:rPr>
      </w:pPr>
    </w:p>
    <w:p w:rsidR="00B960E4" w:rsidRDefault="00B960E4" w:rsidP="00B960E4">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sidR="00EB691C">
        <w:rPr>
          <w:rFonts w:ascii="Arial" w:hAnsi="Arial" w:cs="Arial"/>
          <w:b/>
          <w:sz w:val="24"/>
          <w:szCs w:val="24"/>
        </w:rPr>
        <w:t xml:space="preserve"> and Information</w:t>
      </w:r>
      <w:r>
        <w:rPr>
          <w:rFonts w:ascii="Arial" w:hAnsi="Arial" w:cs="Arial"/>
          <w:b/>
          <w:sz w:val="24"/>
          <w:szCs w:val="24"/>
        </w:rPr>
        <w:t xml:space="preserve"> (Cont’d)</w:t>
      </w:r>
    </w:p>
    <w:p w:rsidR="00B960E4" w:rsidRPr="00375FD4" w:rsidRDefault="00B960E4" w:rsidP="00B960E4">
      <w:pPr>
        <w:spacing w:before="0" w:after="0"/>
        <w:jc w:val="both"/>
        <w:rPr>
          <w:rFonts w:ascii="Arial" w:hAnsi="Arial" w:cs="Arial"/>
        </w:rPr>
      </w:pPr>
    </w:p>
    <w:p w:rsidR="00B960E4" w:rsidRPr="00375FD4" w:rsidRDefault="00EA05CA" w:rsidP="00B960E4">
      <w:pPr>
        <w:spacing w:before="0" w:after="0"/>
        <w:jc w:val="both"/>
        <w:rPr>
          <w:rFonts w:ascii="Arial" w:hAnsi="Arial" w:cs="Arial"/>
          <w:b/>
        </w:rPr>
      </w:pPr>
      <w:r>
        <w:rPr>
          <w:rFonts w:ascii="Arial" w:hAnsi="Arial" w:cs="Arial"/>
          <w:b/>
        </w:rPr>
        <w:t>Note 32</w:t>
      </w:r>
      <w:r w:rsidR="00B960E4" w:rsidRPr="00375FD4">
        <w:rPr>
          <w:rFonts w:ascii="Arial" w:hAnsi="Arial" w:cs="Arial"/>
          <w:b/>
        </w:rPr>
        <w:t xml:space="preserve"> - Accounting Policies (Cont’d)</w:t>
      </w:r>
    </w:p>
    <w:p w:rsidR="00B960E4" w:rsidRPr="00375FD4" w:rsidRDefault="00B960E4" w:rsidP="00B960E4">
      <w:pPr>
        <w:pStyle w:val="ListParagraph"/>
        <w:spacing w:before="0" w:after="0"/>
        <w:ind w:left="0"/>
        <w:jc w:val="both"/>
        <w:rPr>
          <w:rFonts w:ascii="Arial" w:hAnsi="Arial" w:cs="Arial"/>
          <w:b/>
          <w:bCs/>
        </w:rPr>
      </w:pPr>
    </w:p>
    <w:p w:rsidR="00B960E4" w:rsidRPr="00F94AC9" w:rsidRDefault="00B960E4" w:rsidP="00B960E4">
      <w:pPr>
        <w:pStyle w:val="ListParagraph"/>
        <w:spacing w:before="0" w:after="0"/>
        <w:ind w:left="426" w:hanging="360"/>
        <w:jc w:val="both"/>
        <w:rPr>
          <w:rFonts w:ascii="Arial" w:hAnsi="Arial" w:cs="Arial"/>
          <w:b/>
          <w:bCs/>
        </w:rPr>
      </w:pPr>
      <w:r>
        <w:rPr>
          <w:rFonts w:ascii="Arial" w:hAnsi="Arial" w:cs="Arial"/>
          <w:b/>
          <w:bCs/>
        </w:rPr>
        <w:t>6</w:t>
      </w:r>
      <w:r w:rsidRPr="00375FD4">
        <w:rPr>
          <w:rFonts w:ascii="Arial" w:hAnsi="Arial" w:cs="Arial"/>
          <w:b/>
          <w:bCs/>
        </w:rPr>
        <w:t>.</w:t>
      </w:r>
      <w:r w:rsidRPr="00375FD4">
        <w:rPr>
          <w:rFonts w:ascii="Arial" w:hAnsi="Arial" w:cs="Arial"/>
          <w:b/>
          <w:bCs/>
        </w:rPr>
        <w:tab/>
        <w:t>Property, Plant and Equipment</w:t>
      </w:r>
      <w:r>
        <w:rPr>
          <w:rFonts w:ascii="Arial" w:hAnsi="Arial" w:cs="Arial"/>
          <w:b/>
          <w:bCs/>
        </w:rPr>
        <w:t xml:space="preserve"> (Cont’d)</w:t>
      </w:r>
    </w:p>
    <w:p w:rsidR="00B960E4" w:rsidRPr="00B960E4" w:rsidRDefault="00B960E4" w:rsidP="00B960E4">
      <w:pPr>
        <w:spacing w:before="0" w:after="0"/>
        <w:rPr>
          <w:rFonts w:ascii="Arial" w:hAnsi="Arial" w:cs="Arial"/>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ounting policies"/>
        <w:tblDescription w:val="valuation of assets timetable"/>
      </w:tblPr>
      <w:tblGrid>
        <w:gridCol w:w="1641"/>
        <w:gridCol w:w="6676"/>
      </w:tblGrid>
      <w:tr w:rsidR="00F94AC9" w:rsidTr="00274F66">
        <w:trPr>
          <w:tblHeader/>
        </w:trPr>
        <w:tc>
          <w:tcPr>
            <w:tcW w:w="1667" w:type="dxa"/>
          </w:tcPr>
          <w:p w:rsidR="00F94AC9" w:rsidRDefault="00F94AC9" w:rsidP="00927DCB">
            <w:pPr>
              <w:spacing w:before="0" w:after="0"/>
              <w:jc w:val="both"/>
              <w:rPr>
                <w:rFonts w:ascii="Arial" w:hAnsi="Arial" w:cs="Arial"/>
              </w:rPr>
            </w:pPr>
            <w:r w:rsidRPr="009B720F">
              <w:rPr>
                <w:rFonts w:ascii="Arial" w:hAnsi="Arial" w:cs="Arial"/>
              </w:rPr>
              <w:t>2019/20</w:t>
            </w:r>
          </w:p>
        </w:tc>
        <w:tc>
          <w:tcPr>
            <w:tcW w:w="6866" w:type="dxa"/>
          </w:tcPr>
          <w:p w:rsidR="00F94AC9" w:rsidRDefault="00F94AC9" w:rsidP="00F94AC9">
            <w:pPr>
              <w:spacing w:before="0" w:after="0"/>
              <w:jc w:val="both"/>
              <w:rPr>
                <w:rFonts w:ascii="Arial" w:hAnsi="Arial" w:cs="Arial"/>
              </w:rPr>
            </w:pPr>
            <w:r w:rsidRPr="009B720F">
              <w:rPr>
                <w:rFonts w:ascii="Arial" w:hAnsi="Arial" w:cs="Arial"/>
              </w:rPr>
              <w:t>Halls/ Public conveniences/ libraries/ outdoor centres/ golf course/ pavilions/ sports centres/ swimming pools/ travellers site/ car parks;</w:t>
            </w:r>
          </w:p>
        </w:tc>
      </w:tr>
      <w:tr w:rsidR="00F94AC9" w:rsidTr="000A5EDE">
        <w:tc>
          <w:tcPr>
            <w:tcW w:w="1667" w:type="dxa"/>
          </w:tcPr>
          <w:p w:rsidR="00F94AC9" w:rsidRDefault="00F94AC9" w:rsidP="00927DCB">
            <w:pPr>
              <w:spacing w:before="0" w:after="0"/>
              <w:jc w:val="both"/>
              <w:rPr>
                <w:rFonts w:ascii="Arial" w:hAnsi="Arial" w:cs="Arial"/>
              </w:rPr>
            </w:pPr>
            <w:r w:rsidRPr="009B720F">
              <w:rPr>
                <w:rFonts w:ascii="Arial" w:hAnsi="Arial" w:cs="Arial"/>
              </w:rPr>
              <w:t>2020/21</w:t>
            </w:r>
          </w:p>
        </w:tc>
        <w:tc>
          <w:tcPr>
            <w:tcW w:w="6866" w:type="dxa"/>
          </w:tcPr>
          <w:p w:rsidR="00F94AC9" w:rsidRDefault="00F94AC9" w:rsidP="00F94AC9">
            <w:pPr>
              <w:tabs>
                <w:tab w:val="left" w:pos="1134"/>
              </w:tabs>
              <w:spacing w:before="0" w:after="0"/>
              <w:jc w:val="both"/>
              <w:rPr>
                <w:rFonts w:ascii="Arial" w:hAnsi="Arial" w:cs="Arial"/>
              </w:rPr>
            </w:pPr>
            <w:r w:rsidRPr="009B720F">
              <w:rPr>
                <w:rFonts w:ascii="Arial" w:hAnsi="Arial" w:cs="Arial"/>
              </w:rPr>
              <w:t>Any properties not previously re-valued / general re-appraisal</w:t>
            </w:r>
            <w:r w:rsidR="0054774D">
              <w:rPr>
                <w:rFonts w:ascii="Arial" w:hAnsi="Arial" w:cs="Arial"/>
              </w:rPr>
              <w:t xml:space="preserve"> / HRA housing stock</w:t>
            </w:r>
            <w:r w:rsidR="00B772AD">
              <w:rPr>
                <w:rFonts w:ascii="Arial" w:hAnsi="Arial" w:cs="Arial"/>
              </w:rPr>
              <w:t>;</w:t>
            </w:r>
          </w:p>
        </w:tc>
      </w:tr>
      <w:tr w:rsidR="00B960E4" w:rsidTr="000A5EDE">
        <w:tc>
          <w:tcPr>
            <w:tcW w:w="1667" w:type="dxa"/>
          </w:tcPr>
          <w:p w:rsidR="00B960E4" w:rsidRPr="009B720F" w:rsidRDefault="00B960E4" w:rsidP="00927DCB">
            <w:pPr>
              <w:spacing w:before="0" w:after="0"/>
              <w:jc w:val="both"/>
              <w:rPr>
                <w:rFonts w:ascii="Arial" w:hAnsi="Arial" w:cs="Arial"/>
              </w:rPr>
            </w:pPr>
            <w:r>
              <w:rPr>
                <w:rFonts w:ascii="Arial" w:hAnsi="Arial" w:cs="Arial"/>
              </w:rPr>
              <w:t>2021/22</w:t>
            </w:r>
          </w:p>
        </w:tc>
        <w:tc>
          <w:tcPr>
            <w:tcW w:w="6866" w:type="dxa"/>
          </w:tcPr>
          <w:p w:rsidR="00B960E4" w:rsidRPr="009B720F" w:rsidRDefault="00B960E4" w:rsidP="00F94AC9">
            <w:pPr>
              <w:tabs>
                <w:tab w:val="left" w:pos="1134"/>
              </w:tabs>
              <w:spacing w:before="0" w:after="0"/>
              <w:jc w:val="both"/>
              <w:rPr>
                <w:rFonts w:ascii="Arial" w:hAnsi="Arial" w:cs="Arial"/>
              </w:rPr>
            </w:pPr>
            <w:r>
              <w:rPr>
                <w:rFonts w:ascii="Arial" w:hAnsi="Arial" w:cs="Arial"/>
              </w:rPr>
              <w:t>Offices / depots/ cemeteries/ crematorium lodges</w:t>
            </w:r>
            <w:r w:rsidR="00912D5E">
              <w:rPr>
                <w:rFonts w:ascii="Arial" w:hAnsi="Arial" w:cs="Arial"/>
              </w:rPr>
              <w:t>;</w:t>
            </w:r>
          </w:p>
        </w:tc>
      </w:tr>
      <w:tr w:rsidR="00B772AD" w:rsidTr="000A5EDE">
        <w:trPr>
          <w:trHeight w:val="212"/>
        </w:trPr>
        <w:tc>
          <w:tcPr>
            <w:tcW w:w="1667" w:type="dxa"/>
          </w:tcPr>
          <w:p w:rsidR="00B772AD" w:rsidRDefault="00B772AD" w:rsidP="00927DCB">
            <w:pPr>
              <w:spacing w:before="0" w:after="0"/>
              <w:jc w:val="both"/>
              <w:rPr>
                <w:rFonts w:ascii="Arial" w:hAnsi="Arial" w:cs="Arial"/>
              </w:rPr>
            </w:pPr>
            <w:r>
              <w:rPr>
                <w:rFonts w:ascii="Arial" w:hAnsi="Arial" w:cs="Arial"/>
              </w:rPr>
              <w:t>2022/23</w:t>
            </w:r>
          </w:p>
        </w:tc>
        <w:tc>
          <w:tcPr>
            <w:tcW w:w="6866" w:type="dxa"/>
          </w:tcPr>
          <w:p w:rsidR="00912D5E" w:rsidRDefault="00B772AD" w:rsidP="00912D5E">
            <w:pPr>
              <w:tabs>
                <w:tab w:val="left" w:pos="1134"/>
              </w:tabs>
              <w:spacing w:before="0" w:after="0"/>
              <w:jc w:val="both"/>
              <w:rPr>
                <w:rFonts w:ascii="Arial" w:hAnsi="Arial" w:cs="Arial"/>
              </w:rPr>
            </w:pPr>
            <w:r>
              <w:rPr>
                <w:rFonts w:ascii="Arial" w:hAnsi="Arial" w:cs="Arial"/>
              </w:rPr>
              <w:t>All cou</w:t>
            </w:r>
            <w:r w:rsidR="00912D5E">
              <w:rPr>
                <w:rFonts w:ascii="Arial" w:hAnsi="Arial" w:cs="Arial"/>
              </w:rPr>
              <w:t>ncil non-operational properties; and</w:t>
            </w:r>
          </w:p>
        </w:tc>
      </w:tr>
      <w:tr w:rsidR="00912D5E" w:rsidTr="000A5EDE">
        <w:tc>
          <w:tcPr>
            <w:tcW w:w="1667" w:type="dxa"/>
          </w:tcPr>
          <w:p w:rsidR="00912D5E" w:rsidRDefault="00912D5E" w:rsidP="00912D5E">
            <w:pPr>
              <w:spacing w:before="0" w:after="0"/>
              <w:jc w:val="both"/>
              <w:rPr>
                <w:rFonts w:ascii="Arial" w:hAnsi="Arial" w:cs="Arial"/>
              </w:rPr>
            </w:pPr>
            <w:r>
              <w:rPr>
                <w:rFonts w:ascii="Arial" w:hAnsi="Arial" w:cs="Arial"/>
              </w:rPr>
              <w:t>2023/24</w:t>
            </w:r>
          </w:p>
        </w:tc>
        <w:tc>
          <w:tcPr>
            <w:tcW w:w="6866" w:type="dxa"/>
          </w:tcPr>
          <w:p w:rsidR="00912D5E" w:rsidRDefault="00912D5E" w:rsidP="00A61513">
            <w:pPr>
              <w:tabs>
                <w:tab w:val="left" w:pos="1134"/>
              </w:tabs>
              <w:spacing w:before="0" w:after="0"/>
              <w:jc w:val="both"/>
              <w:rPr>
                <w:rFonts w:ascii="Arial" w:hAnsi="Arial" w:cs="Arial"/>
              </w:rPr>
            </w:pPr>
            <w:r>
              <w:rPr>
                <w:rFonts w:ascii="Arial" w:hAnsi="Arial" w:cs="Arial"/>
              </w:rPr>
              <w:t>Schools/school houses/ social work homes/adult training centres/ community education centres/early education centres.</w:t>
            </w:r>
          </w:p>
        </w:tc>
      </w:tr>
    </w:tbl>
    <w:p w:rsidR="009B720F" w:rsidRDefault="009B720F" w:rsidP="00522D7C">
      <w:pPr>
        <w:spacing w:before="0" w:after="0"/>
        <w:ind w:left="709"/>
        <w:jc w:val="both"/>
        <w:rPr>
          <w:rFonts w:ascii="Arial" w:hAnsi="Arial" w:cs="Arial"/>
        </w:rPr>
      </w:pPr>
    </w:p>
    <w:p w:rsidR="001A65C2" w:rsidRPr="001A65C2" w:rsidRDefault="001A65C2" w:rsidP="001A65C2">
      <w:pPr>
        <w:rPr>
          <w:rFonts w:ascii="Arial" w:hAnsi="Arial" w:cs="Arial"/>
        </w:rPr>
      </w:pPr>
      <w:r w:rsidRPr="001A65C2">
        <w:rPr>
          <w:rFonts w:ascii="Arial" w:hAnsi="Arial" w:cs="Arial"/>
        </w:rPr>
        <w:t>In addition to assets being revalued within the programme of revaluation assets will be revalued in any given year if any of following 3 criteria is met:</w:t>
      </w:r>
    </w:p>
    <w:p w:rsidR="001A65C2" w:rsidRPr="001A65C2" w:rsidRDefault="001A65C2" w:rsidP="001A65C2">
      <w:pPr>
        <w:rPr>
          <w:rFonts w:ascii="Arial" w:hAnsi="Arial" w:cs="Arial"/>
        </w:rPr>
      </w:pPr>
    </w:p>
    <w:p w:rsidR="001A65C2" w:rsidRPr="001A65C2" w:rsidRDefault="001A65C2" w:rsidP="00EA6E47">
      <w:pPr>
        <w:pStyle w:val="ListParagraph"/>
        <w:numPr>
          <w:ilvl w:val="0"/>
          <w:numId w:val="52"/>
        </w:numPr>
        <w:spacing w:before="0" w:after="0"/>
        <w:rPr>
          <w:rFonts w:ascii="Arial" w:hAnsi="Arial" w:cs="Arial"/>
        </w:rPr>
      </w:pPr>
      <w:r w:rsidRPr="001A65C2">
        <w:rPr>
          <w:rFonts w:ascii="Arial" w:hAnsi="Arial" w:cs="Arial"/>
        </w:rPr>
        <w:t>When the historic cost of the building is less than £2m but the combined value of the building historic cost and any enhancement expenditure incurred since the last revaluation date exceeds £2m then the asset will be revalued and (if new valuations exceeds £2m) componentised if necessary;</w:t>
      </w:r>
    </w:p>
    <w:p w:rsidR="001A65C2" w:rsidRDefault="001A65C2" w:rsidP="00EA6E47">
      <w:pPr>
        <w:pStyle w:val="ListParagraph"/>
        <w:numPr>
          <w:ilvl w:val="0"/>
          <w:numId w:val="52"/>
        </w:numPr>
        <w:spacing w:before="0" w:after="0"/>
        <w:rPr>
          <w:rFonts w:ascii="Arial" w:hAnsi="Arial" w:cs="Arial"/>
        </w:rPr>
      </w:pPr>
      <w:r w:rsidRPr="001A65C2">
        <w:rPr>
          <w:rFonts w:ascii="Arial" w:hAnsi="Arial" w:cs="Arial"/>
        </w:rPr>
        <w:t>Where the historic cost of the building exceeds £2m (and is therefore already componentised) and where any enhancement expenditure incurred since the last revaluation date exceeds 25% of the historic cost of the building then the asset will be revalued; and</w:t>
      </w:r>
    </w:p>
    <w:p w:rsidR="001A65C2" w:rsidRPr="001A65C2" w:rsidRDefault="001A65C2" w:rsidP="00EA6E47">
      <w:pPr>
        <w:pStyle w:val="ListParagraph"/>
        <w:numPr>
          <w:ilvl w:val="0"/>
          <w:numId w:val="52"/>
        </w:numPr>
        <w:spacing w:before="0" w:after="0"/>
        <w:rPr>
          <w:rFonts w:ascii="Arial" w:hAnsi="Arial" w:cs="Arial"/>
        </w:rPr>
      </w:pPr>
      <w:r w:rsidRPr="001A65C2">
        <w:rPr>
          <w:rFonts w:ascii="Arial" w:hAnsi="Arial" w:cs="Arial"/>
        </w:rPr>
        <w:t>Where the combined value of building historic cost and any enhancement expenditure incurred since the last revaluation date spend is less than £2m but the value of the enhancement expenditure exceeds 50% of building historic cost and in value is more than £0.500m then the asset will be revalued.</w:t>
      </w:r>
    </w:p>
    <w:p w:rsidR="001A65C2" w:rsidRDefault="001A65C2" w:rsidP="00F94AC9">
      <w:pPr>
        <w:spacing w:before="0" w:after="0"/>
        <w:rPr>
          <w:rFonts w:ascii="Arial" w:hAnsi="Arial" w:cs="Arial"/>
        </w:rPr>
      </w:pPr>
    </w:p>
    <w:p w:rsidR="00B772AD" w:rsidRDefault="00912D5E" w:rsidP="00B772AD">
      <w:pPr>
        <w:rPr>
          <w:rFonts w:ascii="Arial" w:hAnsi="Arial" w:cs="Arial"/>
        </w:rPr>
      </w:pPr>
      <w:r>
        <w:rPr>
          <w:rFonts w:ascii="Arial" w:hAnsi="Arial" w:cs="Arial"/>
        </w:rPr>
        <w:t>Valuations in 2019/20</w:t>
      </w:r>
      <w:r w:rsidR="00B772AD">
        <w:rPr>
          <w:rFonts w:ascii="Arial" w:hAnsi="Arial" w:cs="Arial"/>
        </w:rPr>
        <w:t xml:space="preserve"> have been carried out by an external valuer. Valuations of land and buildings are carried out in accordance with the methodologies and bases for estimation set out in the professional standards of the Royal Institution of Chartered Surveyors.</w:t>
      </w:r>
    </w:p>
    <w:p w:rsidR="00EE711E" w:rsidRDefault="00EE711E" w:rsidP="00F94AC9">
      <w:pPr>
        <w:spacing w:before="0" w:after="0"/>
        <w:rPr>
          <w:rFonts w:ascii="Arial" w:hAnsi="Arial" w:cs="Arial"/>
        </w:rPr>
      </w:pPr>
    </w:p>
    <w:p w:rsidR="00F55858" w:rsidRPr="00375FD4" w:rsidRDefault="00F55858" w:rsidP="00F94AC9">
      <w:pPr>
        <w:spacing w:before="0" w:after="0"/>
        <w:rPr>
          <w:rFonts w:ascii="Arial" w:hAnsi="Arial" w:cs="Arial"/>
        </w:rPr>
      </w:pPr>
      <w:r w:rsidRPr="00375FD4">
        <w:rPr>
          <w:rFonts w:ascii="Arial" w:hAnsi="Arial" w:cs="Arial"/>
        </w:rPr>
        <w:t>Increases in valuations are matched by credits to the Revaluation Reserve to recognise unrealised gains.</w:t>
      </w:r>
    </w:p>
    <w:p w:rsidR="00F55858" w:rsidRPr="00375FD4" w:rsidRDefault="00F55858" w:rsidP="00F94AC9">
      <w:pPr>
        <w:spacing w:before="0" w:after="0"/>
        <w:rPr>
          <w:rFonts w:ascii="Arial" w:hAnsi="Arial" w:cs="Arial"/>
        </w:rPr>
      </w:pPr>
    </w:p>
    <w:p w:rsidR="00F55858" w:rsidRPr="00375FD4" w:rsidRDefault="00F55858" w:rsidP="00F94AC9">
      <w:pPr>
        <w:spacing w:before="0" w:after="0"/>
        <w:rPr>
          <w:rFonts w:ascii="Arial" w:hAnsi="Arial" w:cs="Arial"/>
        </w:rPr>
      </w:pPr>
      <w:r w:rsidRPr="00375FD4">
        <w:rPr>
          <w:rFonts w:ascii="Arial" w:hAnsi="Arial" w:cs="Arial"/>
        </w:rPr>
        <w:t>Where decreases in value are identified, the revaluation loss is accounted by:</w:t>
      </w:r>
    </w:p>
    <w:p w:rsidR="00F55858" w:rsidRPr="00375FD4" w:rsidRDefault="00F55858" w:rsidP="00522D7C">
      <w:pPr>
        <w:spacing w:before="0" w:after="0"/>
        <w:ind w:left="720"/>
        <w:jc w:val="both"/>
        <w:rPr>
          <w:rFonts w:ascii="Arial" w:hAnsi="Arial" w:cs="Arial"/>
        </w:rPr>
      </w:pPr>
    </w:p>
    <w:p w:rsidR="00F55858" w:rsidRPr="00D104E4" w:rsidRDefault="00F55858" w:rsidP="00EA6E47">
      <w:pPr>
        <w:pStyle w:val="ListParagraph"/>
        <w:numPr>
          <w:ilvl w:val="0"/>
          <w:numId w:val="17"/>
        </w:numPr>
        <w:spacing w:before="0" w:after="0"/>
        <w:ind w:left="426" w:hanging="425"/>
        <w:contextualSpacing w:val="0"/>
        <w:rPr>
          <w:rFonts w:ascii="Arial" w:hAnsi="Arial" w:cs="Arial"/>
        </w:rPr>
      </w:pPr>
      <w:r w:rsidRPr="00375FD4">
        <w:rPr>
          <w:rFonts w:ascii="Arial" w:hAnsi="Arial" w:cs="Arial"/>
        </w:rPr>
        <w:t>where a balance of revaluation gains for the asset is held in the Revaluation Reserve – the carrying amount of the asset is written down against that balance (up to the total gain); or</w:t>
      </w:r>
    </w:p>
    <w:p w:rsidR="00F55858" w:rsidRPr="00375FD4" w:rsidRDefault="00F55858" w:rsidP="00EA6E47">
      <w:pPr>
        <w:pStyle w:val="ListParagraph"/>
        <w:numPr>
          <w:ilvl w:val="0"/>
          <w:numId w:val="17"/>
        </w:numPr>
        <w:spacing w:before="0" w:after="0"/>
        <w:ind w:left="426" w:hanging="425"/>
        <w:contextualSpacing w:val="0"/>
        <w:rPr>
          <w:rFonts w:ascii="Arial" w:hAnsi="Arial" w:cs="Arial"/>
        </w:rPr>
      </w:pPr>
      <w:r w:rsidRPr="00375FD4">
        <w:rPr>
          <w:rFonts w:ascii="Arial" w:hAnsi="Arial" w:cs="Arial"/>
        </w:rPr>
        <w:t>where no balance of revaluation gains for the asset is held in the Revaluation Reserve – the carrying amount is written down against the relevant service line(s) in the Comprehensive Income and Expenditure Statement.</w:t>
      </w:r>
    </w:p>
    <w:p w:rsidR="00F55858" w:rsidRPr="00375FD4" w:rsidRDefault="00F55858" w:rsidP="00522D7C">
      <w:pPr>
        <w:spacing w:before="0" w:after="0"/>
        <w:jc w:val="both"/>
        <w:rPr>
          <w:rFonts w:ascii="Arial" w:hAnsi="Arial" w:cs="Arial"/>
          <w:b/>
        </w:rPr>
      </w:pPr>
    </w:p>
    <w:p w:rsidR="00F55858" w:rsidRPr="00375FD4" w:rsidRDefault="00F55858" w:rsidP="00F94AC9">
      <w:pPr>
        <w:spacing w:before="0" w:after="0"/>
        <w:rPr>
          <w:rFonts w:ascii="Arial" w:hAnsi="Arial" w:cs="Arial"/>
        </w:rPr>
      </w:pPr>
      <w:r w:rsidRPr="00375FD4">
        <w:rPr>
          <w:rFonts w:ascii="Arial" w:hAnsi="Arial" w:cs="Arial"/>
        </w:rPr>
        <w:t>The Revaluation Reserve contains revaluation gains recognised since 1 April 2007, the date of its formal implementation. Gains arising before that date have been consolidated into the Capital Adjustment Account.</w:t>
      </w:r>
    </w:p>
    <w:p w:rsidR="00F55858" w:rsidRPr="00375FD4" w:rsidRDefault="00F55858" w:rsidP="00522D7C">
      <w:pPr>
        <w:spacing w:before="0" w:after="0"/>
        <w:rPr>
          <w:rFonts w:ascii="Arial" w:hAnsi="Arial" w:cs="Arial"/>
        </w:rPr>
      </w:pPr>
    </w:p>
    <w:p w:rsidR="00746DB7" w:rsidRPr="00375FD4" w:rsidRDefault="00746DB7" w:rsidP="00F94AC9">
      <w:pPr>
        <w:spacing w:before="0" w:after="0"/>
        <w:rPr>
          <w:rFonts w:ascii="Arial" w:hAnsi="Arial" w:cs="Arial"/>
          <w:u w:val="single"/>
        </w:rPr>
      </w:pPr>
      <w:r w:rsidRPr="00375FD4">
        <w:rPr>
          <w:rFonts w:ascii="Arial" w:hAnsi="Arial" w:cs="Arial"/>
          <w:u w:val="single"/>
        </w:rPr>
        <w:t>Impairment</w:t>
      </w:r>
    </w:p>
    <w:p w:rsidR="00746DB7" w:rsidRPr="00375FD4" w:rsidRDefault="00746DB7" w:rsidP="00F94AC9">
      <w:pPr>
        <w:spacing w:before="0" w:after="0"/>
        <w:rPr>
          <w:rFonts w:ascii="Arial" w:hAnsi="Arial" w:cs="Arial"/>
        </w:rPr>
      </w:pPr>
    </w:p>
    <w:p w:rsidR="00746DB7" w:rsidRPr="00375FD4" w:rsidRDefault="00746DB7" w:rsidP="00F94AC9">
      <w:pPr>
        <w:spacing w:before="0" w:after="0"/>
        <w:rPr>
          <w:rFonts w:ascii="Arial" w:hAnsi="Arial" w:cs="Arial"/>
        </w:rPr>
      </w:pPr>
      <w:r w:rsidRPr="00375FD4">
        <w:rPr>
          <w:rFonts w:ascii="Arial" w:hAnsi="Arial" w:cs="Arial"/>
        </w:rPr>
        <w:t>Where impairment losses are identi</w:t>
      </w:r>
      <w:r w:rsidR="00F55858">
        <w:rPr>
          <w:rFonts w:ascii="Arial" w:hAnsi="Arial" w:cs="Arial"/>
        </w:rPr>
        <w:t>fied, they are accounted for in the same way as revaluation decreases.</w:t>
      </w:r>
    </w:p>
    <w:p w:rsidR="00CF5591" w:rsidRDefault="00CF5591" w:rsidP="00F94AC9">
      <w:pPr>
        <w:spacing w:before="0" w:after="0"/>
        <w:rPr>
          <w:rFonts w:ascii="Arial" w:hAnsi="Arial" w:cs="Arial"/>
        </w:rPr>
      </w:pPr>
    </w:p>
    <w:p w:rsidR="00F55858" w:rsidRPr="00375FD4" w:rsidRDefault="00F55858" w:rsidP="00F94AC9">
      <w:pPr>
        <w:spacing w:before="0" w:after="0"/>
        <w:rPr>
          <w:rFonts w:ascii="Arial" w:hAnsi="Arial" w:cs="Arial"/>
        </w:rPr>
      </w:pPr>
      <w:r w:rsidRPr="00375FD4">
        <w:rPr>
          <w:rFonts w:ascii="Arial" w:hAnsi="Arial" w:cs="Arial"/>
        </w:rPr>
        <w:t>Where an impairment loss is reversed subsequently, the reversal is credited to the relevant service line(s) in the Comprehensive Income and Expenditure Statement, up to the amount of the original loss, adjusted for depreciation that would have been charged if the loss had not been recognised.</w:t>
      </w:r>
    </w:p>
    <w:p w:rsidR="00746DB7" w:rsidRDefault="00746DB7" w:rsidP="00522D7C">
      <w:pPr>
        <w:spacing w:before="0" w:after="0"/>
        <w:ind w:left="720"/>
        <w:jc w:val="both"/>
        <w:rPr>
          <w:rFonts w:ascii="Arial" w:hAnsi="Arial" w:cs="Arial"/>
        </w:rPr>
      </w:pPr>
    </w:p>
    <w:p w:rsidR="000A5EDE" w:rsidRDefault="000A5EDE" w:rsidP="00522D7C">
      <w:pPr>
        <w:spacing w:before="0" w:after="0"/>
        <w:ind w:left="720"/>
        <w:jc w:val="both"/>
        <w:rPr>
          <w:rFonts w:ascii="Arial" w:hAnsi="Arial" w:cs="Arial"/>
        </w:rPr>
      </w:pPr>
    </w:p>
    <w:p w:rsidR="00B960E4" w:rsidRDefault="00B960E4" w:rsidP="00522D7C">
      <w:pPr>
        <w:spacing w:before="0" w:after="0"/>
        <w:ind w:left="720"/>
        <w:jc w:val="both"/>
        <w:rPr>
          <w:rFonts w:ascii="Arial" w:hAnsi="Arial" w:cs="Arial"/>
        </w:rPr>
      </w:pPr>
    </w:p>
    <w:p w:rsidR="00B960E4" w:rsidRDefault="00B960E4" w:rsidP="00B960E4">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B960E4" w:rsidRPr="00375FD4" w:rsidRDefault="00B960E4" w:rsidP="00B960E4">
      <w:pPr>
        <w:spacing w:before="0" w:after="0"/>
        <w:jc w:val="both"/>
        <w:rPr>
          <w:rFonts w:ascii="Arial" w:hAnsi="Arial" w:cs="Arial"/>
        </w:rPr>
      </w:pPr>
    </w:p>
    <w:p w:rsidR="00B960E4" w:rsidRPr="00375FD4" w:rsidRDefault="00EA05CA" w:rsidP="00B960E4">
      <w:pPr>
        <w:spacing w:before="0" w:after="0"/>
        <w:jc w:val="both"/>
        <w:rPr>
          <w:rFonts w:ascii="Arial" w:hAnsi="Arial" w:cs="Arial"/>
          <w:b/>
        </w:rPr>
      </w:pPr>
      <w:r>
        <w:rPr>
          <w:rFonts w:ascii="Arial" w:hAnsi="Arial" w:cs="Arial"/>
          <w:b/>
        </w:rPr>
        <w:t>Note 32</w:t>
      </w:r>
      <w:r w:rsidR="00B960E4" w:rsidRPr="00375FD4">
        <w:rPr>
          <w:rFonts w:ascii="Arial" w:hAnsi="Arial" w:cs="Arial"/>
          <w:b/>
        </w:rPr>
        <w:t xml:space="preserve"> - Accounting Policies (Cont’d)</w:t>
      </w:r>
    </w:p>
    <w:p w:rsidR="00B960E4" w:rsidRPr="00375FD4" w:rsidRDefault="00B960E4" w:rsidP="00B960E4">
      <w:pPr>
        <w:pStyle w:val="ListParagraph"/>
        <w:spacing w:before="0" w:after="0"/>
        <w:ind w:left="0"/>
        <w:jc w:val="both"/>
        <w:rPr>
          <w:rFonts w:ascii="Arial" w:hAnsi="Arial" w:cs="Arial"/>
          <w:b/>
          <w:bCs/>
        </w:rPr>
      </w:pPr>
    </w:p>
    <w:p w:rsidR="00B960E4" w:rsidRPr="00375FD4" w:rsidRDefault="00B960E4" w:rsidP="00B960E4">
      <w:pPr>
        <w:pStyle w:val="ListParagraph"/>
        <w:spacing w:before="0" w:after="0"/>
        <w:ind w:left="426" w:hanging="360"/>
        <w:jc w:val="both"/>
        <w:rPr>
          <w:rFonts w:ascii="Arial" w:hAnsi="Arial" w:cs="Arial"/>
          <w:b/>
          <w:bCs/>
        </w:rPr>
      </w:pPr>
      <w:r>
        <w:rPr>
          <w:rFonts w:ascii="Arial" w:hAnsi="Arial" w:cs="Arial"/>
          <w:b/>
          <w:bCs/>
        </w:rPr>
        <w:t>6</w:t>
      </w:r>
      <w:r w:rsidRPr="00375FD4">
        <w:rPr>
          <w:rFonts w:ascii="Arial" w:hAnsi="Arial" w:cs="Arial"/>
          <w:b/>
          <w:bCs/>
        </w:rPr>
        <w:t>.</w:t>
      </w:r>
      <w:r w:rsidRPr="00375FD4">
        <w:rPr>
          <w:rFonts w:ascii="Arial" w:hAnsi="Arial" w:cs="Arial"/>
          <w:b/>
          <w:bCs/>
        </w:rPr>
        <w:tab/>
        <w:t>Property, Plant and Equipment</w:t>
      </w:r>
      <w:r>
        <w:rPr>
          <w:rFonts w:ascii="Arial" w:hAnsi="Arial" w:cs="Arial"/>
          <w:b/>
          <w:bCs/>
        </w:rPr>
        <w:t xml:space="preserve"> (Cont’d)</w:t>
      </w:r>
    </w:p>
    <w:p w:rsidR="00B960E4" w:rsidRDefault="00B960E4" w:rsidP="00F94AC9">
      <w:pPr>
        <w:spacing w:before="0" w:after="0"/>
        <w:jc w:val="both"/>
        <w:rPr>
          <w:rFonts w:ascii="Arial" w:hAnsi="Arial" w:cs="Arial"/>
          <w:u w:val="single"/>
        </w:rPr>
      </w:pPr>
    </w:p>
    <w:p w:rsidR="009B720F" w:rsidRPr="00375FD4" w:rsidRDefault="00F94AC9" w:rsidP="00F94AC9">
      <w:pPr>
        <w:spacing w:before="0" w:after="0"/>
        <w:jc w:val="both"/>
        <w:rPr>
          <w:rFonts w:ascii="Arial" w:hAnsi="Arial" w:cs="Arial"/>
          <w:u w:val="single"/>
        </w:rPr>
      </w:pPr>
      <w:r>
        <w:rPr>
          <w:rFonts w:ascii="Arial" w:hAnsi="Arial" w:cs="Arial"/>
          <w:u w:val="single"/>
        </w:rPr>
        <w:t>D</w:t>
      </w:r>
      <w:r w:rsidR="009B720F" w:rsidRPr="00375FD4">
        <w:rPr>
          <w:rFonts w:ascii="Arial" w:hAnsi="Arial" w:cs="Arial"/>
          <w:u w:val="single"/>
        </w:rPr>
        <w:t>isposals</w:t>
      </w:r>
    </w:p>
    <w:p w:rsidR="009B720F" w:rsidRPr="00375FD4" w:rsidRDefault="009B720F" w:rsidP="00F94AC9">
      <w:pPr>
        <w:spacing w:before="0" w:after="0"/>
        <w:jc w:val="both"/>
        <w:rPr>
          <w:rFonts w:ascii="Arial" w:hAnsi="Arial" w:cs="Arial"/>
        </w:rPr>
      </w:pPr>
    </w:p>
    <w:p w:rsidR="009B720F" w:rsidRPr="00375FD4" w:rsidRDefault="009B720F" w:rsidP="00F94AC9">
      <w:pPr>
        <w:spacing w:before="0" w:after="0"/>
        <w:rPr>
          <w:rFonts w:ascii="Arial" w:hAnsi="Arial" w:cs="Arial"/>
        </w:rPr>
      </w:pPr>
      <w:r w:rsidRPr="00375FD4">
        <w:rPr>
          <w:rFonts w:ascii="Arial" w:hAnsi="Arial" w:cs="Arial"/>
        </w:rPr>
        <w:t xml:space="preserve">When it becomes apparent that the carrying amount of an asset will be recovered principally through a sale transaction rather than through its continuing use, it is re-classed as </w:t>
      </w:r>
      <w:r>
        <w:rPr>
          <w:rFonts w:ascii="Arial" w:hAnsi="Arial" w:cs="Arial"/>
        </w:rPr>
        <w:t xml:space="preserve">either a surplus asset or </w:t>
      </w:r>
      <w:r w:rsidRPr="00375FD4">
        <w:rPr>
          <w:rFonts w:ascii="Arial" w:hAnsi="Arial" w:cs="Arial"/>
        </w:rPr>
        <w:t xml:space="preserve">an Asset Held for Sale.  The asset is re-valued immediately before re-classification and then carried at the lower of this amount and the fair value less sale costs.  </w:t>
      </w:r>
    </w:p>
    <w:p w:rsidR="009B720F" w:rsidRPr="00375FD4" w:rsidRDefault="009B720F" w:rsidP="00F94AC9">
      <w:pPr>
        <w:spacing w:before="0" w:after="0"/>
        <w:rPr>
          <w:rFonts w:ascii="Arial" w:hAnsi="Arial" w:cs="Arial"/>
        </w:rPr>
      </w:pPr>
    </w:p>
    <w:p w:rsidR="009B720F" w:rsidRPr="00375FD4" w:rsidRDefault="009B720F" w:rsidP="00F94AC9">
      <w:pPr>
        <w:spacing w:before="0" w:after="0"/>
        <w:rPr>
          <w:rFonts w:ascii="Arial" w:hAnsi="Arial" w:cs="Arial"/>
        </w:rPr>
      </w:pPr>
      <w:r w:rsidRPr="00375FD4">
        <w:rPr>
          <w:rFonts w:ascii="Arial" w:hAnsi="Arial" w:cs="Arial"/>
        </w:rPr>
        <w:t>Assets to be scrapped are not re-classified as Assets Held for Sale.</w:t>
      </w:r>
    </w:p>
    <w:p w:rsidR="001A65C2" w:rsidRDefault="001A65C2" w:rsidP="001A65C2">
      <w:pPr>
        <w:spacing w:before="0" w:after="0"/>
        <w:ind w:left="720"/>
        <w:rPr>
          <w:rFonts w:ascii="Arial" w:hAnsi="Arial" w:cs="Arial"/>
          <w:u w:val="single"/>
        </w:rPr>
      </w:pPr>
    </w:p>
    <w:p w:rsidR="00746DB7" w:rsidRPr="00375FD4" w:rsidRDefault="00746DB7" w:rsidP="00F94AC9">
      <w:pPr>
        <w:spacing w:before="0" w:after="0"/>
        <w:rPr>
          <w:rFonts w:ascii="Arial" w:hAnsi="Arial" w:cs="Arial"/>
        </w:rPr>
      </w:pPr>
      <w:r w:rsidRPr="00375FD4">
        <w:rPr>
          <w:rFonts w:ascii="Arial" w:hAnsi="Arial" w:cs="Arial"/>
        </w:rPr>
        <w:t xml:space="preserve">When an asset is disposed of or decommissioned, </w:t>
      </w:r>
      <w:r w:rsidR="00F55858">
        <w:rPr>
          <w:rFonts w:ascii="Arial" w:hAnsi="Arial" w:cs="Arial"/>
        </w:rPr>
        <w:t xml:space="preserve">both </w:t>
      </w:r>
      <w:r w:rsidRPr="00375FD4">
        <w:rPr>
          <w:rFonts w:ascii="Arial" w:hAnsi="Arial" w:cs="Arial"/>
        </w:rPr>
        <w:t>the carrying amount in the Balance Sheet</w:t>
      </w:r>
      <w:r w:rsidR="00F55858">
        <w:rPr>
          <w:rFonts w:ascii="Arial" w:hAnsi="Arial" w:cs="Arial"/>
        </w:rPr>
        <w:t xml:space="preserve"> a</w:t>
      </w:r>
      <w:r w:rsidR="006330AA">
        <w:rPr>
          <w:rFonts w:ascii="Arial" w:hAnsi="Arial" w:cs="Arial"/>
        </w:rPr>
        <w:t>n</w:t>
      </w:r>
      <w:r w:rsidR="00F55858">
        <w:rPr>
          <w:rFonts w:ascii="Arial" w:hAnsi="Arial" w:cs="Arial"/>
        </w:rPr>
        <w:t>d receipts from disposal are transferred</w:t>
      </w:r>
      <w:r w:rsidRPr="00375FD4">
        <w:rPr>
          <w:rFonts w:ascii="Arial" w:hAnsi="Arial" w:cs="Arial"/>
        </w:rPr>
        <w:t xml:space="preserve"> to the Surplus and Deficit on the Provision of Services line in the Comprehensive Income and Expenditure Statement as part of a gain or loss on sale.  Any revaluation gains accumulated for the asset in the Revaluation reserve are transferred to the Capital Adjustment Account.</w:t>
      </w:r>
    </w:p>
    <w:p w:rsidR="00746DB7" w:rsidRPr="00375FD4" w:rsidRDefault="00746DB7" w:rsidP="00F94AC9">
      <w:pPr>
        <w:spacing w:before="0" w:after="0"/>
        <w:rPr>
          <w:rFonts w:ascii="Arial" w:hAnsi="Arial" w:cs="Arial"/>
        </w:rPr>
      </w:pPr>
    </w:p>
    <w:p w:rsidR="003E7430" w:rsidRDefault="003E7430" w:rsidP="003E7430">
      <w:pPr>
        <w:rPr>
          <w:rFonts w:ascii="Arial" w:hAnsi="Arial" w:cs="Arial"/>
        </w:rPr>
      </w:pPr>
      <w:r>
        <w:rPr>
          <w:rFonts w:ascii="Arial" w:hAnsi="Arial" w:cs="Arial"/>
        </w:rPr>
        <w:t>Amounts received for a disposal are categorised as capital receipts. The balance of receipts is credited to either the Capital Receipts Reserve or the Capital Fund and can only be used for new capital investment, set aside to reduce the council’s underlying borrowing requirement, to fund the principal element of loan charges or to fund premium charges. Receipts are appropriated to these reserves from the General Fund balance in the Movement in Reserves Statement.</w:t>
      </w:r>
    </w:p>
    <w:p w:rsidR="00746DB7" w:rsidRPr="00375FD4" w:rsidRDefault="00746DB7" w:rsidP="00F94AC9">
      <w:pPr>
        <w:spacing w:before="0" w:after="0"/>
        <w:jc w:val="both"/>
        <w:rPr>
          <w:rFonts w:ascii="Arial" w:hAnsi="Arial" w:cs="Arial"/>
        </w:rPr>
      </w:pPr>
    </w:p>
    <w:p w:rsidR="00746DB7" w:rsidRPr="00375FD4" w:rsidRDefault="00746DB7" w:rsidP="00F94AC9">
      <w:pPr>
        <w:spacing w:before="0" w:after="0"/>
        <w:rPr>
          <w:rFonts w:ascii="Arial" w:hAnsi="Arial" w:cs="Arial"/>
        </w:rPr>
      </w:pPr>
      <w:r w:rsidRPr="00375FD4">
        <w:rPr>
          <w:rFonts w:ascii="Arial" w:hAnsi="Arial" w:cs="Arial"/>
        </w:rPr>
        <w:t>The written-off value of disposals is not a charge against council tax. It is appropriated to the Capital Adjustment Account from the General Fund balance in the Movement in Reserves Statement.</w:t>
      </w:r>
    </w:p>
    <w:p w:rsidR="00F94AC9" w:rsidRDefault="00F94AC9" w:rsidP="00522D7C">
      <w:pPr>
        <w:spacing w:before="0" w:after="0"/>
        <w:ind w:left="720"/>
        <w:rPr>
          <w:rFonts w:ascii="Arial" w:hAnsi="Arial" w:cs="Arial"/>
          <w:u w:val="single"/>
        </w:rPr>
      </w:pPr>
    </w:p>
    <w:p w:rsidR="00746DB7" w:rsidRPr="00375FD4" w:rsidRDefault="00746DB7" w:rsidP="00F94AC9">
      <w:pPr>
        <w:spacing w:before="0" w:after="0"/>
        <w:rPr>
          <w:rFonts w:ascii="Arial" w:hAnsi="Arial" w:cs="Arial"/>
          <w:u w:val="single"/>
        </w:rPr>
      </w:pPr>
      <w:r w:rsidRPr="00375FD4">
        <w:rPr>
          <w:rFonts w:ascii="Arial" w:hAnsi="Arial" w:cs="Arial"/>
          <w:u w:val="single"/>
        </w:rPr>
        <w:t>Depreciation</w:t>
      </w:r>
    </w:p>
    <w:p w:rsidR="00746DB7" w:rsidRPr="00375FD4" w:rsidRDefault="00746DB7" w:rsidP="00F94AC9">
      <w:pPr>
        <w:spacing w:before="0" w:after="0"/>
        <w:rPr>
          <w:rFonts w:ascii="Arial" w:hAnsi="Arial" w:cs="Arial"/>
        </w:rPr>
      </w:pPr>
    </w:p>
    <w:p w:rsidR="00746DB7" w:rsidRPr="00375FD4" w:rsidRDefault="00746DB7" w:rsidP="000A5EDE">
      <w:pPr>
        <w:spacing w:before="0" w:after="0"/>
        <w:rPr>
          <w:rFonts w:ascii="Arial" w:hAnsi="Arial" w:cs="Arial"/>
        </w:rPr>
      </w:pPr>
      <w:r w:rsidRPr="00375FD4">
        <w:rPr>
          <w:rFonts w:ascii="Arial" w:hAnsi="Arial" w:cs="Arial"/>
        </w:rPr>
        <w:t>Depreciation is provided on all property, plant and equipment over their useful economic lives, with an exception made for assets without a determinable finite useful life (i.e. non depreciating land and certain community assets) and assets that are not yet available for use (i.e. assets under construction).</w:t>
      </w:r>
      <w:r w:rsidR="000A5EDE">
        <w:rPr>
          <w:rFonts w:ascii="Arial" w:hAnsi="Arial" w:cs="Arial"/>
        </w:rPr>
        <w:t xml:space="preserve"> </w:t>
      </w:r>
      <w:r w:rsidR="00B772AD">
        <w:rPr>
          <w:rFonts w:ascii="Arial" w:hAnsi="Arial" w:cs="Arial"/>
        </w:rPr>
        <w:t>The useful lives of assets are as follows</w:t>
      </w:r>
      <w:r w:rsidRPr="00375FD4">
        <w:rPr>
          <w:rFonts w:ascii="Arial" w:hAnsi="Arial" w:cs="Arial"/>
        </w:rPr>
        <w:t>:</w:t>
      </w:r>
    </w:p>
    <w:p w:rsidR="00746DB7" w:rsidRPr="00375FD4" w:rsidRDefault="00746DB7" w:rsidP="00F94AC9">
      <w:pPr>
        <w:spacing w:before="0" w:after="0"/>
        <w:rPr>
          <w:rFonts w:ascii="Arial" w:hAnsi="Arial" w:cs="Arial"/>
        </w:rPr>
      </w:pPr>
    </w:p>
    <w:p w:rsidR="00B772AD" w:rsidRDefault="00B772AD" w:rsidP="00B772AD">
      <w:pPr>
        <w:ind w:left="66"/>
        <w:rPr>
          <w:rFonts w:ascii="Arial" w:hAnsi="Arial" w:cs="Arial"/>
        </w:rPr>
      </w:pPr>
      <w:r>
        <w:rPr>
          <w:rFonts w:ascii="Arial" w:hAnsi="Arial" w:cs="Arial"/>
        </w:rPr>
        <w:t>Council dwellings</w:t>
      </w:r>
      <w:r>
        <w:rPr>
          <w:rFonts w:ascii="Arial" w:hAnsi="Arial" w:cs="Arial"/>
        </w:rPr>
        <w:tab/>
      </w:r>
      <w:r>
        <w:rPr>
          <w:rFonts w:ascii="Arial" w:hAnsi="Arial" w:cs="Arial"/>
        </w:rPr>
        <w:tab/>
        <w:t>10 to 80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Other buildings</w:t>
      </w:r>
      <w:r>
        <w:rPr>
          <w:rFonts w:ascii="Arial" w:hAnsi="Arial" w:cs="Arial"/>
        </w:rPr>
        <w:tab/>
      </w:r>
      <w:r>
        <w:rPr>
          <w:rFonts w:ascii="Arial" w:hAnsi="Arial" w:cs="Arial"/>
        </w:rPr>
        <w:tab/>
      </w:r>
      <w:r>
        <w:rPr>
          <w:rFonts w:ascii="Arial" w:hAnsi="Arial" w:cs="Arial"/>
        </w:rPr>
        <w:tab/>
        <w:t>15 to 80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Regeneration activity</w:t>
      </w:r>
      <w:r>
        <w:rPr>
          <w:rFonts w:ascii="Arial" w:hAnsi="Arial" w:cs="Arial"/>
        </w:rPr>
        <w:tab/>
      </w:r>
      <w:r>
        <w:rPr>
          <w:rFonts w:ascii="Arial" w:hAnsi="Arial" w:cs="Arial"/>
        </w:rPr>
        <w:tab/>
        <w:t>10 to 120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Open spaces</w:t>
      </w:r>
      <w:r>
        <w:rPr>
          <w:rFonts w:ascii="Arial" w:hAnsi="Arial" w:cs="Arial"/>
        </w:rPr>
        <w:tab/>
      </w:r>
      <w:r>
        <w:rPr>
          <w:rFonts w:ascii="Arial" w:hAnsi="Arial" w:cs="Arial"/>
        </w:rPr>
        <w:tab/>
      </w:r>
      <w:r>
        <w:rPr>
          <w:rFonts w:ascii="Arial" w:hAnsi="Arial" w:cs="Arial"/>
        </w:rPr>
        <w:tab/>
        <w:t>10 to 120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Infrastructure</w:t>
      </w:r>
      <w:r>
        <w:rPr>
          <w:rFonts w:ascii="Arial" w:hAnsi="Arial" w:cs="Arial"/>
        </w:rPr>
        <w:tab/>
      </w:r>
      <w:r>
        <w:rPr>
          <w:rFonts w:ascii="Arial" w:hAnsi="Arial" w:cs="Arial"/>
        </w:rPr>
        <w:tab/>
      </w:r>
      <w:r>
        <w:rPr>
          <w:rFonts w:ascii="Arial" w:hAnsi="Arial" w:cs="Arial"/>
        </w:rPr>
        <w:tab/>
        <w:t>15 to 120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Vehicles, plant, equipment</w:t>
      </w:r>
      <w:r>
        <w:rPr>
          <w:rFonts w:ascii="Arial" w:hAnsi="Arial" w:cs="Arial"/>
        </w:rPr>
        <w:tab/>
        <w:t>5 to 20 years</w:t>
      </w:r>
      <w:r>
        <w:rPr>
          <w:rFonts w:ascii="Arial" w:hAnsi="Arial" w:cs="Arial"/>
        </w:rPr>
        <w:tab/>
      </w:r>
      <w:r>
        <w:rPr>
          <w:rFonts w:ascii="Arial" w:hAnsi="Arial" w:cs="Arial"/>
        </w:rPr>
        <w:tab/>
        <w:t>straight line</w:t>
      </w:r>
    </w:p>
    <w:p w:rsidR="00B772AD" w:rsidRDefault="00B772AD" w:rsidP="00B772AD">
      <w:pPr>
        <w:ind w:left="66"/>
        <w:rPr>
          <w:rFonts w:ascii="Arial" w:hAnsi="Arial" w:cs="Arial"/>
        </w:rPr>
      </w:pPr>
      <w:r>
        <w:rPr>
          <w:rFonts w:ascii="Arial" w:hAnsi="Arial" w:cs="Arial"/>
        </w:rPr>
        <w:t>Intangibles</w:t>
      </w:r>
      <w:r>
        <w:rPr>
          <w:rFonts w:ascii="Arial" w:hAnsi="Arial" w:cs="Arial"/>
        </w:rPr>
        <w:tab/>
      </w:r>
      <w:r>
        <w:rPr>
          <w:rFonts w:ascii="Arial" w:hAnsi="Arial" w:cs="Arial"/>
        </w:rPr>
        <w:tab/>
      </w:r>
      <w:r>
        <w:rPr>
          <w:rFonts w:ascii="Arial" w:hAnsi="Arial" w:cs="Arial"/>
        </w:rPr>
        <w:tab/>
        <w:t>5 to 10 years</w:t>
      </w:r>
      <w:r>
        <w:rPr>
          <w:rFonts w:ascii="Arial" w:hAnsi="Arial" w:cs="Arial"/>
        </w:rPr>
        <w:tab/>
      </w:r>
      <w:r>
        <w:rPr>
          <w:rFonts w:ascii="Arial" w:hAnsi="Arial" w:cs="Arial"/>
        </w:rPr>
        <w:tab/>
        <w:t>straight line</w:t>
      </w:r>
    </w:p>
    <w:p w:rsidR="00746DB7" w:rsidRPr="00374305" w:rsidRDefault="00B772AD" w:rsidP="00B772AD">
      <w:pPr>
        <w:spacing w:before="0" w:after="0"/>
        <w:ind w:left="66"/>
        <w:rPr>
          <w:rFonts w:ascii="Arial" w:hAnsi="Arial" w:cs="Arial"/>
        </w:rPr>
      </w:pPr>
      <w:r>
        <w:rPr>
          <w:rFonts w:ascii="Arial" w:hAnsi="Arial" w:cs="Arial"/>
        </w:rPr>
        <w:t>Other</w:t>
      </w:r>
      <w:r>
        <w:rPr>
          <w:rFonts w:ascii="Arial" w:hAnsi="Arial" w:cs="Arial"/>
        </w:rPr>
        <w:tab/>
      </w:r>
      <w:r>
        <w:rPr>
          <w:rFonts w:ascii="Arial" w:hAnsi="Arial" w:cs="Arial"/>
        </w:rPr>
        <w:tab/>
      </w:r>
      <w:r>
        <w:rPr>
          <w:rFonts w:ascii="Arial" w:hAnsi="Arial" w:cs="Arial"/>
        </w:rPr>
        <w:tab/>
      </w:r>
      <w:r>
        <w:rPr>
          <w:rFonts w:ascii="Arial" w:hAnsi="Arial" w:cs="Arial"/>
        </w:rPr>
        <w:tab/>
        <w:t>10 to 120 years</w:t>
      </w:r>
      <w:r>
        <w:rPr>
          <w:rFonts w:ascii="Arial" w:hAnsi="Arial" w:cs="Arial"/>
        </w:rPr>
        <w:tab/>
      </w:r>
      <w:r>
        <w:rPr>
          <w:rFonts w:ascii="Arial" w:hAnsi="Arial" w:cs="Arial"/>
        </w:rPr>
        <w:tab/>
        <w:t>straight line</w:t>
      </w:r>
    </w:p>
    <w:p w:rsidR="00746DB7" w:rsidRPr="00374305" w:rsidRDefault="00746DB7" w:rsidP="00273FE9">
      <w:pPr>
        <w:pStyle w:val="ListParagraph"/>
        <w:spacing w:before="0" w:after="0"/>
        <w:ind w:left="0"/>
        <w:rPr>
          <w:rFonts w:ascii="Arial" w:hAnsi="Arial" w:cs="Arial"/>
          <w:sz w:val="16"/>
          <w:szCs w:val="16"/>
        </w:rPr>
      </w:pPr>
      <w:r w:rsidRPr="00374305">
        <w:rPr>
          <w:rFonts w:ascii="Arial" w:hAnsi="Arial" w:cs="Arial"/>
          <w:sz w:val="16"/>
          <w:szCs w:val="16"/>
        </w:rPr>
        <w:t>* Including components such as structure, mechanical and electrical, etc.</w:t>
      </w:r>
    </w:p>
    <w:p w:rsidR="00B772AD" w:rsidRPr="00375FD4" w:rsidRDefault="00B772AD" w:rsidP="00522D7C">
      <w:pPr>
        <w:spacing w:before="0" w:after="0"/>
        <w:rPr>
          <w:rFonts w:ascii="Arial" w:hAnsi="Arial" w:cs="Arial"/>
        </w:rPr>
      </w:pPr>
    </w:p>
    <w:p w:rsidR="00960A3F" w:rsidRPr="00375FD4" w:rsidRDefault="00960A3F" w:rsidP="00F94AC9">
      <w:pPr>
        <w:spacing w:before="0" w:after="0"/>
        <w:rPr>
          <w:rFonts w:ascii="Arial" w:hAnsi="Arial" w:cs="Arial"/>
        </w:rPr>
      </w:pPr>
      <w:r w:rsidRPr="00375FD4">
        <w:rPr>
          <w:rFonts w:ascii="Arial" w:hAnsi="Arial" w:cs="Arial"/>
        </w:rPr>
        <w:t>Where an item of property, plant and equipment assets has major components whose cost is significant in relation to the total cost of the item, the components are depreciated separately.</w:t>
      </w:r>
    </w:p>
    <w:p w:rsidR="00960A3F" w:rsidRPr="00375FD4" w:rsidRDefault="00960A3F" w:rsidP="00F94AC9">
      <w:pPr>
        <w:spacing w:before="0" w:after="0"/>
        <w:rPr>
          <w:rFonts w:ascii="Arial" w:hAnsi="Arial" w:cs="Arial"/>
        </w:rPr>
      </w:pPr>
    </w:p>
    <w:p w:rsidR="00960A3F" w:rsidRPr="00375FD4" w:rsidRDefault="00960A3F" w:rsidP="00F94AC9">
      <w:pPr>
        <w:spacing w:before="0" w:after="0"/>
        <w:rPr>
          <w:rFonts w:ascii="Arial" w:hAnsi="Arial" w:cs="Arial"/>
        </w:rPr>
      </w:pPr>
      <w:r w:rsidRPr="00375FD4">
        <w:rPr>
          <w:rFonts w:ascii="Arial" w:hAnsi="Arial" w:cs="Arial"/>
        </w:rPr>
        <w:t>Revaluation gains are also depreciated, with an amount equal to the difference between current depreciation charged on assets and the depreciation that would be chargeable based upon historic cost being transferred each year from the Revaluation Reserve to the Capital Adjustment Account.</w:t>
      </w:r>
    </w:p>
    <w:p w:rsidR="00A27D25" w:rsidRDefault="00A27D25" w:rsidP="00D977C3">
      <w:pPr>
        <w:spacing w:before="0" w:after="0"/>
        <w:jc w:val="both"/>
        <w:rPr>
          <w:rFonts w:ascii="Arial" w:hAnsi="Arial" w:cs="Arial"/>
          <w:b/>
          <w:sz w:val="24"/>
          <w:szCs w:val="24"/>
        </w:rPr>
      </w:pPr>
    </w:p>
    <w:p w:rsidR="00A27D25" w:rsidRDefault="00A27D25" w:rsidP="00D977C3">
      <w:pPr>
        <w:spacing w:before="0" w:after="0"/>
        <w:jc w:val="both"/>
        <w:rPr>
          <w:rFonts w:ascii="Arial" w:hAnsi="Arial" w:cs="Arial"/>
          <w:b/>
          <w:sz w:val="24"/>
          <w:szCs w:val="24"/>
        </w:rPr>
      </w:pPr>
    </w:p>
    <w:p w:rsidR="00EA05CA" w:rsidRDefault="00EA05CA" w:rsidP="00D977C3">
      <w:pPr>
        <w:spacing w:before="0" w:after="0"/>
        <w:jc w:val="both"/>
        <w:rPr>
          <w:rFonts w:ascii="Arial" w:hAnsi="Arial" w:cs="Arial"/>
          <w:b/>
          <w:sz w:val="24"/>
          <w:szCs w:val="24"/>
        </w:rPr>
      </w:pPr>
    </w:p>
    <w:p w:rsidR="00EA05CA" w:rsidRDefault="00EA05CA" w:rsidP="00D977C3">
      <w:pPr>
        <w:spacing w:before="0" w:after="0"/>
        <w:jc w:val="both"/>
        <w:rPr>
          <w:rFonts w:ascii="Arial" w:hAnsi="Arial" w:cs="Arial"/>
          <w:b/>
          <w:sz w:val="24"/>
          <w:szCs w:val="24"/>
        </w:rPr>
      </w:pPr>
    </w:p>
    <w:p w:rsidR="00EA05CA" w:rsidRDefault="00EA05CA" w:rsidP="00D977C3">
      <w:pPr>
        <w:spacing w:before="0" w:after="0"/>
        <w:jc w:val="both"/>
        <w:rPr>
          <w:rFonts w:ascii="Arial" w:hAnsi="Arial" w:cs="Arial"/>
          <w:b/>
          <w:sz w:val="24"/>
          <w:szCs w:val="24"/>
        </w:rPr>
      </w:pPr>
    </w:p>
    <w:p w:rsidR="00EA05CA" w:rsidRDefault="00EA05CA" w:rsidP="00D977C3">
      <w:pPr>
        <w:spacing w:before="0" w:after="0"/>
        <w:jc w:val="both"/>
        <w:rPr>
          <w:rFonts w:ascii="Arial" w:hAnsi="Arial" w:cs="Arial"/>
          <w:b/>
          <w:sz w:val="24"/>
          <w:szCs w:val="24"/>
        </w:rPr>
      </w:pPr>
    </w:p>
    <w:p w:rsidR="00D977C3" w:rsidRDefault="00D977C3" w:rsidP="00D977C3">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D977C3" w:rsidRPr="00375FD4" w:rsidRDefault="00D977C3" w:rsidP="00D977C3">
      <w:pPr>
        <w:spacing w:before="0" w:after="0"/>
        <w:jc w:val="both"/>
        <w:rPr>
          <w:rFonts w:ascii="Arial" w:hAnsi="Arial" w:cs="Arial"/>
        </w:rPr>
      </w:pPr>
    </w:p>
    <w:p w:rsidR="00D977C3" w:rsidRDefault="00EA05CA" w:rsidP="00D977C3">
      <w:pPr>
        <w:spacing w:before="0" w:after="0"/>
        <w:jc w:val="both"/>
        <w:rPr>
          <w:rFonts w:ascii="Arial" w:hAnsi="Arial" w:cs="Arial"/>
          <w:b/>
        </w:rPr>
      </w:pPr>
      <w:r>
        <w:rPr>
          <w:rFonts w:ascii="Arial" w:hAnsi="Arial" w:cs="Arial"/>
          <w:b/>
        </w:rPr>
        <w:t>Note 32</w:t>
      </w:r>
      <w:r w:rsidR="00D977C3" w:rsidRPr="00375FD4">
        <w:rPr>
          <w:rFonts w:ascii="Arial" w:hAnsi="Arial" w:cs="Arial"/>
          <w:b/>
        </w:rPr>
        <w:t xml:space="preserve"> - Accounting Policies (Cont’d)</w:t>
      </w:r>
    </w:p>
    <w:p w:rsidR="00C802B6" w:rsidRDefault="00C802B6" w:rsidP="00C802B6">
      <w:pPr>
        <w:pStyle w:val="ListParagraph"/>
        <w:spacing w:before="0" w:after="0"/>
        <w:ind w:left="426" w:hanging="360"/>
        <w:jc w:val="both"/>
        <w:rPr>
          <w:rFonts w:ascii="Arial" w:hAnsi="Arial" w:cs="Arial"/>
          <w:b/>
          <w:bCs/>
        </w:rPr>
      </w:pPr>
    </w:p>
    <w:p w:rsidR="00C802B6" w:rsidRPr="00375FD4" w:rsidRDefault="00C802B6" w:rsidP="00C802B6">
      <w:pPr>
        <w:pStyle w:val="ListParagraph"/>
        <w:spacing w:before="0" w:after="0"/>
        <w:ind w:left="426" w:hanging="360"/>
        <w:jc w:val="both"/>
        <w:rPr>
          <w:rFonts w:ascii="Arial" w:hAnsi="Arial" w:cs="Arial"/>
          <w:b/>
          <w:bCs/>
        </w:rPr>
      </w:pPr>
      <w:r>
        <w:rPr>
          <w:rFonts w:ascii="Arial" w:hAnsi="Arial" w:cs="Arial"/>
          <w:b/>
          <w:bCs/>
        </w:rPr>
        <w:t>6</w:t>
      </w:r>
      <w:r w:rsidRPr="00375FD4">
        <w:rPr>
          <w:rFonts w:ascii="Arial" w:hAnsi="Arial" w:cs="Arial"/>
          <w:b/>
          <w:bCs/>
        </w:rPr>
        <w:t>.</w:t>
      </w:r>
      <w:r w:rsidRPr="00375FD4">
        <w:rPr>
          <w:rFonts w:ascii="Arial" w:hAnsi="Arial" w:cs="Arial"/>
          <w:b/>
          <w:bCs/>
        </w:rPr>
        <w:tab/>
        <w:t>Property, Plant and Equipment</w:t>
      </w:r>
      <w:r>
        <w:rPr>
          <w:rFonts w:ascii="Arial" w:hAnsi="Arial" w:cs="Arial"/>
          <w:b/>
          <w:bCs/>
        </w:rPr>
        <w:t xml:space="preserve"> (Cont’d)</w:t>
      </w:r>
    </w:p>
    <w:p w:rsidR="00C802B6" w:rsidRDefault="00C802B6" w:rsidP="00C802B6">
      <w:pPr>
        <w:spacing w:before="0" w:after="0"/>
        <w:jc w:val="both"/>
        <w:rPr>
          <w:rFonts w:ascii="Arial" w:hAnsi="Arial" w:cs="Arial"/>
          <w:u w:val="single"/>
        </w:rPr>
      </w:pPr>
    </w:p>
    <w:p w:rsidR="00C802B6" w:rsidRPr="00D977C3" w:rsidRDefault="00C802B6" w:rsidP="00C802B6">
      <w:pPr>
        <w:spacing w:before="0" w:after="0"/>
        <w:jc w:val="both"/>
        <w:rPr>
          <w:rFonts w:ascii="Arial" w:hAnsi="Arial" w:cs="Arial"/>
          <w:u w:val="single"/>
        </w:rPr>
      </w:pPr>
      <w:r w:rsidRPr="00D977C3">
        <w:rPr>
          <w:rFonts w:ascii="Arial" w:hAnsi="Arial" w:cs="Arial"/>
          <w:u w:val="single"/>
        </w:rPr>
        <w:t>Tangible fixed assets and depreciation – Common Good Assets</w:t>
      </w:r>
    </w:p>
    <w:p w:rsidR="00C802B6" w:rsidRDefault="00C802B6" w:rsidP="00C802B6">
      <w:pPr>
        <w:spacing w:before="0" w:after="0"/>
        <w:jc w:val="both"/>
        <w:rPr>
          <w:rFonts w:ascii="Arial" w:hAnsi="Arial" w:cs="Arial"/>
        </w:rPr>
      </w:pPr>
      <w:r>
        <w:rPr>
          <w:rFonts w:ascii="Arial" w:hAnsi="Arial" w:cs="Arial"/>
        </w:rPr>
        <w:t>All assets valued over £6,000 are capitalised and valued at market value. Depreciation is charged on assets other than Investment assets on a straight line basis over their estimates life. The Fund only holds investment assets.</w:t>
      </w:r>
    </w:p>
    <w:p w:rsidR="00D977C3" w:rsidRDefault="00D977C3" w:rsidP="00F94AC9">
      <w:pPr>
        <w:spacing w:before="0" w:after="0"/>
        <w:ind w:left="426" w:hanging="349"/>
        <w:jc w:val="both"/>
        <w:rPr>
          <w:rFonts w:ascii="Arial" w:hAnsi="Arial" w:cs="Arial"/>
          <w:b/>
        </w:rPr>
      </w:pPr>
    </w:p>
    <w:p w:rsidR="009B720F" w:rsidRPr="00375FD4" w:rsidRDefault="00A27C20" w:rsidP="00F94AC9">
      <w:pPr>
        <w:spacing w:before="0" w:after="0"/>
        <w:ind w:left="426" w:hanging="349"/>
        <w:jc w:val="both"/>
        <w:rPr>
          <w:rFonts w:ascii="Arial" w:hAnsi="Arial" w:cs="Arial"/>
        </w:rPr>
      </w:pPr>
      <w:r>
        <w:rPr>
          <w:rFonts w:ascii="Arial" w:hAnsi="Arial" w:cs="Arial"/>
          <w:b/>
        </w:rPr>
        <w:t>7</w:t>
      </w:r>
      <w:r w:rsidR="009B720F" w:rsidRPr="00375FD4">
        <w:rPr>
          <w:rFonts w:ascii="Arial" w:hAnsi="Arial" w:cs="Arial"/>
          <w:b/>
        </w:rPr>
        <w:t>.</w:t>
      </w:r>
      <w:r w:rsidR="009B720F" w:rsidRPr="00375FD4">
        <w:rPr>
          <w:rFonts w:ascii="Arial" w:hAnsi="Arial" w:cs="Arial"/>
          <w:b/>
        </w:rPr>
        <w:tab/>
        <w:t>Assets Held for Sale</w:t>
      </w:r>
    </w:p>
    <w:p w:rsidR="009B720F" w:rsidRPr="00375FD4" w:rsidRDefault="009B720F" w:rsidP="00522D7C">
      <w:pPr>
        <w:spacing w:before="0" w:after="0"/>
        <w:ind w:left="709"/>
        <w:jc w:val="both"/>
        <w:rPr>
          <w:rFonts w:ascii="Arial" w:hAnsi="Arial" w:cs="Arial"/>
        </w:rPr>
      </w:pPr>
    </w:p>
    <w:p w:rsidR="00B960E4" w:rsidRDefault="009B720F" w:rsidP="00F94AC9">
      <w:pPr>
        <w:spacing w:before="0" w:after="0"/>
        <w:rPr>
          <w:rFonts w:ascii="Arial" w:hAnsi="Arial" w:cs="Arial"/>
        </w:rPr>
      </w:pPr>
      <w:r w:rsidRPr="00375FD4">
        <w:rPr>
          <w:rFonts w:ascii="Arial" w:hAnsi="Arial" w:cs="Arial"/>
        </w:rPr>
        <w:t>The</w:t>
      </w:r>
      <w:r>
        <w:rPr>
          <w:rFonts w:ascii="Arial" w:hAnsi="Arial" w:cs="Arial"/>
        </w:rPr>
        <w:t>se</w:t>
      </w:r>
      <w:r w:rsidRPr="00375FD4">
        <w:rPr>
          <w:rFonts w:ascii="Arial" w:hAnsi="Arial" w:cs="Arial"/>
        </w:rPr>
        <w:t xml:space="preserve"> assets are measured at fair value, based on the amount at which the asset could be exchanged between knowledgeable parties at arm’s length, less costs to sell at the initial classification and at t</w:t>
      </w:r>
      <w:r>
        <w:rPr>
          <w:rFonts w:ascii="Arial" w:hAnsi="Arial" w:cs="Arial"/>
        </w:rPr>
        <w:t>he end of each reporting date.</w:t>
      </w:r>
      <w:r w:rsidRPr="00375FD4">
        <w:rPr>
          <w:rFonts w:ascii="Arial" w:hAnsi="Arial" w:cs="Arial"/>
        </w:rPr>
        <w:t xml:space="preserve"> Revaluation gains shall be recognised for any initial or subsequent increase in fair value less costs to sell but not in excess of the cumulative impairment loss or revaluation loss that have been recognised in the Surplus of Deficit on the Provision of Services.  Impairment losses (or revaluation losses) will be recognised for any </w:t>
      </w:r>
    </w:p>
    <w:p w:rsidR="00B34DD5" w:rsidRDefault="009B720F" w:rsidP="00F94AC9">
      <w:pPr>
        <w:spacing w:before="0" w:after="0"/>
        <w:rPr>
          <w:rFonts w:ascii="Arial" w:hAnsi="Arial" w:cs="Arial"/>
        </w:rPr>
      </w:pPr>
      <w:r w:rsidRPr="00375FD4">
        <w:rPr>
          <w:rFonts w:ascii="Arial" w:hAnsi="Arial" w:cs="Arial"/>
        </w:rPr>
        <w:t>subsequent decrease to fair value less costs to sell following reclassification in the Surplus or Deficit on the Provision of Service even where there is a balance on the assets Revaluation Reserve.</w:t>
      </w:r>
    </w:p>
    <w:p w:rsidR="00CF5591" w:rsidRDefault="00CF5591" w:rsidP="00522D7C">
      <w:pPr>
        <w:spacing w:before="0" w:after="0"/>
        <w:jc w:val="both"/>
        <w:rPr>
          <w:rFonts w:ascii="Arial" w:hAnsi="Arial" w:cs="Arial"/>
        </w:rPr>
      </w:pPr>
    </w:p>
    <w:p w:rsidR="00746DB7" w:rsidRPr="00375FD4" w:rsidRDefault="00A27C20" w:rsidP="00A27C20">
      <w:pPr>
        <w:spacing w:before="0" w:after="0"/>
        <w:ind w:left="426" w:hanging="426"/>
        <w:jc w:val="both"/>
        <w:rPr>
          <w:rFonts w:ascii="Arial" w:hAnsi="Arial" w:cs="Arial"/>
          <w:b/>
        </w:rPr>
      </w:pPr>
      <w:r>
        <w:rPr>
          <w:rFonts w:ascii="Arial" w:hAnsi="Arial" w:cs="Arial"/>
          <w:b/>
        </w:rPr>
        <w:t xml:space="preserve">8. </w:t>
      </w:r>
      <w:r>
        <w:rPr>
          <w:rFonts w:ascii="Arial" w:hAnsi="Arial" w:cs="Arial"/>
          <w:b/>
        </w:rPr>
        <w:tab/>
      </w:r>
      <w:r w:rsidR="00746DB7" w:rsidRPr="00375FD4">
        <w:rPr>
          <w:rFonts w:ascii="Arial" w:hAnsi="Arial" w:cs="Arial"/>
          <w:b/>
        </w:rPr>
        <w:t>Heritage assets</w:t>
      </w:r>
    </w:p>
    <w:p w:rsidR="00746DB7" w:rsidRPr="00375FD4" w:rsidRDefault="00746DB7" w:rsidP="00522D7C">
      <w:pPr>
        <w:autoSpaceDE w:val="0"/>
        <w:autoSpaceDN w:val="0"/>
        <w:adjustRightInd w:val="0"/>
        <w:spacing w:before="0" w:after="0"/>
        <w:jc w:val="both"/>
        <w:rPr>
          <w:rFonts w:ascii="Arial" w:hAnsi="Arial" w:cs="Arial"/>
          <w:lang w:val="en-US"/>
        </w:rPr>
      </w:pPr>
    </w:p>
    <w:p w:rsidR="00746DB7" w:rsidRDefault="00E04EE8" w:rsidP="00F94AC9">
      <w:pPr>
        <w:spacing w:before="0" w:after="0"/>
        <w:rPr>
          <w:rFonts w:ascii="Arial" w:hAnsi="Arial" w:cs="Arial"/>
        </w:rPr>
      </w:pPr>
      <w:r>
        <w:rPr>
          <w:rFonts w:ascii="Arial" w:hAnsi="Arial" w:cs="Arial"/>
        </w:rPr>
        <w:t>Heritage assets are</w:t>
      </w:r>
      <w:r w:rsidR="00746DB7" w:rsidRPr="00375FD4">
        <w:rPr>
          <w:rFonts w:ascii="Arial" w:hAnsi="Arial" w:cs="Arial"/>
        </w:rPr>
        <w:t xml:space="preserve"> presented separately in the balance sheet from other property, plant and equipment.  The assets </w:t>
      </w:r>
      <w:r w:rsidR="00455763">
        <w:rPr>
          <w:rFonts w:ascii="Arial" w:hAnsi="Arial" w:cs="Arial"/>
        </w:rPr>
        <w:t>are</w:t>
      </w:r>
      <w:r w:rsidR="00746DB7" w:rsidRPr="00375FD4">
        <w:rPr>
          <w:rFonts w:ascii="Arial" w:hAnsi="Arial" w:cs="Arial"/>
        </w:rPr>
        <w:t xml:space="preserve"> measured at historic </w:t>
      </w:r>
      <w:r w:rsidR="001C2895">
        <w:rPr>
          <w:rFonts w:ascii="Arial" w:hAnsi="Arial" w:cs="Arial"/>
        </w:rPr>
        <w:t>cost o</w:t>
      </w:r>
      <w:r w:rsidR="002E7DAC">
        <w:rPr>
          <w:rFonts w:ascii="Arial" w:hAnsi="Arial" w:cs="Arial"/>
        </w:rPr>
        <w:t>r fair value.  Where the c</w:t>
      </w:r>
      <w:r w:rsidR="00746DB7" w:rsidRPr="00375FD4">
        <w:rPr>
          <w:rFonts w:ascii="Arial" w:hAnsi="Arial" w:cs="Arial"/>
        </w:rPr>
        <w:t xml:space="preserve">ouncil considers that it is not practical to obtain a reliable valuation, the asset </w:t>
      </w:r>
      <w:r w:rsidR="00455763">
        <w:rPr>
          <w:rFonts w:ascii="Arial" w:hAnsi="Arial" w:cs="Arial"/>
        </w:rPr>
        <w:t>is not</w:t>
      </w:r>
      <w:r w:rsidR="00746DB7" w:rsidRPr="00375FD4">
        <w:rPr>
          <w:rFonts w:ascii="Arial" w:hAnsi="Arial" w:cs="Arial"/>
        </w:rPr>
        <w:t xml:space="preserve"> recognised on the Balance Sheet.  Where assets are measured at fair value, valuations</w:t>
      </w:r>
      <w:r w:rsidR="00455763">
        <w:rPr>
          <w:rFonts w:ascii="Arial" w:hAnsi="Arial" w:cs="Arial"/>
        </w:rPr>
        <w:t xml:space="preserve"> are</w:t>
      </w:r>
      <w:r w:rsidR="00746DB7" w:rsidRPr="00375FD4">
        <w:rPr>
          <w:rFonts w:ascii="Arial" w:hAnsi="Arial" w:cs="Arial"/>
        </w:rPr>
        <w:t xml:space="preserve"> made by</w:t>
      </w:r>
      <w:r w:rsidR="00B36E82">
        <w:rPr>
          <w:rFonts w:ascii="Arial" w:hAnsi="Arial" w:cs="Arial"/>
        </w:rPr>
        <w:t xml:space="preserve"> any method that is appropriate:</w:t>
      </w:r>
    </w:p>
    <w:p w:rsidR="00025BD3" w:rsidRDefault="00025BD3" w:rsidP="00F94AC9">
      <w:pPr>
        <w:spacing w:before="0" w:after="0"/>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ounting policies"/>
        <w:tblDescription w:val="heritage assets"/>
      </w:tblPr>
      <w:tblGrid>
        <w:gridCol w:w="3085"/>
        <w:gridCol w:w="5448"/>
      </w:tblGrid>
      <w:tr w:rsidR="00B36E82" w:rsidRPr="00B36E82" w:rsidTr="00274F66">
        <w:trPr>
          <w:tblHeader/>
        </w:trPr>
        <w:tc>
          <w:tcPr>
            <w:tcW w:w="3085" w:type="dxa"/>
          </w:tcPr>
          <w:p w:rsidR="00B36E82" w:rsidRPr="00B36E82" w:rsidRDefault="00B36E82" w:rsidP="00522D7C">
            <w:pPr>
              <w:spacing w:before="0" w:after="0"/>
              <w:jc w:val="both"/>
              <w:rPr>
                <w:rFonts w:ascii="Arial" w:hAnsi="Arial" w:cs="Arial"/>
                <w:b/>
              </w:rPr>
            </w:pPr>
            <w:r w:rsidRPr="00B36E82">
              <w:rPr>
                <w:rFonts w:ascii="Arial" w:hAnsi="Arial" w:cs="Arial"/>
                <w:b/>
              </w:rPr>
              <w:t>Type of asset</w:t>
            </w:r>
          </w:p>
        </w:tc>
        <w:tc>
          <w:tcPr>
            <w:tcW w:w="5448" w:type="dxa"/>
          </w:tcPr>
          <w:p w:rsidR="00B36E82" w:rsidRPr="00B36E82" w:rsidRDefault="00B36E82" w:rsidP="00522D7C">
            <w:pPr>
              <w:spacing w:before="0" w:after="0"/>
              <w:jc w:val="both"/>
              <w:rPr>
                <w:rFonts w:ascii="Arial" w:hAnsi="Arial" w:cs="Arial"/>
                <w:b/>
              </w:rPr>
            </w:pPr>
            <w:r>
              <w:rPr>
                <w:rFonts w:ascii="Arial" w:hAnsi="Arial" w:cs="Arial"/>
                <w:b/>
              </w:rPr>
              <w:t>Valuation method for Balance Sheet purposes</w:t>
            </w:r>
          </w:p>
        </w:tc>
      </w:tr>
      <w:tr w:rsidR="00B36E82" w:rsidTr="00F94AC9">
        <w:tc>
          <w:tcPr>
            <w:tcW w:w="3085" w:type="dxa"/>
          </w:tcPr>
          <w:p w:rsidR="00B36E82" w:rsidRPr="00E722A4" w:rsidRDefault="00374305" w:rsidP="00522D7C">
            <w:pPr>
              <w:spacing w:before="0" w:after="0"/>
              <w:jc w:val="both"/>
              <w:rPr>
                <w:rFonts w:ascii="Arial" w:hAnsi="Arial" w:cs="Arial"/>
              </w:rPr>
            </w:pPr>
            <w:r>
              <w:rPr>
                <w:rFonts w:ascii="Arial" w:hAnsi="Arial" w:cs="Arial"/>
              </w:rPr>
              <w:t>S</w:t>
            </w:r>
            <w:r w:rsidR="00B36E82" w:rsidRPr="00E722A4">
              <w:rPr>
                <w:rFonts w:ascii="Arial" w:hAnsi="Arial" w:cs="Arial"/>
              </w:rPr>
              <w:t>hip models</w:t>
            </w:r>
            <w:r w:rsidR="00F55858">
              <w:rPr>
                <w:rFonts w:ascii="Arial" w:hAnsi="Arial" w:cs="Arial"/>
              </w:rPr>
              <w:t>/ Silver and Commemorative wear</w:t>
            </w:r>
          </w:p>
          <w:p w:rsidR="00B36E82" w:rsidRPr="00E722A4" w:rsidRDefault="00B36E82" w:rsidP="00522D7C">
            <w:pPr>
              <w:spacing w:before="0" w:after="0"/>
              <w:jc w:val="both"/>
              <w:rPr>
                <w:rFonts w:ascii="Arial" w:hAnsi="Arial" w:cs="Arial"/>
              </w:rPr>
            </w:pPr>
          </w:p>
        </w:tc>
        <w:tc>
          <w:tcPr>
            <w:tcW w:w="5448" w:type="dxa"/>
          </w:tcPr>
          <w:p w:rsidR="00C32EDF" w:rsidRPr="00D977C3" w:rsidRDefault="00B36E82" w:rsidP="00D977C3">
            <w:pPr>
              <w:spacing w:before="0" w:after="0"/>
              <w:rPr>
                <w:rFonts w:ascii="Arial" w:hAnsi="Arial" w:cs="Arial"/>
                <w:lang w:val="en-US"/>
              </w:rPr>
            </w:pPr>
            <w:r>
              <w:rPr>
                <w:rFonts w:ascii="Arial" w:hAnsi="Arial" w:cs="Arial"/>
              </w:rPr>
              <w:t>T</w:t>
            </w:r>
            <w:r w:rsidRPr="00375FD4">
              <w:rPr>
                <w:rFonts w:ascii="Arial" w:hAnsi="Arial" w:cs="Arial"/>
              </w:rPr>
              <w:t xml:space="preserve">he last formal valuations </w:t>
            </w:r>
            <w:r w:rsidR="00D977C3">
              <w:rPr>
                <w:rFonts w:ascii="Arial" w:hAnsi="Arial" w:cs="Arial"/>
              </w:rPr>
              <w:t xml:space="preserve">were </w:t>
            </w:r>
            <w:r w:rsidRPr="00375FD4">
              <w:rPr>
                <w:rFonts w:ascii="Arial" w:hAnsi="Arial" w:cs="Arial"/>
              </w:rPr>
              <w:t>by Bonhams, Sotheby’s and Phillips</w:t>
            </w:r>
            <w:r w:rsidR="00F55858">
              <w:rPr>
                <w:rFonts w:ascii="Arial" w:hAnsi="Arial" w:cs="Arial"/>
              </w:rPr>
              <w:t xml:space="preserve">. </w:t>
            </w:r>
            <w:r w:rsidRPr="00375FD4">
              <w:rPr>
                <w:rFonts w:ascii="Arial" w:hAnsi="Arial" w:cs="Arial"/>
                <w:lang w:val="en-US"/>
              </w:rPr>
              <w:t>Further formal valuations will be commissioned where it is considered that there could potentially be a material change in value and where the value of the asset is estimated to be in excess of £10,000</w:t>
            </w:r>
          </w:p>
        </w:tc>
      </w:tr>
      <w:tr w:rsidR="00F55858" w:rsidTr="00F94AC9">
        <w:tc>
          <w:tcPr>
            <w:tcW w:w="3085" w:type="dxa"/>
          </w:tcPr>
          <w:p w:rsidR="00F55858" w:rsidRPr="00E722A4" w:rsidRDefault="00F55858" w:rsidP="00522D7C">
            <w:pPr>
              <w:spacing w:before="0" w:after="0"/>
              <w:jc w:val="both"/>
              <w:rPr>
                <w:rFonts w:ascii="Arial" w:hAnsi="Arial" w:cs="Arial"/>
              </w:rPr>
            </w:pPr>
            <w:r>
              <w:rPr>
                <w:rFonts w:ascii="Arial" w:hAnsi="Arial" w:cs="Arial"/>
              </w:rPr>
              <w:t>W</w:t>
            </w:r>
            <w:r w:rsidRPr="00E722A4">
              <w:rPr>
                <w:rFonts w:ascii="Arial" w:hAnsi="Arial" w:cs="Arial"/>
              </w:rPr>
              <w:t>orks of art</w:t>
            </w:r>
          </w:p>
          <w:p w:rsidR="00F55858" w:rsidRPr="00E722A4" w:rsidRDefault="00F55858" w:rsidP="00522D7C">
            <w:pPr>
              <w:spacing w:before="0" w:after="0"/>
              <w:jc w:val="both"/>
              <w:rPr>
                <w:rFonts w:ascii="Arial" w:hAnsi="Arial" w:cs="Arial"/>
              </w:rPr>
            </w:pPr>
          </w:p>
        </w:tc>
        <w:tc>
          <w:tcPr>
            <w:tcW w:w="5448" w:type="dxa"/>
          </w:tcPr>
          <w:p w:rsidR="00F55858" w:rsidRPr="00F55858" w:rsidRDefault="00F55858" w:rsidP="00522D7C">
            <w:pPr>
              <w:spacing w:before="0" w:after="0"/>
              <w:rPr>
                <w:rFonts w:ascii="Arial" w:hAnsi="Arial" w:cs="Arial"/>
              </w:rPr>
            </w:pPr>
            <w:r>
              <w:rPr>
                <w:rFonts w:ascii="Arial" w:hAnsi="Arial" w:cs="Arial"/>
              </w:rPr>
              <w:t>T</w:t>
            </w:r>
            <w:r w:rsidRPr="00375FD4">
              <w:rPr>
                <w:rFonts w:ascii="Arial" w:hAnsi="Arial" w:cs="Arial"/>
              </w:rPr>
              <w:t>he last formal valuations by Bonhams, Sotheby’s and Phillips</w:t>
            </w:r>
            <w:r>
              <w:rPr>
                <w:rFonts w:ascii="Arial" w:hAnsi="Arial" w:cs="Arial"/>
              </w:rPr>
              <w:t xml:space="preserve">. </w:t>
            </w:r>
            <w:r w:rsidRPr="00CB1952">
              <w:rPr>
                <w:rFonts w:ascii="Arial" w:hAnsi="Arial" w:cs="Arial"/>
                <w:lang w:val="en-US"/>
              </w:rPr>
              <w:t xml:space="preserve">Where a lower and upper valuation has been provided the mid valuation has been used </w:t>
            </w:r>
          </w:p>
          <w:p w:rsidR="00F55858" w:rsidRPr="00374305" w:rsidRDefault="00F55858" w:rsidP="00522D7C">
            <w:pPr>
              <w:spacing w:before="0" w:after="0"/>
              <w:rPr>
                <w:rFonts w:ascii="Arial" w:hAnsi="Arial" w:cs="Arial"/>
                <w:lang w:val="en-US"/>
              </w:rPr>
            </w:pPr>
            <w:r w:rsidRPr="00375FD4">
              <w:rPr>
                <w:rFonts w:ascii="Arial" w:hAnsi="Arial" w:cs="Arial"/>
                <w:lang w:val="en-US"/>
              </w:rPr>
              <w:t>Further formal valuations will be commissioned where it is considered that there could potentially be a material change in the value of the assets held</w:t>
            </w:r>
          </w:p>
        </w:tc>
      </w:tr>
      <w:tr w:rsidR="00F55858" w:rsidTr="00F94AC9">
        <w:tc>
          <w:tcPr>
            <w:tcW w:w="3085" w:type="dxa"/>
          </w:tcPr>
          <w:p w:rsidR="00F55858" w:rsidRDefault="00F55858" w:rsidP="00522D7C">
            <w:pPr>
              <w:spacing w:before="0" w:after="0"/>
              <w:jc w:val="both"/>
              <w:rPr>
                <w:rFonts w:ascii="Arial" w:hAnsi="Arial" w:cs="Arial"/>
              </w:rPr>
            </w:pPr>
            <w:r>
              <w:rPr>
                <w:rFonts w:ascii="Arial" w:hAnsi="Arial" w:cs="Arial"/>
              </w:rPr>
              <w:t>Civic Regalia</w:t>
            </w:r>
          </w:p>
        </w:tc>
        <w:tc>
          <w:tcPr>
            <w:tcW w:w="5448" w:type="dxa"/>
          </w:tcPr>
          <w:p w:rsidR="00F55858" w:rsidRPr="00374305" w:rsidRDefault="00F55858" w:rsidP="00522D7C">
            <w:pPr>
              <w:spacing w:before="0" w:after="0"/>
              <w:rPr>
                <w:rFonts w:ascii="Arial" w:hAnsi="Arial" w:cs="Arial"/>
                <w:lang w:val="en-US"/>
              </w:rPr>
            </w:pPr>
            <w:r w:rsidRPr="00CB1952">
              <w:rPr>
                <w:rFonts w:ascii="Arial" w:hAnsi="Arial" w:cs="Arial"/>
                <w:lang w:val="en-US"/>
              </w:rPr>
              <w:t>The robes are not recognised on the balance sheet as they are considered to have no significant value.  However the chains are reported in the b</w:t>
            </w:r>
            <w:r w:rsidR="00960A3F">
              <w:rPr>
                <w:rFonts w:ascii="Arial" w:hAnsi="Arial" w:cs="Arial"/>
                <w:lang w:val="en-US"/>
              </w:rPr>
              <w:t>alance sheet at insurance value.</w:t>
            </w:r>
          </w:p>
        </w:tc>
      </w:tr>
      <w:tr w:rsidR="009B720F" w:rsidTr="00F9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top w:val="nil"/>
              <w:left w:val="nil"/>
              <w:bottom w:val="nil"/>
              <w:right w:val="nil"/>
            </w:tcBorders>
          </w:tcPr>
          <w:p w:rsidR="009B720F" w:rsidRDefault="009B720F" w:rsidP="00522D7C">
            <w:pPr>
              <w:spacing w:before="0" w:after="0"/>
              <w:jc w:val="both"/>
              <w:rPr>
                <w:rFonts w:ascii="Arial" w:hAnsi="Arial" w:cs="Arial"/>
              </w:rPr>
            </w:pPr>
            <w:r>
              <w:rPr>
                <w:rFonts w:ascii="Arial" w:hAnsi="Arial" w:cs="Arial"/>
              </w:rPr>
              <w:t>Sewing Machine Collection</w:t>
            </w:r>
          </w:p>
        </w:tc>
        <w:tc>
          <w:tcPr>
            <w:tcW w:w="5448" w:type="dxa"/>
            <w:tcBorders>
              <w:top w:val="nil"/>
              <w:left w:val="nil"/>
              <w:bottom w:val="nil"/>
              <w:right w:val="nil"/>
            </w:tcBorders>
          </w:tcPr>
          <w:p w:rsidR="009B720F" w:rsidRPr="00374305" w:rsidRDefault="009B720F" w:rsidP="00522D7C">
            <w:pPr>
              <w:spacing w:before="0" w:after="0"/>
              <w:rPr>
                <w:rFonts w:ascii="Arial" w:hAnsi="Arial" w:cs="Arial"/>
                <w:lang w:val="en-US"/>
              </w:rPr>
            </w:pPr>
            <w:r w:rsidRPr="00CB1952">
              <w:rPr>
                <w:rFonts w:ascii="Arial" w:hAnsi="Arial" w:cs="Arial"/>
                <w:lang w:val="en-US"/>
              </w:rPr>
              <w:t>These collections are not recognised on the balance sheet as cost information is not readily available.  Nearly all the items are believed to have an immaterial value.</w:t>
            </w:r>
          </w:p>
        </w:tc>
      </w:tr>
      <w:tr w:rsidR="009B720F" w:rsidTr="00F94A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85" w:type="dxa"/>
            <w:tcBorders>
              <w:top w:val="nil"/>
              <w:left w:val="nil"/>
              <w:bottom w:val="nil"/>
              <w:right w:val="nil"/>
            </w:tcBorders>
          </w:tcPr>
          <w:p w:rsidR="009B720F" w:rsidRDefault="009B720F" w:rsidP="00522D7C">
            <w:pPr>
              <w:spacing w:before="0" w:after="0"/>
              <w:jc w:val="both"/>
              <w:rPr>
                <w:rFonts w:ascii="Arial" w:hAnsi="Arial" w:cs="Arial"/>
              </w:rPr>
            </w:pPr>
            <w:r>
              <w:rPr>
                <w:rFonts w:ascii="Arial" w:hAnsi="Arial" w:cs="Arial"/>
              </w:rPr>
              <w:t>Listed Buildings and Scheduled Ancient Monuments</w:t>
            </w:r>
          </w:p>
        </w:tc>
        <w:tc>
          <w:tcPr>
            <w:tcW w:w="5448" w:type="dxa"/>
            <w:tcBorders>
              <w:top w:val="nil"/>
              <w:left w:val="nil"/>
              <w:bottom w:val="nil"/>
              <w:right w:val="nil"/>
            </w:tcBorders>
          </w:tcPr>
          <w:p w:rsidR="009B720F" w:rsidRDefault="009B720F" w:rsidP="00522D7C">
            <w:pPr>
              <w:spacing w:before="0" w:after="0"/>
              <w:rPr>
                <w:rFonts w:ascii="Arial" w:hAnsi="Arial" w:cs="Arial"/>
                <w:b/>
                <w:lang w:val="en-US"/>
              </w:rPr>
            </w:pPr>
            <w:r w:rsidRPr="00CB1952">
              <w:rPr>
                <w:rFonts w:ascii="Arial" w:hAnsi="Arial" w:cs="Arial"/>
                <w:lang w:val="en-US"/>
              </w:rPr>
              <w:t xml:space="preserve">These assets are not recognised on the balance sheet as it is considered that there is a lack of available, comparable market values to establish a ‘fair value’. </w:t>
            </w:r>
            <w:r>
              <w:rPr>
                <w:rFonts w:ascii="Arial" w:hAnsi="Arial" w:cs="Arial"/>
                <w:b/>
                <w:lang w:val="en-US"/>
              </w:rPr>
              <w:t xml:space="preserve"> </w:t>
            </w:r>
          </w:p>
          <w:p w:rsidR="009B720F" w:rsidRDefault="009B720F" w:rsidP="00522D7C">
            <w:pPr>
              <w:spacing w:before="0" w:after="0"/>
              <w:rPr>
                <w:rFonts w:ascii="Arial" w:hAnsi="Arial" w:cs="Arial"/>
              </w:rPr>
            </w:pPr>
            <w:r w:rsidRPr="00CB1952">
              <w:rPr>
                <w:rFonts w:ascii="Arial" w:hAnsi="Arial" w:cs="Arial"/>
                <w:lang w:val="en-US"/>
              </w:rPr>
              <w:t>I</w:t>
            </w:r>
            <w:r>
              <w:rPr>
                <w:rFonts w:ascii="Arial" w:hAnsi="Arial" w:cs="Arial"/>
                <w:lang w:val="en-US"/>
              </w:rPr>
              <w:t xml:space="preserve">t is </w:t>
            </w:r>
            <w:r w:rsidR="002E7DAC">
              <w:rPr>
                <w:rFonts w:ascii="Arial" w:hAnsi="Arial" w:cs="Arial"/>
                <w:lang w:val="en-US"/>
              </w:rPr>
              <w:t>unlikely that the c</w:t>
            </w:r>
            <w:r>
              <w:rPr>
                <w:rFonts w:ascii="Arial" w:hAnsi="Arial" w:cs="Arial"/>
                <w:lang w:val="en-US"/>
              </w:rPr>
              <w:t>ouncil</w:t>
            </w:r>
            <w:r w:rsidRPr="00CB1952">
              <w:rPr>
                <w:rFonts w:ascii="Arial" w:hAnsi="Arial" w:cs="Arial"/>
                <w:lang w:val="en-US"/>
              </w:rPr>
              <w:t xml:space="preserve"> would procure such assets but is more likely to refurbish or</w:t>
            </w:r>
            <w:r>
              <w:rPr>
                <w:rFonts w:ascii="Arial" w:hAnsi="Arial" w:cs="Arial"/>
                <w:b/>
                <w:lang w:val="en-US"/>
              </w:rPr>
              <w:t xml:space="preserve"> </w:t>
            </w:r>
            <w:r w:rsidRPr="00CB1952">
              <w:rPr>
                <w:rFonts w:ascii="Arial" w:hAnsi="Arial" w:cs="Arial"/>
                <w:lang w:val="en-US"/>
              </w:rPr>
              <w:t>enhance existing structures.  In this respect, the cost of those works will be capitalised at cost.</w:t>
            </w:r>
          </w:p>
        </w:tc>
      </w:tr>
    </w:tbl>
    <w:p w:rsidR="009B720F" w:rsidRDefault="009B720F" w:rsidP="00522D7C">
      <w:pPr>
        <w:autoSpaceDE w:val="0"/>
        <w:autoSpaceDN w:val="0"/>
        <w:adjustRightInd w:val="0"/>
        <w:spacing w:before="0" w:after="0"/>
        <w:ind w:left="709"/>
        <w:jc w:val="both"/>
        <w:rPr>
          <w:rFonts w:ascii="Arial" w:hAnsi="Arial" w:cs="Arial"/>
          <w:lang w:val="en-US"/>
        </w:rPr>
      </w:pPr>
    </w:p>
    <w:p w:rsidR="00C802B6" w:rsidRDefault="00C802B6" w:rsidP="00522D7C">
      <w:pPr>
        <w:autoSpaceDE w:val="0"/>
        <w:autoSpaceDN w:val="0"/>
        <w:adjustRightInd w:val="0"/>
        <w:spacing w:before="0" w:after="0"/>
        <w:ind w:left="709"/>
        <w:jc w:val="both"/>
        <w:rPr>
          <w:rFonts w:ascii="Arial" w:hAnsi="Arial" w:cs="Arial"/>
          <w:lang w:val="en-US"/>
        </w:rPr>
      </w:pPr>
    </w:p>
    <w:p w:rsidR="00C802B6" w:rsidRDefault="00C802B6" w:rsidP="00522D7C">
      <w:pPr>
        <w:autoSpaceDE w:val="0"/>
        <w:autoSpaceDN w:val="0"/>
        <w:adjustRightInd w:val="0"/>
        <w:spacing w:before="0" w:after="0"/>
        <w:ind w:left="709"/>
        <w:jc w:val="both"/>
        <w:rPr>
          <w:rFonts w:ascii="Arial" w:hAnsi="Arial" w:cs="Arial"/>
          <w:lang w:val="en-US"/>
        </w:rPr>
      </w:pPr>
    </w:p>
    <w:p w:rsidR="00C802B6" w:rsidRDefault="00C802B6" w:rsidP="00522D7C">
      <w:pPr>
        <w:autoSpaceDE w:val="0"/>
        <w:autoSpaceDN w:val="0"/>
        <w:adjustRightInd w:val="0"/>
        <w:spacing w:before="0" w:after="0"/>
        <w:ind w:left="709"/>
        <w:jc w:val="both"/>
        <w:rPr>
          <w:rFonts w:ascii="Arial" w:hAnsi="Arial" w:cs="Arial"/>
          <w:lang w:val="en-US"/>
        </w:rPr>
      </w:pPr>
    </w:p>
    <w:p w:rsidR="00C802B6" w:rsidRDefault="00C802B6" w:rsidP="00D977C3">
      <w:pPr>
        <w:autoSpaceDE w:val="0"/>
        <w:autoSpaceDN w:val="0"/>
        <w:adjustRightInd w:val="0"/>
        <w:spacing w:before="0" w:after="0"/>
        <w:rPr>
          <w:rFonts w:ascii="Arial" w:hAnsi="Arial" w:cs="Arial"/>
          <w:lang w:val="en-US"/>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sidR="00EB691C">
        <w:rPr>
          <w:rFonts w:ascii="Arial" w:hAnsi="Arial" w:cs="Arial"/>
          <w:b/>
          <w:sz w:val="24"/>
          <w:szCs w:val="24"/>
        </w:rPr>
        <w:t xml:space="preserve"> and Information</w:t>
      </w:r>
      <w:r>
        <w:rPr>
          <w:rFonts w:ascii="Arial" w:hAnsi="Arial" w:cs="Arial"/>
          <w:b/>
          <w:sz w:val="24"/>
          <w:szCs w:val="24"/>
        </w:rPr>
        <w:t xml:space="preserve"> (Cont’d)</w:t>
      </w:r>
    </w:p>
    <w:p w:rsidR="00C802B6" w:rsidRPr="00375FD4" w:rsidRDefault="00C802B6" w:rsidP="00C802B6">
      <w:pPr>
        <w:spacing w:before="0" w:after="0"/>
        <w:jc w:val="both"/>
        <w:rPr>
          <w:rFonts w:ascii="Arial" w:hAnsi="Arial" w:cs="Arial"/>
        </w:rPr>
      </w:pPr>
    </w:p>
    <w:p w:rsidR="00C802B6" w:rsidRPr="00375FD4" w:rsidRDefault="00EA05CA" w:rsidP="00C802B6">
      <w:pPr>
        <w:spacing w:before="0" w:after="0"/>
        <w:jc w:val="both"/>
        <w:rPr>
          <w:rFonts w:ascii="Arial" w:hAnsi="Arial" w:cs="Arial"/>
          <w:b/>
        </w:rPr>
      </w:pPr>
      <w:r>
        <w:rPr>
          <w:rFonts w:ascii="Arial" w:hAnsi="Arial" w:cs="Arial"/>
          <w:b/>
        </w:rPr>
        <w:t>Note 32</w:t>
      </w:r>
      <w:r w:rsidR="00C802B6" w:rsidRPr="00375FD4">
        <w:rPr>
          <w:rFonts w:ascii="Arial" w:hAnsi="Arial" w:cs="Arial"/>
          <w:b/>
        </w:rPr>
        <w:t xml:space="preserve"> - Accounting Policies (Cont’d)</w:t>
      </w:r>
    </w:p>
    <w:p w:rsidR="00C802B6" w:rsidRPr="00F94AC9" w:rsidRDefault="00C802B6" w:rsidP="00C802B6">
      <w:pPr>
        <w:spacing w:before="0" w:after="0"/>
        <w:jc w:val="both"/>
        <w:rPr>
          <w:rFonts w:ascii="Arial" w:hAnsi="Arial" w:cs="Arial"/>
          <w:b/>
          <w:bCs/>
        </w:rPr>
      </w:pPr>
    </w:p>
    <w:p w:rsidR="00C802B6" w:rsidRPr="00A27C20" w:rsidRDefault="00C802B6" w:rsidP="00C802B6">
      <w:pPr>
        <w:spacing w:before="0" w:after="0"/>
        <w:ind w:left="426" w:hanging="426"/>
        <w:jc w:val="both"/>
        <w:rPr>
          <w:rFonts w:ascii="Arial" w:hAnsi="Arial" w:cs="Arial"/>
          <w:b/>
          <w:bCs/>
        </w:rPr>
      </w:pPr>
      <w:r>
        <w:rPr>
          <w:rFonts w:ascii="Arial" w:hAnsi="Arial" w:cs="Arial"/>
          <w:b/>
          <w:bCs/>
        </w:rPr>
        <w:t>9</w:t>
      </w:r>
      <w:r w:rsidRPr="00A27C20">
        <w:rPr>
          <w:rFonts w:ascii="Arial" w:hAnsi="Arial" w:cs="Arial"/>
          <w:b/>
          <w:bCs/>
        </w:rPr>
        <w:t>.</w:t>
      </w:r>
      <w:r w:rsidRPr="00A27C20">
        <w:rPr>
          <w:rFonts w:ascii="Arial" w:hAnsi="Arial" w:cs="Arial"/>
          <w:b/>
          <w:bCs/>
        </w:rPr>
        <w:tab/>
        <w:t>Construction Contract (Work in Progress)</w:t>
      </w:r>
    </w:p>
    <w:p w:rsidR="00C802B6" w:rsidRDefault="00C802B6" w:rsidP="00D977C3">
      <w:pPr>
        <w:autoSpaceDE w:val="0"/>
        <w:autoSpaceDN w:val="0"/>
        <w:adjustRightInd w:val="0"/>
        <w:spacing w:before="0" w:after="0"/>
        <w:rPr>
          <w:rFonts w:ascii="Arial" w:hAnsi="Arial" w:cs="Arial"/>
          <w:lang w:val="en-US"/>
        </w:rPr>
      </w:pPr>
    </w:p>
    <w:p w:rsidR="00746DB7" w:rsidRPr="00D977C3" w:rsidRDefault="00BF3E12" w:rsidP="00D977C3">
      <w:pPr>
        <w:autoSpaceDE w:val="0"/>
        <w:autoSpaceDN w:val="0"/>
        <w:adjustRightInd w:val="0"/>
        <w:spacing w:before="0" w:after="0"/>
        <w:rPr>
          <w:rFonts w:ascii="Arial" w:hAnsi="Arial" w:cs="Arial"/>
          <w:lang w:val="en-US"/>
        </w:rPr>
      </w:pPr>
      <w:r w:rsidRPr="00CB1952">
        <w:rPr>
          <w:rFonts w:ascii="Arial" w:hAnsi="Arial" w:cs="Arial"/>
          <w:lang w:val="en-US"/>
        </w:rPr>
        <w:t>Purchased ass</w:t>
      </w:r>
      <w:r w:rsidR="000E472E">
        <w:rPr>
          <w:rFonts w:ascii="Arial" w:hAnsi="Arial" w:cs="Arial"/>
          <w:lang w:val="en-US"/>
        </w:rPr>
        <w:t xml:space="preserve">ets are initially recognised at </w:t>
      </w:r>
      <w:r w:rsidRPr="00CB1952">
        <w:rPr>
          <w:rFonts w:ascii="Arial" w:hAnsi="Arial" w:cs="Arial"/>
          <w:lang w:val="en-US"/>
        </w:rPr>
        <w:t xml:space="preserve">cost and donations are recognised at valuation where that value is estimated to be greater than the threshold of £10,000 as specified above. </w:t>
      </w:r>
      <w:r w:rsidR="00746DB7" w:rsidRPr="00375FD4">
        <w:rPr>
          <w:rFonts w:ascii="Arial" w:hAnsi="Arial" w:cs="Arial"/>
        </w:rPr>
        <w:t>The carrying amounts are reviewed where there is evidence of impairment e.g. where an item has suffered physical deterioration or breakage or where doubts arise as to its authenticity.  Any impairment is recognised and m</w:t>
      </w:r>
      <w:r w:rsidR="002E7DAC">
        <w:rPr>
          <w:rFonts w:ascii="Arial" w:hAnsi="Arial" w:cs="Arial"/>
        </w:rPr>
        <w:t>easured in accordance with the c</w:t>
      </w:r>
      <w:r w:rsidR="00746DB7" w:rsidRPr="00375FD4">
        <w:rPr>
          <w:rFonts w:ascii="Arial" w:hAnsi="Arial" w:cs="Arial"/>
        </w:rPr>
        <w:t>ouncil’s general policies on impairment.</w:t>
      </w:r>
    </w:p>
    <w:p w:rsidR="00960A3F" w:rsidRDefault="00960A3F" w:rsidP="00F94AC9">
      <w:pPr>
        <w:spacing w:before="0" w:after="0"/>
        <w:jc w:val="both"/>
        <w:rPr>
          <w:rFonts w:ascii="Arial" w:hAnsi="Arial" w:cs="Arial"/>
        </w:rPr>
      </w:pPr>
    </w:p>
    <w:p w:rsidR="00746DB7" w:rsidRPr="00375FD4" w:rsidRDefault="00746DB7" w:rsidP="00F94AC9">
      <w:pPr>
        <w:spacing w:before="0" w:after="0"/>
        <w:rPr>
          <w:rFonts w:ascii="Arial" w:hAnsi="Arial" w:cs="Arial"/>
        </w:rPr>
      </w:pPr>
      <w:r w:rsidRPr="00375FD4">
        <w:rPr>
          <w:rFonts w:ascii="Arial" w:hAnsi="Arial" w:cs="Arial"/>
        </w:rPr>
        <w:t>No depreciation shall be chargeable on any heritage asset, in view of the indeterminate life and residual value.</w:t>
      </w:r>
    </w:p>
    <w:p w:rsidR="00746DB7" w:rsidRPr="00375FD4" w:rsidRDefault="00746DB7" w:rsidP="00F94AC9">
      <w:pPr>
        <w:spacing w:before="0" w:after="0"/>
        <w:rPr>
          <w:rFonts w:ascii="Arial" w:hAnsi="Arial" w:cs="Arial"/>
        </w:rPr>
      </w:pPr>
    </w:p>
    <w:p w:rsidR="00C802B6" w:rsidRDefault="00746DB7" w:rsidP="00F94AC9">
      <w:pPr>
        <w:spacing w:before="0" w:after="0"/>
        <w:rPr>
          <w:rFonts w:ascii="Arial" w:hAnsi="Arial" w:cs="Arial"/>
        </w:rPr>
      </w:pPr>
      <w:r w:rsidRPr="00375FD4">
        <w:rPr>
          <w:rFonts w:ascii="Arial" w:hAnsi="Arial" w:cs="Arial"/>
        </w:rPr>
        <w:t>The proceeds from any disposal of heritage assets are accoun</w:t>
      </w:r>
      <w:r w:rsidR="002E7DAC">
        <w:rPr>
          <w:rFonts w:ascii="Arial" w:hAnsi="Arial" w:cs="Arial"/>
        </w:rPr>
        <w:t>ted for in accordance with the c</w:t>
      </w:r>
      <w:r w:rsidRPr="00375FD4">
        <w:rPr>
          <w:rFonts w:ascii="Arial" w:hAnsi="Arial" w:cs="Arial"/>
        </w:rPr>
        <w:t>ouncil’s general provisions relating to the disposal of property, plant and equipment.</w:t>
      </w:r>
    </w:p>
    <w:p w:rsidR="00746DB7" w:rsidRDefault="00746DB7" w:rsidP="00F94AC9">
      <w:pPr>
        <w:spacing w:before="0" w:after="0"/>
        <w:rPr>
          <w:rFonts w:ascii="Arial" w:hAnsi="Arial" w:cs="Arial"/>
        </w:rPr>
      </w:pPr>
      <w:r w:rsidRPr="00375FD4">
        <w:rPr>
          <w:rFonts w:ascii="Arial" w:hAnsi="Arial" w:cs="Arial"/>
        </w:rPr>
        <w:t xml:space="preserve">  </w:t>
      </w:r>
    </w:p>
    <w:p w:rsidR="00746DB7" w:rsidRPr="00375FD4" w:rsidRDefault="00746DB7" w:rsidP="00F94AC9">
      <w:pPr>
        <w:pStyle w:val="ListParagraph"/>
        <w:spacing w:before="0" w:after="0"/>
        <w:ind w:left="0"/>
        <w:rPr>
          <w:rFonts w:ascii="Arial" w:hAnsi="Arial" w:cs="Arial"/>
        </w:rPr>
      </w:pPr>
      <w:r w:rsidRPr="00375FD4">
        <w:rPr>
          <w:rFonts w:ascii="Arial" w:hAnsi="Arial" w:cs="Arial"/>
        </w:rPr>
        <w:t>Work in progress is valued at cost plus an appropriate proportion of overheads, together with attributable profits and allowances for foreseeable losses.</w:t>
      </w:r>
    </w:p>
    <w:p w:rsidR="00746DB7" w:rsidRPr="00375FD4" w:rsidRDefault="00746DB7" w:rsidP="00522D7C">
      <w:pPr>
        <w:pStyle w:val="ListParagraph"/>
        <w:spacing w:before="0" w:after="0"/>
        <w:ind w:left="0"/>
        <w:jc w:val="both"/>
        <w:rPr>
          <w:rFonts w:ascii="Arial" w:hAnsi="Arial" w:cs="Arial"/>
        </w:rPr>
      </w:pPr>
    </w:p>
    <w:p w:rsidR="00746DB7" w:rsidRPr="00375FD4" w:rsidRDefault="00A27C20" w:rsidP="00F94AC9">
      <w:pPr>
        <w:pStyle w:val="ListParagraph"/>
        <w:spacing w:before="0" w:after="0"/>
        <w:ind w:left="426" w:hanging="426"/>
        <w:jc w:val="both"/>
        <w:rPr>
          <w:rFonts w:ascii="Arial" w:hAnsi="Arial" w:cs="Arial"/>
          <w:b/>
          <w:bCs/>
        </w:rPr>
      </w:pPr>
      <w:r>
        <w:rPr>
          <w:rFonts w:ascii="Arial" w:hAnsi="Arial" w:cs="Arial"/>
          <w:b/>
          <w:bCs/>
        </w:rPr>
        <w:t>10</w:t>
      </w:r>
      <w:r w:rsidR="00746DB7" w:rsidRPr="00375FD4">
        <w:rPr>
          <w:rFonts w:ascii="Arial" w:hAnsi="Arial" w:cs="Arial"/>
          <w:b/>
          <w:bCs/>
        </w:rPr>
        <w:t>.</w:t>
      </w:r>
      <w:r w:rsidR="00746DB7" w:rsidRPr="00375FD4">
        <w:rPr>
          <w:rFonts w:ascii="Arial" w:hAnsi="Arial" w:cs="Arial"/>
          <w:b/>
          <w:bCs/>
        </w:rPr>
        <w:tab/>
        <w:t>Employee Benefits</w:t>
      </w:r>
    </w:p>
    <w:p w:rsidR="00746DB7" w:rsidRPr="00375FD4" w:rsidRDefault="00746DB7" w:rsidP="00F94AC9">
      <w:pPr>
        <w:pStyle w:val="ListParagraph"/>
        <w:spacing w:before="0" w:after="0"/>
        <w:ind w:left="426"/>
        <w:jc w:val="both"/>
        <w:rPr>
          <w:rFonts w:ascii="Arial" w:hAnsi="Arial" w:cs="Arial"/>
          <w:b/>
          <w:bCs/>
        </w:rPr>
      </w:pPr>
    </w:p>
    <w:p w:rsidR="00746DB7" w:rsidRPr="00375FD4" w:rsidRDefault="00746DB7" w:rsidP="00F94AC9">
      <w:pPr>
        <w:pStyle w:val="ListParagraph"/>
        <w:spacing w:before="0" w:after="0"/>
        <w:ind w:left="0"/>
        <w:jc w:val="both"/>
        <w:rPr>
          <w:rFonts w:ascii="Arial" w:hAnsi="Arial" w:cs="Arial"/>
          <w:b/>
          <w:bCs/>
        </w:rPr>
      </w:pPr>
      <w:r w:rsidRPr="00375FD4">
        <w:rPr>
          <w:rFonts w:ascii="Arial" w:hAnsi="Arial" w:cs="Arial"/>
          <w:b/>
          <w:bCs/>
        </w:rPr>
        <w:t>Benefits payable during employment</w:t>
      </w:r>
    </w:p>
    <w:p w:rsidR="00746DB7" w:rsidRPr="00375FD4" w:rsidRDefault="00746DB7" w:rsidP="00F94AC9">
      <w:pPr>
        <w:pStyle w:val="ListParagraph"/>
        <w:spacing w:before="0" w:after="0"/>
        <w:ind w:left="0"/>
        <w:jc w:val="both"/>
        <w:rPr>
          <w:rFonts w:ascii="Arial" w:hAnsi="Arial" w:cs="Arial"/>
          <w:b/>
          <w:bCs/>
        </w:rPr>
      </w:pPr>
    </w:p>
    <w:p w:rsidR="00746DB7" w:rsidRPr="00375FD4" w:rsidRDefault="00746DB7" w:rsidP="00F94AC9">
      <w:pPr>
        <w:pStyle w:val="ListParagraph"/>
        <w:spacing w:before="0" w:after="0"/>
        <w:ind w:left="0"/>
        <w:rPr>
          <w:rFonts w:ascii="Arial" w:hAnsi="Arial" w:cs="Arial"/>
        </w:rPr>
      </w:pPr>
      <w:r w:rsidRPr="00375FD4">
        <w:rPr>
          <w:rFonts w:ascii="Arial" w:hAnsi="Arial" w:cs="Arial"/>
        </w:rPr>
        <w:t>Short term employee benefits (i.e. fall due within 12 months of the year-end), such as wages and salaries, paid leave, paid sick leave, bonuses and non monetary benefits for current employees are recognised as an expense in the year in which the e</w:t>
      </w:r>
      <w:r w:rsidR="002E7DAC">
        <w:rPr>
          <w:rFonts w:ascii="Arial" w:hAnsi="Arial" w:cs="Arial"/>
        </w:rPr>
        <w:t>mployees render service to the c</w:t>
      </w:r>
      <w:r w:rsidRPr="00375FD4">
        <w:rPr>
          <w:rFonts w:ascii="Arial" w:hAnsi="Arial" w:cs="Arial"/>
        </w:rPr>
        <w:t>ouncil. An accrual is made against the services in the Surplus or Deficit on the Provision of Service for the costs of holiday entitlement and other forms of leave earned by the employee but not taken before the year end and which employees can carry forward into the next financial year. Any accrual made is required under statute to be reversed out of the General Fund balance by a credit to the Statutory Mitigation Account in the Movement in Reserves Statement.</w:t>
      </w:r>
    </w:p>
    <w:p w:rsidR="00746DB7" w:rsidRPr="00375FD4" w:rsidRDefault="00746DB7" w:rsidP="00522D7C">
      <w:pPr>
        <w:pStyle w:val="ListParagraph"/>
        <w:spacing w:before="0" w:after="0"/>
        <w:ind w:left="0"/>
        <w:jc w:val="both"/>
        <w:rPr>
          <w:rFonts w:ascii="Arial" w:hAnsi="Arial" w:cs="Arial"/>
          <w:b/>
          <w:bCs/>
        </w:rPr>
      </w:pPr>
    </w:p>
    <w:p w:rsidR="009B720F" w:rsidRPr="00375FD4" w:rsidRDefault="009B720F" w:rsidP="00F94AC9">
      <w:pPr>
        <w:pStyle w:val="ListParagraph"/>
        <w:spacing w:before="0" w:after="0"/>
        <w:ind w:left="0"/>
        <w:jc w:val="both"/>
        <w:rPr>
          <w:rFonts w:ascii="Arial" w:hAnsi="Arial" w:cs="Arial"/>
          <w:b/>
          <w:bCs/>
        </w:rPr>
      </w:pPr>
      <w:r w:rsidRPr="00375FD4">
        <w:rPr>
          <w:rFonts w:ascii="Arial" w:hAnsi="Arial" w:cs="Arial"/>
          <w:b/>
          <w:bCs/>
        </w:rPr>
        <w:t>Termination Benefits</w:t>
      </w:r>
    </w:p>
    <w:p w:rsidR="009B720F" w:rsidRPr="00375FD4" w:rsidRDefault="009B720F" w:rsidP="00F94AC9">
      <w:pPr>
        <w:pStyle w:val="ListParagraph"/>
        <w:spacing w:before="0" w:after="0"/>
        <w:ind w:left="0"/>
        <w:jc w:val="both"/>
        <w:rPr>
          <w:rFonts w:ascii="Arial" w:hAnsi="Arial" w:cs="Arial"/>
          <w:b/>
          <w:bCs/>
        </w:rPr>
      </w:pPr>
    </w:p>
    <w:p w:rsidR="009B720F" w:rsidRPr="00375FD4" w:rsidRDefault="009B720F" w:rsidP="00F94AC9">
      <w:pPr>
        <w:pStyle w:val="ListParagraph"/>
        <w:spacing w:before="0" w:after="0"/>
        <w:ind w:left="0"/>
        <w:rPr>
          <w:rFonts w:ascii="Arial" w:hAnsi="Arial" w:cs="Arial"/>
        </w:rPr>
      </w:pPr>
      <w:r w:rsidRPr="00375FD4">
        <w:rPr>
          <w:rFonts w:ascii="Arial" w:hAnsi="Arial" w:cs="Arial"/>
        </w:rPr>
        <w:t>Termination benefits are amounts payable as a re</w:t>
      </w:r>
      <w:r w:rsidR="002E7DAC">
        <w:rPr>
          <w:rFonts w:ascii="Arial" w:hAnsi="Arial" w:cs="Arial"/>
        </w:rPr>
        <w:t>sult of a decision made by the c</w:t>
      </w:r>
      <w:r w:rsidRPr="00375FD4">
        <w:rPr>
          <w:rFonts w:ascii="Arial" w:hAnsi="Arial" w:cs="Arial"/>
        </w:rPr>
        <w:t>ouncil to terminate an officer’s employment before the normal retirement date or an officer’s decision to accept a voluntary termination package in exchange for those benefits.  Terminati</w:t>
      </w:r>
      <w:r w:rsidR="002E7DAC">
        <w:rPr>
          <w:rFonts w:ascii="Arial" w:hAnsi="Arial" w:cs="Arial"/>
        </w:rPr>
        <w:t>on benefits do not provide the c</w:t>
      </w:r>
      <w:r w:rsidRPr="00375FD4">
        <w:rPr>
          <w:rFonts w:ascii="Arial" w:hAnsi="Arial" w:cs="Arial"/>
        </w:rPr>
        <w:t>ouncil with future economic benefits and consequently they are recognised on an accruals basis immediately in the Surplus or Deficit on the Provision of Services line in the Comprehensive Income and Expenditure Account when the authority is demonstrably committed to provision of the termination benefits.</w:t>
      </w:r>
    </w:p>
    <w:p w:rsidR="009B720F" w:rsidRPr="00375FD4" w:rsidRDefault="009B720F" w:rsidP="00F94AC9">
      <w:pPr>
        <w:pStyle w:val="ListParagraph"/>
        <w:spacing w:before="0" w:after="0"/>
        <w:ind w:left="0"/>
        <w:rPr>
          <w:rFonts w:ascii="Arial" w:hAnsi="Arial" w:cs="Arial"/>
        </w:rPr>
      </w:pPr>
    </w:p>
    <w:p w:rsidR="009B720F" w:rsidRPr="00375FD4" w:rsidRDefault="009B720F" w:rsidP="00F94AC9">
      <w:pPr>
        <w:pStyle w:val="ListParagraph"/>
        <w:spacing w:before="0" w:after="0"/>
        <w:ind w:left="0"/>
        <w:rPr>
          <w:rFonts w:ascii="Arial" w:hAnsi="Arial" w:cs="Arial"/>
        </w:rPr>
      </w:pPr>
      <w:r w:rsidRPr="00375FD4">
        <w:rPr>
          <w:rFonts w:ascii="Arial" w:hAnsi="Arial" w:cs="Arial"/>
        </w:rPr>
        <w:t>Where termination benefits involve the enhancement of pensions, they are treated as pension costs for the purpose of the statutory transfer between the Pension Reserve and the General Fund of the amount by which the pension costs calculated in accordance with the Code are different from the contributions due under the pension scheme regulations.  In the Movement in Reserves Statement appropriations are required to and from the Pension Reserve to remove notional debits and credits for termination benefits related to pensions enhancements and replace them with the cost of the cash paid, including any amounts due and not paid at the year end.</w:t>
      </w:r>
    </w:p>
    <w:p w:rsidR="009B720F" w:rsidRPr="00375FD4" w:rsidRDefault="009B720F" w:rsidP="00522D7C">
      <w:pPr>
        <w:pStyle w:val="ListParagraph"/>
        <w:spacing w:before="0" w:after="0"/>
        <w:ind w:left="0"/>
        <w:jc w:val="both"/>
        <w:rPr>
          <w:rFonts w:ascii="Arial" w:hAnsi="Arial" w:cs="Arial"/>
          <w:b/>
        </w:rPr>
      </w:pPr>
    </w:p>
    <w:p w:rsidR="00746DB7" w:rsidRPr="00375FD4" w:rsidRDefault="00746DB7" w:rsidP="00F94AC9">
      <w:pPr>
        <w:pStyle w:val="ListParagraph"/>
        <w:spacing w:before="0" w:after="0"/>
        <w:ind w:left="0"/>
        <w:jc w:val="both"/>
        <w:rPr>
          <w:rFonts w:ascii="Arial" w:hAnsi="Arial" w:cs="Arial"/>
          <w:b/>
          <w:bCs/>
        </w:rPr>
      </w:pPr>
      <w:r w:rsidRPr="00375FD4">
        <w:rPr>
          <w:rFonts w:ascii="Arial" w:hAnsi="Arial" w:cs="Arial"/>
          <w:b/>
          <w:bCs/>
        </w:rPr>
        <w:t>Post Employment Benefits</w:t>
      </w:r>
    </w:p>
    <w:p w:rsidR="00746DB7" w:rsidRPr="00375FD4" w:rsidRDefault="00746DB7" w:rsidP="00F94AC9">
      <w:pPr>
        <w:pStyle w:val="ListParagraph"/>
        <w:spacing w:before="0" w:after="0"/>
        <w:ind w:left="0"/>
        <w:jc w:val="both"/>
        <w:rPr>
          <w:rFonts w:ascii="Arial" w:hAnsi="Arial" w:cs="Arial"/>
          <w:b/>
          <w:bCs/>
        </w:rPr>
      </w:pPr>
    </w:p>
    <w:p w:rsidR="00746DB7" w:rsidRPr="00375FD4" w:rsidRDefault="002E7DAC" w:rsidP="00F94AC9">
      <w:pPr>
        <w:pStyle w:val="ListParagraph"/>
        <w:spacing w:before="0" w:after="0"/>
        <w:ind w:left="0"/>
        <w:rPr>
          <w:rFonts w:ascii="Arial" w:hAnsi="Arial" w:cs="Arial"/>
        </w:rPr>
      </w:pPr>
      <w:r>
        <w:rPr>
          <w:rFonts w:ascii="Arial" w:hAnsi="Arial" w:cs="Arial"/>
        </w:rPr>
        <w:t>Employees of the c</w:t>
      </w:r>
      <w:r w:rsidR="00746DB7" w:rsidRPr="00375FD4">
        <w:rPr>
          <w:rFonts w:ascii="Arial" w:hAnsi="Arial" w:cs="Arial"/>
        </w:rPr>
        <w:t xml:space="preserve">ouncil are members of two separate </w:t>
      </w:r>
      <w:r w:rsidR="00746DB7">
        <w:rPr>
          <w:rFonts w:ascii="Arial" w:hAnsi="Arial" w:cs="Arial"/>
        </w:rPr>
        <w:t xml:space="preserve">defined </w:t>
      </w:r>
      <w:r w:rsidR="00746DB7" w:rsidRPr="00375FD4">
        <w:rPr>
          <w:rFonts w:ascii="Arial" w:hAnsi="Arial" w:cs="Arial"/>
        </w:rPr>
        <w:t>pension schemes:</w:t>
      </w:r>
    </w:p>
    <w:p w:rsidR="00746DB7" w:rsidRPr="00375FD4" w:rsidRDefault="00746DB7" w:rsidP="00522D7C">
      <w:pPr>
        <w:pStyle w:val="ListParagraph"/>
        <w:spacing w:before="0" w:after="0"/>
        <w:ind w:left="0"/>
        <w:rPr>
          <w:rFonts w:ascii="Arial" w:hAnsi="Arial" w:cs="Arial"/>
        </w:rPr>
      </w:pPr>
    </w:p>
    <w:p w:rsidR="00746DB7" w:rsidRPr="00375FD4" w:rsidRDefault="00746DB7" w:rsidP="00EA6E47">
      <w:pPr>
        <w:pStyle w:val="ListParagraph"/>
        <w:numPr>
          <w:ilvl w:val="0"/>
          <w:numId w:val="12"/>
        </w:numPr>
        <w:spacing w:before="0" w:after="0"/>
        <w:ind w:left="426" w:hanging="425"/>
        <w:contextualSpacing w:val="0"/>
        <w:rPr>
          <w:rFonts w:ascii="Arial" w:hAnsi="Arial" w:cs="Arial"/>
        </w:rPr>
      </w:pPr>
      <w:r w:rsidRPr="00375FD4">
        <w:rPr>
          <w:rFonts w:ascii="Arial" w:hAnsi="Arial" w:cs="Arial"/>
        </w:rPr>
        <w:t>the Teachers’ Pension Scheme, administered by the Scottish Pensions Agency; and</w:t>
      </w:r>
    </w:p>
    <w:p w:rsidR="00746DB7" w:rsidRPr="00375FD4" w:rsidRDefault="00746DB7" w:rsidP="00EA6E47">
      <w:pPr>
        <w:pStyle w:val="ListParagraph"/>
        <w:numPr>
          <w:ilvl w:val="0"/>
          <w:numId w:val="12"/>
        </w:numPr>
        <w:spacing w:before="0" w:after="0"/>
        <w:ind w:left="426" w:hanging="425"/>
        <w:contextualSpacing w:val="0"/>
        <w:rPr>
          <w:rFonts w:ascii="Arial" w:hAnsi="Arial" w:cs="Arial"/>
        </w:rPr>
      </w:pPr>
      <w:r w:rsidRPr="00375FD4">
        <w:rPr>
          <w:rFonts w:ascii="Arial" w:hAnsi="Arial" w:cs="Arial"/>
        </w:rPr>
        <w:t>the Local Government Pensions Scheme, administered by Glasgow City Council</w:t>
      </w:r>
      <w:r w:rsidR="00B960E4">
        <w:rPr>
          <w:rFonts w:ascii="Arial" w:hAnsi="Arial" w:cs="Arial"/>
        </w:rPr>
        <w:t>.</w:t>
      </w:r>
    </w:p>
    <w:p w:rsidR="00746DB7" w:rsidRPr="00375FD4" w:rsidRDefault="00746DB7" w:rsidP="00522D7C">
      <w:pPr>
        <w:spacing w:before="0" w:after="0"/>
        <w:ind w:left="720"/>
        <w:rPr>
          <w:rFonts w:ascii="Arial" w:hAnsi="Arial" w:cs="Arial"/>
        </w:rPr>
      </w:pPr>
    </w:p>
    <w:p w:rsidR="00C802B6" w:rsidRDefault="00C802B6" w:rsidP="00F94AC9">
      <w:pPr>
        <w:spacing w:before="0" w:after="0"/>
        <w:rPr>
          <w:rFonts w:ascii="Arial" w:hAnsi="Arial" w:cs="Arial"/>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sidR="00EB691C">
        <w:rPr>
          <w:rFonts w:ascii="Arial" w:hAnsi="Arial" w:cs="Arial"/>
          <w:b/>
          <w:sz w:val="24"/>
          <w:szCs w:val="24"/>
        </w:rPr>
        <w:t xml:space="preserve"> and Information</w:t>
      </w:r>
      <w:r>
        <w:rPr>
          <w:rFonts w:ascii="Arial" w:hAnsi="Arial" w:cs="Arial"/>
          <w:b/>
          <w:sz w:val="24"/>
          <w:szCs w:val="24"/>
        </w:rPr>
        <w:t xml:space="preserve"> (Cont’d)</w:t>
      </w:r>
    </w:p>
    <w:p w:rsidR="00C802B6" w:rsidRPr="00375FD4" w:rsidRDefault="00C802B6" w:rsidP="00C802B6">
      <w:pPr>
        <w:spacing w:before="0" w:after="0"/>
        <w:jc w:val="both"/>
        <w:rPr>
          <w:rFonts w:ascii="Arial" w:hAnsi="Arial" w:cs="Arial"/>
        </w:rPr>
      </w:pPr>
    </w:p>
    <w:p w:rsidR="00C802B6" w:rsidRPr="00375FD4" w:rsidRDefault="00EA05CA" w:rsidP="00C802B6">
      <w:pPr>
        <w:spacing w:before="0" w:after="0"/>
        <w:jc w:val="both"/>
        <w:rPr>
          <w:rFonts w:ascii="Arial" w:hAnsi="Arial" w:cs="Arial"/>
          <w:b/>
        </w:rPr>
      </w:pPr>
      <w:r>
        <w:rPr>
          <w:rFonts w:ascii="Arial" w:hAnsi="Arial" w:cs="Arial"/>
          <w:b/>
        </w:rPr>
        <w:t>Note 32</w:t>
      </w:r>
      <w:r w:rsidR="00C802B6" w:rsidRPr="00375FD4">
        <w:rPr>
          <w:rFonts w:ascii="Arial" w:hAnsi="Arial" w:cs="Arial"/>
          <w:b/>
        </w:rPr>
        <w:t xml:space="preserve"> - Accounting Policies (Cont’d)</w:t>
      </w:r>
    </w:p>
    <w:p w:rsidR="00C802B6" w:rsidRDefault="00C802B6" w:rsidP="00C802B6">
      <w:pPr>
        <w:spacing w:before="0" w:after="0"/>
        <w:rPr>
          <w:rFonts w:ascii="Arial" w:hAnsi="Arial" w:cs="Arial"/>
          <w:b/>
          <w:bCs/>
        </w:rPr>
      </w:pPr>
    </w:p>
    <w:p w:rsidR="00C802B6" w:rsidRPr="00375FD4" w:rsidRDefault="00C802B6" w:rsidP="00C802B6">
      <w:pPr>
        <w:pStyle w:val="ListParagraph"/>
        <w:spacing w:before="0" w:after="0"/>
        <w:ind w:left="426" w:hanging="426"/>
        <w:jc w:val="both"/>
        <w:rPr>
          <w:rFonts w:ascii="Arial" w:hAnsi="Arial" w:cs="Arial"/>
          <w:b/>
          <w:bCs/>
        </w:rPr>
      </w:pPr>
      <w:r>
        <w:rPr>
          <w:rFonts w:ascii="Arial" w:hAnsi="Arial" w:cs="Arial"/>
          <w:b/>
          <w:bCs/>
        </w:rPr>
        <w:t>10</w:t>
      </w:r>
      <w:r w:rsidRPr="00375FD4">
        <w:rPr>
          <w:rFonts w:ascii="Arial" w:hAnsi="Arial" w:cs="Arial"/>
          <w:b/>
          <w:bCs/>
        </w:rPr>
        <w:t>.</w:t>
      </w:r>
      <w:r w:rsidRPr="00375FD4">
        <w:rPr>
          <w:rFonts w:ascii="Arial" w:hAnsi="Arial" w:cs="Arial"/>
          <w:b/>
          <w:bCs/>
        </w:rPr>
        <w:tab/>
        <w:t>Employee Benefits</w:t>
      </w:r>
      <w:r>
        <w:rPr>
          <w:rFonts w:ascii="Arial" w:hAnsi="Arial" w:cs="Arial"/>
          <w:b/>
          <w:bCs/>
        </w:rPr>
        <w:t xml:space="preserve"> (cont’d)</w:t>
      </w:r>
    </w:p>
    <w:p w:rsidR="00C802B6" w:rsidRDefault="00C802B6" w:rsidP="00F94AC9">
      <w:pPr>
        <w:spacing w:before="0" w:after="0"/>
        <w:rPr>
          <w:rFonts w:ascii="Arial" w:hAnsi="Arial" w:cs="Arial"/>
        </w:rPr>
      </w:pPr>
    </w:p>
    <w:p w:rsidR="00746DB7" w:rsidRPr="00375FD4" w:rsidRDefault="00746DB7" w:rsidP="00F94AC9">
      <w:pPr>
        <w:spacing w:before="0" w:after="0"/>
        <w:rPr>
          <w:rFonts w:ascii="Arial" w:hAnsi="Arial" w:cs="Arial"/>
        </w:rPr>
      </w:pPr>
      <w:r w:rsidRPr="00375FD4">
        <w:rPr>
          <w:rFonts w:ascii="Arial" w:hAnsi="Arial" w:cs="Arial"/>
        </w:rPr>
        <w:t xml:space="preserve">In relation to retirement benefits, statutory provisions require the General Fund to be charged </w:t>
      </w:r>
      <w:r w:rsidR="002E7DAC">
        <w:rPr>
          <w:rFonts w:ascii="Arial" w:hAnsi="Arial" w:cs="Arial"/>
        </w:rPr>
        <w:t>with the amount payable by the c</w:t>
      </w:r>
      <w:r w:rsidRPr="00375FD4">
        <w:rPr>
          <w:rFonts w:ascii="Arial" w:hAnsi="Arial" w:cs="Arial"/>
        </w:rPr>
        <w:t>ouncil to the pension fund or directly to pensioners in the year, not the amount calculated in accordance to the relevant accounting standards.  In the Movement in Reserves Statement this means that there are appropriations to and from the Pension Reserve to remove any notional debits and credits for retirement benefits and replace them with the cash paid or payable at the year end, to the pension fund and pensioners.  The negative balance that arises on the Pension Reserve measures the beneficial impact on the General Fund of being required to account for retirement benefits on the basis of cash flows rather than as benefits earned by employees.</w:t>
      </w:r>
    </w:p>
    <w:p w:rsidR="00B960E4" w:rsidRDefault="00B960E4" w:rsidP="00F94AC9">
      <w:pPr>
        <w:spacing w:before="0" w:after="0"/>
        <w:rPr>
          <w:rFonts w:ascii="Arial" w:hAnsi="Arial" w:cs="Arial"/>
          <w:b/>
          <w:bCs/>
        </w:rPr>
      </w:pPr>
    </w:p>
    <w:p w:rsidR="00746DB7" w:rsidRPr="00375FD4" w:rsidRDefault="00746DB7" w:rsidP="00F94AC9">
      <w:pPr>
        <w:spacing w:before="0" w:after="0"/>
        <w:rPr>
          <w:rFonts w:ascii="Arial" w:hAnsi="Arial" w:cs="Arial"/>
          <w:b/>
          <w:bCs/>
        </w:rPr>
      </w:pPr>
      <w:r w:rsidRPr="00375FD4">
        <w:rPr>
          <w:rFonts w:ascii="Arial" w:hAnsi="Arial" w:cs="Arial"/>
          <w:b/>
          <w:bCs/>
        </w:rPr>
        <w:t>Discretionary Benefits</w:t>
      </w:r>
    </w:p>
    <w:p w:rsidR="00746DB7" w:rsidRPr="00375FD4" w:rsidRDefault="00746DB7" w:rsidP="00F94AC9">
      <w:pPr>
        <w:spacing w:before="0" w:after="0"/>
        <w:rPr>
          <w:rFonts w:ascii="Arial" w:hAnsi="Arial" w:cs="Arial"/>
        </w:rPr>
      </w:pPr>
    </w:p>
    <w:p w:rsidR="00374305" w:rsidRPr="00960A3F" w:rsidRDefault="002E7DAC" w:rsidP="00F94AC9">
      <w:pPr>
        <w:spacing w:before="0" w:after="0"/>
        <w:rPr>
          <w:rFonts w:ascii="Arial" w:hAnsi="Arial" w:cs="Arial"/>
        </w:rPr>
      </w:pPr>
      <w:r>
        <w:rPr>
          <w:rFonts w:ascii="Arial" w:hAnsi="Arial" w:cs="Arial"/>
        </w:rPr>
        <w:t>The c</w:t>
      </w:r>
      <w:r w:rsidR="00746DB7" w:rsidRPr="00375FD4">
        <w:rPr>
          <w:rFonts w:ascii="Arial" w:hAnsi="Arial" w:cs="Arial"/>
        </w:rPr>
        <w:t xml:space="preserve">ouncil has restricted powers to make discretionary awards of retirement benefits in the event of early retirements. Any liabilities estimated to arise as a result of an award to any member of staff (including teachers) arising from the use of these discretionary powers are accrued in the year of the decision to make the award and accounted for using the same policies as are applied to the </w:t>
      </w:r>
      <w:r w:rsidR="00960A3F">
        <w:rPr>
          <w:rFonts w:ascii="Arial" w:hAnsi="Arial" w:cs="Arial"/>
        </w:rPr>
        <w:t>local government pension scheme.</w:t>
      </w:r>
    </w:p>
    <w:p w:rsidR="00374305" w:rsidRPr="00375FD4" w:rsidRDefault="00374305" w:rsidP="00522D7C">
      <w:pPr>
        <w:spacing w:before="0" w:after="0"/>
        <w:jc w:val="both"/>
        <w:rPr>
          <w:rFonts w:ascii="Arial" w:hAnsi="Arial" w:cs="Arial"/>
          <w:b/>
        </w:rPr>
      </w:pPr>
    </w:p>
    <w:p w:rsidR="009B720F" w:rsidRPr="00375FD4" w:rsidRDefault="00A27C20" w:rsidP="00F94AC9">
      <w:pPr>
        <w:pStyle w:val="ListParagraph"/>
        <w:spacing w:before="0" w:after="0"/>
        <w:ind w:left="426" w:hanging="426"/>
        <w:jc w:val="both"/>
        <w:rPr>
          <w:rFonts w:ascii="Arial" w:hAnsi="Arial" w:cs="Arial"/>
          <w:b/>
          <w:bCs/>
        </w:rPr>
      </w:pPr>
      <w:r>
        <w:rPr>
          <w:rFonts w:ascii="Arial" w:hAnsi="Arial" w:cs="Arial"/>
          <w:b/>
          <w:bCs/>
        </w:rPr>
        <w:t>11</w:t>
      </w:r>
      <w:r w:rsidR="009B720F" w:rsidRPr="00375FD4">
        <w:rPr>
          <w:rFonts w:ascii="Arial" w:hAnsi="Arial" w:cs="Arial"/>
          <w:b/>
          <w:bCs/>
        </w:rPr>
        <w:t>.</w:t>
      </w:r>
      <w:r w:rsidR="009B720F" w:rsidRPr="00375FD4">
        <w:rPr>
          <w:rFonts w:ascii="Arial" w:hAnsi="Arial" w:cs="Arial"/>
          <w:b/>
          <w:bCs/>
        </w:rPr>
        <w:tab/>
      </w:r>
      <w:r w:rsidR="00F94AC9">
        <w:rPr>
          <w:rFonts w:ascii="Arial" w:hAnsi="Arial" w:cs="Arial"/>
          <w:b/>
          <w:bCs/>
        </w:rPr>
        <w:tab/>
      </w:r>
      <w:r w:rsidR="009B720F" w:rsidRPr="00375FD4">
        <w:rPr>
          <w:rFonts w:ascii="Arial" w:hAnsi="Arial" w:cs="Arial"/>
          <w:b/>
          <w:bCs/>
        </w:rPr>
        <w:t>Events after the reporting period</w:t>
      </w:r>
    </w:p>
    <w:p w:rsidR="009B720F" w:rsidRPr="00375FD4" w:rsidRDefault="009B720F" w:rsidP="00522D7C">
      <w:pPr>
        <w:pStyle w:val="ListParagraph"/>
        <w:spacing w:before="0" w:after="0"/>
        <w:ind w:left="360"/>
        <w:jc w:val="both"/>
        <w:rPr>
          <w:rFonts w:ascii="Arial" w:hAnsi="Arial" w:cs="Arial"/>
          <w:b/>
          <w:bCs/>
        </w:rPr>
      </w:pPr>
    </w:p>
    <w:p w:rsidR="009B720F" w:rsidRPr="00375FD4" w:rsidRDefault="009B720F" w:rsidP="00F94AC9">
      <w:pPr>
        <w:pStyle w:val="ListParagraph"/>
        <w:spacing w:before="0" w:after="0"/>
        <w:ind w:left="0"/>
        <w:rPr>
          <w:rFonts w:ascii="Arial" w:hAnsi="Arial" w:cs="Arial"/>
        </w:rPr>
      </w:pPr>
      <w:r w:rsidRPr="00375FD4">
        <w:rPr>
          <w:rFonts w:ascii="Arial" w:hAnsi="Arial" w:cs="Arial"/>
        </w:rPr>
        <w:t>Events after the reporting period are those events (both favourable and unfavourable) that occur between the end of the reporting period and the date when the Financial Statements are authorised for issue.  Two types have been identified:</w:t>
      </w:r>
    </w:p>
    <w:p w:rsidR="009B720F" w:rsidRPr="00375FD4" w:rsidRDefault="009B720F" w:rsidP="00F94AC9">
      <w:pPr>
        <w:pStyle w:val="ListParagraph"/>
        <w:spacing w:before="0" w:after="0"/>
        <w:ind w:left="0"/>
        <w:jc w:val="both"/>
        <w:rPr>
          <w:rFonts w:ascii="Arial" w:hAnsi="Arial" w:cs="Arial"/>
        </w:rPr>
      </w:pPr>
    </w:p>
    <w:p w:rsidR="009B720F" w:rsidRPr="00D104E4" w:rsidRDefault="009B720F" w:rsidP="00EA6E47">
      <w:pPr>
        <w:pStyle w:val="ListParagraph"/>
        <w:numPr>
          <w:ilvl w:val="0"/>
          <w:numId w:val="13"/>
        </w:numPr>
        <w:spacing w:before="0" w:after="0"/>
        <w:ind w:left="426" w:hanging="425"/>
        <w:contextualSpacing w:val="0"/>
        <w:jc w:val="both"/>
        <w:rPr>
          <w:rFonts w:ascii="Arial" w:hAnsi="Arial" w:cs="Arial"/>
        </w:rPr>
      </w:pPr>
      <w:r w:rsidRPr="00375FD4">
        <w:rPr>
          <w:rFonts w:ascii="Arial" w:hAnsi="Arial" w:cs="Arial"/>
        </w:rPr>
        <w:t>those that provide evidence of conditions that existed at the end of the reporting peri</w:t>
      </w:r>
      <w:r w:rsidR="006330AA">
        <w:rPr>
          <w:rFonts w:ascii="Arial" w:hAnsi="Arial" w:cs="Arial"/>
        </w:rPr>
        <w:t>od – the Financial Statements are</w:t>
      </w:r>
      <w:r w:rsidRPr="00375FD4">
        <w:rPr>
          <w:rFonts w:ascii="Arial" w:hAnsi="Arial" w:cs="Arial"/>
        </w:rPr>
        <w:t xml:space="preserve"> adjusted to reflect this; and</w:t>
      </w:r>
    </w:p>
    <w:p w:rsidR="009B720F" w:rsidRPr="00375FD4" w:rsidRDefault="009B720F" w:rsidP="00EA6E47">
      <w:pPr>
        <w:pStyle w:val="ListParagraph"/>
        <w:numPr>
          <w:ilvl w:val="0"/>
          <w:numId w:val="13"/>
        </w:numPr>
        <w:spacing w:before="0" w:after="0"/>
        <w:ind w:left="426" w:hanging="425"/>
        <w:contextualSpacing w:val="0"/>
        <w:jc w:val="both"/>
        <w:rPr>
          <w:rFonts w:ascii="Arial" w:hAnsi="Arial" w:cs="Arial"/>
        </w:rPr>
      </w:pPr>
      <w:r w:rsidRPr="00375FD4">
        <w:rPr>
          <w:rFonts w:ascii="Arial" w:hAnsi="Arial" w:cs="Arial"/>
        </w:rPr>
        <w:t>those that are indicative of conditions that arose after the reporting period – the Financial Statements are not adjusted to reflect this.  However, if the event is material, a disclosure is made within the notes of the nature and financial effect.</w:t>
      </w:r>
    </w:p>
    <w:p w:rsidR="009B720F" w:rsidRPr="00375FD4" w:rsidRDefault="009B720F" w:rsidP="00522D7C">
      <w:pPr>
        <w:pStyle w:val="ListParagraph"/>
        <w:spacing w:before="0" w:after="0"/>
        <w:ind w:left="0"/>
        <w:jc w:val="both"/>
        <w:rPr>
          <w:rFonts w:ascii="Arial" w:hAnsi="Arial" w:cs="Arial"/>
        </w:rPr>
      </w:pPr>
    </w:p>
    <w:p w:rsidR="009B720F" w:rsidRPr="00375FD4" w:rsidRDefault="00A27C20" w:rsidP="00F94AC9">
      <w:pPr>
        <w:pStyle w:val="ListParagraph"/>
        <w:spacing w:before="0" w:after="0"/>
        <w:ind w:left="0"/>
        <w:jc w:val="both"/>
        <w:rPr>
          <w:rFonts w:ascii="Arial" w:hAnsi="Arial" w:cs="Arial"/>
          <w:b/>
          <w:bCs/>
        </w:rPr>
      </w:pPr>
      <w:r>
        <w:rPr>
          <w:rFonts w:ascii="Arial" w:hAnsi="Arial" w:cs="Arial"/>
          <w:b/>
          <w:bCs/>
        </w:rPr>
        <w:t>12</w:t>
      </w:r>
      <w:r w:rsidR="00F94AC9">
        <w:rPr>
          <w:rFonts w:ascii="Arial" w:hAnsi="Arial" w:cs="Arial"/>
          <w:b/>
          <w:bCs/>
        </w:rPr>
        <w:t xml:space="preserve">. </w:t>
      </w:r>
      <w:r w:rsidR="00F94AC9">
        <w:rPr>
          <w:rFonts w:ascii="Arial" w:hAnsi="Arial" w:cs="Arial"/>
          <w:b/>
          <w:bCs/>
        </w:rPr>
        <w:tab/>
      </w:r>
      <w:r w:rsidR="009B720F" w:rsidRPr="00375FD4">
        <w:rPr>
          <w:rFonts w:ascii="Arial" w:hAnsi="Arial" w:cs="Arial"/>
          <w:b/>
          <w:bCs/>
        </w:rPr>
        <w:t>Exceptional items</w:t>
      </w:r>
    </w:p>
    <w:p w:rsidR="009B720F" w:rsidRPr="00375FD4" w:rsidRDefault="009B720F" w:rsidP="00522D7C">
      <w:pPr>
        <w:pStyle w:val="ListParagraph"/>
        <w:spacing w:before="0" w:after="0"/>
        <w:ind w:left="360"/>
        <w:jc w:val="both"/>
        <w:rPr>
          <w:rFonts w:ascii="Arial" w:hAnsi="Arial" w:cs="Arial"/>
          <w:b/>
          <w:bCs/>
        </w:rPr>
      </w:pPr>
    </w:p>
    <w:p w:rsidR="009B720F" w:rsidRPr="00375FD4" w:rsidRDefault="009B720F" w:rsidP="00F94AC9">
      <w:pPr>
        <w:pStyle w:val="ListParagraph"/>
        <w:spacing w:before="0" w:after="0"/>
        <w:ind w:left="0"/>
        <w:rPr>
          <w:rFonts w:ascii="Arial" w:hAnsi="Arial" w:cs="Arial"/>
        </w:rPr>
      </w:pPr>
      <w:r w:rsidRPr="00375FD4">
        <w:rPr>
          <w:rFonts w:ascii="Arial" w:hAnsi="Arial" w:cs="Arial"/>
        </w:rPr>
        <w:t>When items of income and expenditure are material, their nature and amount is disclosed separately, either within the Comprehensive Income and Expenditure Statement or in the notes to the accounts, depending on how significant the items a</w:t>
      </w:r>
      <w:r w:rsidR="002E7DAC">
        <w:rPr>
          <w:rFonts w:ascii="Arial" w:hAnsi="Arial" w:cs="Arial"/>
        </w:rPr>
        <w:t>re to the understanding of the c</w:t>
      </w:r>
      <w:r w:rsidRPr="00375FD4">
        <w:rPr>
          <w:rFonts w:ascii="Arial" w:hAnsi="Arial" w:cs="Arial"/>
        </w:rPr>
        <w:t>ouncil’s financial performance.</w:t>
      </w:r>
      <w:r w:rsidRPr="00375FD4">
        <w:rPr>
          <w:rFonts w:ascii="Arial" w:hAnsi="Arial" w:cs="Arial"/>
          <w:b/>
        </w:rPr>
        <w:t xml:space="preserve"> </w:t>
      </w:r>
    </w:p>
    <w:p w:rsidR="009B720F" w:rsidRPr="00CF5591" w:rsidRDefault="009B720F" w:rsidP="00522D7C">
      <w:pPr>
        <w:spacing w:before="0" w:after="0"/>
        <w:rPr>
          <w:rFonts w:ascii="Arial" w:hAnsi="Arial" w:cs="Arial"/>
          <w:b/>
          <w:bCs/>
        </w:rPr>
      </w:pPr>
    </w:p>
    <w:p w:rsidR="009B720F" w:rsidRPr="00375FD4" w:rsidRDefault="00A27C20" w:rsidP="00F94AC9">
      <w:pPr>
        <w:pStyle w:val="ListParagraph"/>
        <w:spacing w:before="0" w:after="0"/>
        <w:ind w:left="426" w:hanging="426"/>
        <w:rPr>
          <w:rFonts w:ascii="Arial" w:hAnsi="Arial" w:cs="Arial"/>
          <w:b/>
          <w:bCs/>
        </w:rPr>
      </w:pPr>
      <w:r>
        <w:rPr>
          <w:rFonts w:ascii="Arial" w:hAnsi="Arial" w:cs="Arial"/>
          <w:b/>
          <w:bCs/>
        </w:rPr>
        <w:t>13</w:t>
      </w:r>
      <w:r w:rsidR="009B720F" w:rsidRPr="00375FD4">
        <w:rPr>
          <w:rFonts w:ascii="Arial" w:hAnsi="Arial" w:cs="Arial"/>
          <w:b/>
          <w:bCs/>
        </w:rPr>
        <w:t>.</w:t>
      </w:r>
      <w:r w:rsidR="009B720F" w:rsidRPr="00375FD4">
        <w:rPr>
          <w:rFonts w:ascii="Arial" w:hAnsi="Arial" w:cs="Arial"/>
          <w:b/>
          <w:bCs/>
        </w:rPr>
        <w:tab/>
      </w:r>
      <w:r w:rsidR="00F94AC9">
        <w:rPr>
          <w:rFonts w:ascii="Arial" w:hAnsi="Arial" w:cs="Arial"/>
          <w:b/>
          <w:bCs/>
        </w:rPr>
        <w:tab/>
      </w:r>
      <w:r w:rsidR="009B720F" w:rsidRPr="00375FD4">
        <w:rPr>
          <w:rFonts w:ascii="Arial" w:hAnsi="Arial" w:cs="Arial"/>
          <w:b/>
          <w:bCs/>
        </w:rPr>
        <w:t>Financial liabilities</w:t>
      </w:r>
    </w:p>
    <w:p w:rsidR="009B720F" w:rsidRPr="00375FD4" w:rsidRDefault="009B720F" w:rsidP="00522D7C">
      <w:pPr>
        <w:pStyle w:val="ListParagraph"/>
        <w:spacing w:before="0" w:after="0"/>
        <w:ind w:left="360"/>
        <w:rPr>
          <w:rFonts w:ascii="Arial" w:hAnsi="Arial" w:cs="Arial"/>
          <w:b/>
          <w:bCs/>
        </w:rPr>
      </w:pPr>
    </w:p>
    <w:p w:rsidR="009B720F" w:rsidRPr="00375FD4" w:rsidRDefault="009B720F" w:rsidP="00F94AC9">
      <w:pPr>
        <w:pStyle w:val="ListParagraph"/>
        <w:spacing w:before="0" w:after="0"/>
        <w:ind w:left="0"/>
        <w:rPr>
          <w:rFonts w:ascii="Arial" w:hAnsi="Arial" w:cs="Arial"/>
        </w:rPr>
      </w:pPr>
      <w:r w:rsidRPr="00375FD4">
        <w:rPr>
          <w:rFonts w:ascii="Arial" w:hAnsi="Arial" w:cs="Arial"/>
        </w:rPr>
        <w:t>Financial liabilities are recognised</w:t>
      </w:r>
      <w:r w:rsidR="002E7DAC">
        <w:rPr>
          <w:rFonts w:ascii="Arial" w:hAnsi="Arial" w:cs="Arial"/>
        </w:rPr>
        <w:t xml:space="preserve"> on the Balance Sheet when the c</w:t>
      </w:r>
      <w:r w:rsidRPr="00375FD4">
        <w:rPr>
          <w:rFonts w:ascii="Arial" w:hAnsi="Arial" w:cs="Arial"/>
        </w:rPr>
        <w:t>ouncil becomes party to the contractual provisions of a financial instrument and initially measured at fair value and carried at their amortised cost. Annual charges to the Financing and Investment Income and Expenditure line in the Comprehensive Income and Expenditure Statement for interest payable are based upon the carrying amount of the liability, multiplied by the effective rate of interest for the instrument. The effective interest rate is the rate that exactly discounts estimated future cash payments over the life of the instrument to the amount at which it was originally recognised.</w:t>
      </w:r>
    </w:p>
    <w:p w:rsidR="00746DB7" w:rsidRPr="00375FD4" w:rsidRDefault="00746DB7" w:rsidP="00F94AC9">
      <w:pPr>
        <w:pStyle w:val="ListParagraph"/>
        <w:spacing w:before="0" w:after="0"/>
        <w:ind w:left="0"/>
        <w:rPr>
          <w:rFonts w:ascii="Arial" w:hAnsi="Arial" w:cs="Arial"/>
        </w:rPr>
      </w:pPr>
    </w:p>
    <w:p w:rsidR="00746DB7" w:rsidRPr="00375FD4" w:rsidRDefault="00746DB7" w:rsidP="00F94AC9">
      <w:pPr>
        <w:pStyle w:val="ListParagraph"/>
        <w:spacing w:before="0" w:after="0"/>
        <w:ind w:left="0"/>
        <w:rPr>
          <w:rFonts w:ascii="Arial" w:hAnsi="Arial" w:cs="Arial"/>
        </w:rPr>
      </w:pPr>
      <w:r w:rsidRPr="00375FD4">
        <w:rPr>
          <w:rFonts w:ascii="Arial" w:hAnsi="Arial" w:cs="Arial"/>
        </w:rPr>
        <w:t xml:space="preserve">For </w:t>
      </w:r>
      <w:r w:rsidR="002E7DAC">
        <w:rPr>
          <w:rFonts w:ascii="Arial" w:hAnsi="Arial" w:cs="Arial"/>
        </w:rPr>
        <w:t>most of the borrowing that the c</w:t>
      </w:r>
      <w:r w:rsidRPr="00375FD4">
        <w:rPr>
          <w:rFonts w:ascii="Arial" w:hAnsi="Arial" w:cs="Arial"/>
        </w:rPr>
        <w:t>ouncil has this means that the amount presented in the Balance Sheet is the outstanding principal repayable (plus accrued interest).  Interest charged to the Comprehensive Income and Expenditure Statement is the amount payable for the year according to the loan agreement.</w:t>
      </w:r>
    </w:p>
    <w:p w:rsidR="00960A3F" w:rsidRPr="00F94AC9" w:rsidRDefault="00960A3F" w:rsidP="00F94AC9">
      <w:pPr>
        <w:spacing w:before="0" w:after="0"/>
        <w:jc w:val="both"/>
        <w:rPr>
          <w:rFonts w:ascii="Arial" w:hAnsi="Arial" w:cs="Arial"/>
          <w:b/>
          <w:bCs/>
        </w:rPr>
      </w:pPr>
    </w:p>
    <w:p w:rsidR="00C802B6" w:rsidRDefault="00C802B6" w:rsidP="00F94AC9">
      <w:pPr>
        <w:pStyle w:val="ListParagraph"/>
        <w:spacing w:before="0" w:after="0"/>
        <w:ind w:left="0"/>
        <w:rPr>
          <w:rFonts w:ascii="Arial" w:hAnsi="Arial" w:cs="Arial"/>
        </w:rPr>
      </w:pPr>
    </w:p>
    <w:p w:rsidR="00C802B6" w:rsidRDefault="00C802B6" w:rsidP="00F94AC9">
      <w:pPr>
        <w:pStyle w:val="ListParagraph"/>
        <w:spacing w:before="0" w:after="0"/>
        <w:ind w:left="0"/>
        <w:rPr>
          <w:rFonts w:ascii="Arial" w:hAnsi="Arial" w:cs="Arial"/>
        </w:rPr>
      </w:pPr>
    </w:p>
    <w:p w:rsidR="00C802B6" w:rsidRDefault="00C802B6" w:rsidP="00F94AC9">
      <w:pPr>
        <w:pStyle w:val="ListParagraph"/>
        <w:spacing w:before="0" w:after="0"/>
        <w:ind w:left="0"/>
        <w:rPr>
          <w:rFonts w:ascii="Arial" w:hAnsi="Arial" w:cs="Arial"/>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sidR="00EB691C">
        <w:rPr>
          <w:rFonts w:ascii="Arial" w:hAnsi="Arial" w:cs="Arial"/>
          <w:b/>
          <w:sz w:val="24"/>
          <w:szCs w:val="24"/>
        </w:rPr>
        <w:t xml:space="preserve"> and Information</w:t>
      </w:r>
      <w:r>
        <w:rPr>
          <w:rFonts w:ascii="Arial" w:hAnsi="Arial" w:cs="Arial"/>
          <w:b/>
          <w:sz w:val="24"/>
          <w:szCs w:val="24"/>
        </w:rPr>
        <w:t xml:space="preserve"> (Cont’d)</w:t>
      </w:r>
    </w:p>
    <w:p w:rsidR="00C802B6" w:rsidRDefault="00C802B6" w:rsidP="00C802B6">
      <w:pPr>
        <w:spacing w:before="0" w:after="0"/>
        <w:jc w:val="both"/>
        <w:rPr>
          <w:rFonts w:ascii="Arial" w:hAnsi="Arial" w:cs="Arial"/>
          <w:b/>
        </w:rPr>
      </w:pPr>
    </w:p>
    <w:p w:rsidR="00C802B6" w:rsidRPr="00375FD4" w:rsidRDefault="00EA05CA" w:rsidP="00C802B6">
      <w:pPr>
        <w:spacing w:before="0" w:after="0"/>
        <w:jc w:val="both"/>
        <w:rPr>
          <w:rFonts w:ascii="Arial" w:hAnsi="Arial" w:cs="Arial"/>
          <w:b/>
        </w:rPr>
      </w:pPr>
      <w:r>
        <w:rPr>
          <w:rFonts w:ascii="Arial" w:hAnsi="Arial" w:cs="Arial"/>
          <w:b/>
        </w:rPr>
        <w:t>Note 32</w:t>
      </w:r>
      <w:r w:rsidR="00C802B6" w:rsidRPr="00375FD4">
        <w:rPr>
          <w:rFonts w:ascii="Arial" w:hAnsi="Arial" w:cs="Arial"/>
          <w:b/>
        </w:rPr>
        <w:t xml:space="preserve"> - Accounting Policies (Cont’d)</w:t>
      </w:r>
    </w:p>
    <w:p w:rsidR="00C802B6" w:rsidRDefault="00C802B6" w:rsidP="00C802B6">
      <w:pPr>
        <w:pStyle w:val="ListParagraph"/>
        <w:spacing w:before="0" w:after="0"/>
        <w:ind w:left="0"/>
        <w:rPr>
          <w:rFonts w:ascii="Arial" w:hAnsi="Arial" w:cs="Arial"/>
          <w:b/>
          <w:bCs/>
        </w:rPr>
      </w:pPr>
    </w:p>
    <w:p w:rsidR="00C802B6" w:rsidRPr="00375FD4" w:rsidRDefault="00C802B6" w:rsidP="00C802B6">
      <w:pPr>
        <w:pStyle w:val="ListParagraph"/>
        <w:spacing w:before="0" w:after="0"/>
        <w:ind w:left="426" w:hanging="426"/>
        <w:rPr>
          <w:rFonts w:ascii="Arial" w:hAnsi="Arial" w:cs="Arial"/>
          <w:b/>
          <w:bCs/>
        </w:rPr>
      </w:pPr>
      <w:r>
        <w:rPr>
          <w:rFonts w:ascii="Arial" w:hAnsi="Arial" w:cs="Arial"/>
          <w:b/>
          <w:bCs/>
        </w:rPr>
        <w:t>13</w:t>
      </w:r>
      <w:r w:rsidRPr="00375FD4">
        <w:rPr>
          <w:rFonts w:ascii="Arial" w:hAnsi="Arial" w:cs="Arial"/>
          <w:b/>
          <w:bCs/>
        </w:rPr>
        <w:t>.</w:t>
      </w:r>
      <w:r w:rsidRPr="00375FD4">
        <w:rPr>
          <w:rFonts w:ascii="Arial" w:hAnsi="Arial" w:cs="Arial"/>
          <w:b/>
          <w:bCs/>
        </w:rPr>
        <w:tab/>
      </w:r>
      <w:r>
        <w:rPr>
          <w:rFonts w:ascii="Arial" w:hAnsi="Arial" w:cs="Arial"/>
          <w:b/>
          <w:bCs/>
        </w:rPr>
        <w:tab/>
      </w:r>
      <w:r w:rsidRPr="00375FD4">
        <w:rPr>
          <w:rFonts w:ascii="Arial" w:hAnsi="Arial" w:cs="Arial"/>
          <w:b/>
          <w:bCs/>
        </w:rPr>
        <w:t>Financial liabilities</w:t>
      </w:r>
      <w:r>
        <w:rPr>
          <w:rFonts w:ascii="Arial" w:hAnsi="Arial" w:cs="Arial"/>
          <w:b/>
          <w:bCs/>
        </w:rPr>
        <w:t xml:space="preserve"> (Cont’d)</w:t>
      </w:r>
    </w:p>
    <w:p w:rsidR="00C802B6" w:rsidRDefault="00C802B6" w:rsidP="00F94AC9">
      <w:pPr>
        <w:pStyle w:val="ListParagraph"/>
        <w:spacing w:before="0" w:after="0"/>
        <w:ind w:left="0"/>
        <w:rPr>
          <w:rFonts w:ascii="Arial" w:hAnsi="Arial" w:cs="Arial"/>
        </w:rPr>
      </w:pPr>
    </w:p>
    <w:p w:rsidR="00746DB7" w:rsidRPr="00375FD4" w:rsidRDefault="00746DB7" w:rsidP="00F94AC9">
      <w:pPr>
        <w:pStyle w:val="ListParagraph"/>
        <w:spacing w:before="0" w:after="0"/>
        <w:ind w:left="0"/>
        <w:rPr>
          <w:rFonts w:ascii="Arial" w:hAnsi="Arial" w:cs="Arial"/>
        </w:rPr>
      </w:pPr>
      <w:r w:rsidRPr="00375FD4">
        <w:rPr>
          <w:rFonts w:ascii="Arial" w:hAnsi="Arial" w:cs="Arial"/>
        </w:rPr>
        <w:t>Gains and losses on the repurchase or early settlement of borrowing are credited or debited to the Financing and Investment Income and Expenditure line in the Comprehensive Income and Expenditure Statement in the year of repurchase/settlement.  However, where repurchase has taken place as part of a restructuring of the loan portfolio that involves the modification or exchange of existing instruments, the premium or discount is respectively deducted from or added to the amortised cost of the new or modified loan and the write-down to the Comprehensive Income and Expenditure Statement is spread over the life of the loan by an adjustment to the effective interest rate.</w:t>
      </w:r>
    </w:p>
    <w:p w:rsidR="00B960E4" w:rsidRDefault="00B960E4" w:rsidP="00F94AC9">
      <w:pPr>
        <w:pStyle w:val="ListParagraph"/>
        <w:spacing w:before="0" w:after="0"/>
        <w:ind w:left="0"/>
        <w:rPr>
          <w:rFonts w:ascii="Arial" w:hAnsi="Arial" w:cs="Arial"/>
        </w:rPr>
      </w:pPr>
    </w:p>
    <w:p w:rsidR="00746DB7" w:rsidRPr="00375FD4" w:rsidRDefault="00746DB7" w:rsidP="00F94AC9">
      <w:pPr>
        <w:pStyle w:val="ListParagraph"/>
        <w:spacing w:before="0" w:after="0"/>
        <w:ind w:left="0"/>
        <w:rPr>
          <w:rFonts w:ascii="Arial" w:hAnsi="Arial" w:cs="Arial"/>
        </w:rPr>
      </w:pPr>
      <w:r w:rsidRPr="00375FD4">
        <w:rPr>
          <w:rFonts w:ascii="Arial" w:hAnsi="Arial" w:cs="Arial"/>
        </w:rPr>
        <w:t>Where premiums and discounts have been charged to the Comprehensive Income and Expenditure Statement regulations allow the impact on the General Fund balance to be spread over future years.  Premiums and discounts that were on the balance sheet as at 31 March 2007 are written off in accordance with the schedules in place at that time, however premiums and discounts that are incurred as a result of transactions that have taken place since 1 April 2007 are written off in accordance with regulations as follows:</w:t>
      </w:r>
    </w:p>
    <w:p w:rsidR="00746DB7" w:rsidRPr="00375FD4" w:rsidRDefault="00746DB7" w:rsidP="00522D7C">
      <w:pPr>
        <w:pStyle w:val="ListParagraph"/>
        <w:spacing w:before="0" w:after="0"/>
        <w:rPr>
          <w:rFonts w:ascii="Arial" w:hAnsi="Arial" w:cs="Arial"/>
        </w:rPr>
      </w:pPr>
    </w:p>
    <w:p w:rsidR="00746DB7" w:rsidRPr="00375FD4" w:rsidRDefault="00746DB7" w:rsidP="00F94AC9">
      <w:pPr>
        <w:pStyle w:val="ListParagraph"/>
        <w:spacing w:before="0" w:after="0"/>
        <w:ind w:left="0"/>
        <w:rPr>
          <w:rFonts w:ascii="Arial" w:hAnsi="Arial" w:cs="Arial"/>
          <w:b/>
          <w:bCs/>
        </w:rPr>
      </w:pPr>
      <w:r w:rsidRPr="00375FD4">
        <w:rPr>
          <w:rFonts w:ascii="Arial" w:hAnsi="Arial" w:cs="Arial"/>
          <w:b/>
          <w:bCs/>
        </w:rPr>
        <w:t>Modified Loans</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both old and new premiums and discounts are amortised over the life of the new loan using the effective interest rate as noted above.</w:t>
      </w:r>
    </w:p>
    <w:p w:rsidR="00DE0DE0" w:rsidRDefault="00DE0DE0" w:rsidP="00F94AC9">
      <w:pPr>
        <w:pStyle w:val="ListParagraph"/>
        <w:spacing w:before="0" w:after="0"/>
        <w:ind w:left="0"/>
        <w:rPr>
          <w:rFonts w:ascii="Arial" w:hAnsi="Arial" w:cs="Arial"/>
          <w:b/>
          <w:bCs/>
        </w:rPr>
      </w:pPr>
    </w:p>
    <w:p w:rsidR="00746DB7" w:rsidRPr="00375FD4" w:rsidRDefault="00746DB7" w:rsidP="00F94AC9">
      <w:pPr>
        <w:pStyle w:val="ListParagraph"/>
        <w:spacing w:before="0" w:after="0"/>
        <w:ind w:left="0"/>
        <w:rPr>
          <w:rFonts w:ascii="Arial" w:hAnsi="Arial" w:cs="Arial"/>
          <w:b/>
          <w:bCs/>
        </w:rPr>
      </w:pPr>
      <w:r w:rsidRPr="00375FD4">
        <w:rPr>
          <w:rFonts w:ascii="Arial" w:hAnsi="Arial" w:cs="Arial"/>
          <w:b/>
          <w:bCs/>
        </w:rPr>
        <w:t>Unmodified Loans</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new premiums and discounts are written off over the life of the new loan (if fixed) or over a maximum of 20 years (if variable or with an option to vary);</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old premiums are written off over a maximum of 20 years; and</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old discounts are written off over a maximum of 5 years.</w:t>
      </w:r>
    </w:p>
    <w:p w:rsidR="00746DB7" w:rsidRPr="00375FD4" w:rsidRDefault="00746DB7" w:rsidP="00522D7C">
      <w:pPr>
        <w:pStyle w:val="ListParagraph"/>
        <w:spacing w:before="0" w:after="0"/>
        <w:ind w:left="0"/>
        <w:rPr>
          <w:rFonts w:ascii="Arial" w:hAnsi="Arial" w:cs="Arial"/>
        </w:rPr>
      </w:pPr>
    </w:p>
    <w:p w:rsidR="00746DB7" w:rsidRPr="00375FD4" w:rsidRDefault="00746DB7" w:rsidP="00DE0DE0">
      <w:pPr>
        <w:pStyle w:val="ListParagraph"/>
        <w:spacing w:before="0" w:after="0"/>
        <w:ind w:left="0"/>
        <w:rPr>
          <w:rFonts w:ascii="Arial" w:hAnsi="Arial" w:cs="Arial"/>
          <w:b/>
          <w:bCs/>
        </w:rPr>
      </w:pPr>
      <w:r w:rsidRPr="00375FD4">
        <w:rPr>
          <w:rFonts w:ascii="Arial" w:hAnsi="Arial" w:cs="Arial"/>
          <w:b/>
          <w:bCs/>
        </w:rPr>
        <w:t xml:space="preserve">Straight Repayment </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both old and new premiums and discounts are written off over a maximum of 5 years.</w:t>
      </w:r>
    </w:p>
    <w:p w:rsidR="00746DB7" w:rsidRPr="00375FD4" w:rsidRDefault="00746DB7" w:rsidP="00522D7C">
      <w:pPr>
        <w:spacing w:before="0" w:after="0"/>
        <w:ind w:left="709"/>
        <w:rPr>
          <w:rFonts w:ascii="Arial" w:hAnsi="Arial" w:cs="Arial"/>
          <w:b/>
          <w:bCs/>
        </w:rPr>
      </w:pPr>
    </w:p>
    <w:p w:rsidR="00746DB7" w:rsidRPr="00375FD4" w:rsidRDefault="00A27C20" w:rsidP="009155BB">
      <w:pPr>
        <w:pStyle w:val="ListParagraph"/>
        <w:spacing w:before="0" w:after="0"/>
        <w:ind w:left="426" w:hanging="426"/>
        <w:rPr>
          <w:rFonts w:ascii="Arial" w:hAnsi="Arial" w:cs="Arial"/>
          <w:b/>
          <w:bCs/>
        </w:rPr>
      </w:pPr>
      <w:r>
        <w:rPr>
          <w:rFonts w:ascii="Arial" w:hAnsi="Arial" w:cs="Arial"/>
          <w:b/>
          <w:bCs/>
        </w:rPr>
        <w:t>14</w:t>
      </w:r>
      <w:r w:rsidR="00746DB7" w:rsidRPr="00375FD4">
        <w:rPr>
          <w:rFonts w:ascii="Arial" w:hAnsi="Arial" w:cs="Arial"/>
          <w:b/>
          <w:bCs/>
        </w:rPr>
        <w:t>.</w:t>
      </w:r>
      <w:r w:rsidR="00746DB7" w:rsidRPr="00375FD4">
        <w:rPr>
          <w:rFonts w:ascii="Arial" w:hAnsi="Arial" w:cs="Arial"/>
          <w:b/>
          <w:bCs/>
        </w:rPr>
        <w:tab/>
      </w:r>
      <w:r w:rsidR="009155BB">
        <w:rPr>
          <w:rFonts w:ascii="Arial" w:hAnsi="Arial" w:cs="Arial"/>
          <w:b/>
          <w:bCs/>
        </w:rPr>
        <w:tab/>
      </w:r>
      <w:r w:rsidR="00746DB7" w:rsidRPr="00375FD4">
        <w:rPr>
          <w:rFonts w:ascii="Arial" w:hAnsi="Arial" w:cs="Arial"/>
          <w:b/>
          <w:bCs/>
        </w:rPr>
        <w:t>Financial Assets</w:t>
      </w:r>
    </w:p>
    <w:p w:rsidR="00746DB7" w:rsidRPr="00375FD4" w:rsidRDefault="00746DB7" w:rsidP="009155BB">
      <w:pPr>
        <w:pStyle w:val="ListParagraph"/>
        <w:spacing w:before="0" w:after="0"/>
        <w:ind w:left="426"/>
        <w:rPr>
          <w:rFonts w:ascii="Arial" w:hAnsi="Arial" w:cs="Arial"/>
        </w:rPr>
      </w:pPr>
    </w:p>
    <w:p w:rsidR="00C802B6" w:rsidRPr="00C802B6" w:rsidRDefault="00C802B6" w:rsidP="00C802B6">
      <w:pPr>
        <w:pStyle w:val="ListParagraph"/>
        <w:ind w:left="0"/>
        <w:rPr>
          <w:rFonts w:ascii="Arial" w:hAnsi="Arial" w:cs="Arial"/>
        </w:rPr>
      </w:pPr>
      <w:r w:rsidRPr="00C802B6">
        <w:rPr>
          <w:rFonts w:ascii="Arial" w:hAnsi="Arial" w:cs="Arial"/>
        </w:rPr>
        <w:t>Financial assets are classified using a principles based approach with the accounting treatment being determined by both the particular characteristics of the individual instrument and the overarching investment strategy under which the instrument has been acquired or originated.  Three classes of financial asset have been identified:</w:t>
      </w:r>
    </w:p>
    <w:p w:rsidR="00C802B6" w:rsidRPr="00C802B6" w:rsidRDefault="00C802B6" w:rsidP="00C802B6">
      <w:pPr>
        <w:pStyle w:val="ListParagraph"/>
        <w:ind w:left="0"/>
        <w:rPr>
          <w:rFonts w:ascii="Arial" w:hAnsi="Arial" w:cs="Arial"/>
        </w:rPr>
      </w:pPr>
    </w:p>
    <w:p w:rsidR="00C802B6" w:rsidRPr="00C802B6" w:rsidRDefault="00C802B6" w:rsidP="00EA6E47">
      <w:pPr>
        <w:pStyle w:val="ListParagraph"/>
        <w:numPr>
          <w:ilvl w:val="0"/>
          <w:numId w:val="54"/>
        </w:numPr>
        <w:spacing w:before="0" w:after="0"/>
        <w:ind w:left="426" w:hanging="425"/>
        <w:rPr>
          <w:rFonts w:ascii="Arial" w:hAnsi="Arial" w:cs="Arial"/>
        </w:rPr>
      </w:pPr>
      <w:r w:rsidRPr="00C802B6">
        <w:rPr>
          <w:rFonts w:ascii="Arial" w:hAnsi="Arial" w:cs="Arial"/>
        </w:rPr>
        <w:t>amortised cost;</w:t>
      </w:r>
    </w:p>
    <w:p w:rsidR="00C802B6" w:rsidRPr="00C802B6" w:rsidRDefault="00C802B6" w:rsidP="00EA6E47">
      <w:pPr>
        <w:pStyle w:val="ListParagraph"/>
        <w:numPr>
          <w:ilvl w:val="0"/>
          <w:numId w:val="54"/>
        </w:numPr>
        <w:spacing w:before="0" w:after="0"/>
        <w:ind w:left="426" w:hanging="425"/>
        <w:rPr>
          <w:rFonts w:ascii="Arial" w:hAnsi="Arial" w:cs="Arial"/>
        </w:rPr>
      </w:pPr>
      <w:r w:rsidRPr="00C802B6">
        <w:rPr>
          <w:rFonts w:ascii="Arial" w:hAnsi="Arial" w:cs="Arial"/>
        </w:rPr>
        <w:t>fair value through other comprehensive income; and</w:t>
      </w:r>
    </w:p>
    <w:p w:rsidR="00C802B6" w:rsidRPr="00C802B6" w:rsidRDefault="00C802B6" w:rsidP="00EA6E47">
      <w:pPr>
        <w:pStyle w:val="ListParagraph"/>
        <w:numPr>
          <w:ilvl w:val="0"/>
          <w:numId w:val="54"/>
        </w:numPr>
        <w:spacing w:before="0" w:after="0"/>
        <w:ind w:left="426" w:hanging="425"/>
        <w:rPr>
          <w:rFonts w:ascii="Arial" w:hAnsi="Arial" w:cs="Arial"/>
        </w:rPr>
      </w:pPr>
      <w:r w:rsidRPr="00C802B6">
        <w:rPr>
          <w:rFonts w:ascii="Arial" w:hAnsi="Arial" w:cs="Arial"/>
        </w:rPr>
        <w:t>fair value through profit or loss</w:t>
      </w:r>
    </w:p>
    <w:p w:rsidR="00C802B6" w:rsidRPr="00C802B6" w:rsidRDefault="00C802B6" w:rsidP="00C802B6">
      <w:pPr>
        <w:pStyle w:val="ListParagraph"/>
        <w:ind w:left="0"/>
        <w:rPr>
          <w:rFonts w:ascii="Arial" w:hAnsi="Arial" w:cs="Arial"/>
        </w:rPr>
      </w:pPr>
    </w:p>
    <w:p w:rsidR="00C802B6" w:rsidRPr="00C802B6" w:rsidRDefault="00C802B6" w:rsidP="00C802B6">
      <w:pPr>
        <w:pStyle w:val="ListParagraph"/>
        <w:ind w:left="0"/>
        <w:rPr>
          <w:rFonts w:ascii="Arial" w:hAnsi="Arial" w:cs="Arial"/>
          <w:b/>
          <w:bCs/>
        </w:rPr>
      </w:pPr>
      <w:r w:rsidRPr="00C802B6">
        <w:rPr>
          <w:rFonts w:ascii="Arial" w:hAnsi="Arial" w:cs="Arial"/>
          <w:b/>
          <w:bCs/>
        </w:rPr>
        <w:t>Amortised Cost</w:t>
      </w:r>
    </w:p>
    <w:p w:rsidR="00C802B6" w:rsidRPr="00C802B6" w:rsidRDefault="00C802B6" w:rsidP="00C802B6">
      <w:pPr>
        <w:pStyle w:val="ListParagraph"/>
        <w:ind w:left="0"/>
        <w:rPr>
          <w:rFonts w:ascii="Arial" w:hAnsi="Arial" w:cs="Arial"/>
        </w:rPr>
      </w:pPr>
      <w:r w:rsidRPr="00C802B6">
        <w:rPr>
          <w:rFonts w:ascii="Arial" w:hAnsi="Arial" w:cs="Arial"/>
        </w:rPr>
        <w:t>For assets carried at amortised cost interest is credited (using the effective interest rate) and movements in impairment loss allowances are debited or credited to surplus or deficit on the provision of services with no recognition of gains or losses in fair value until reclassification or derecognition of the asset.</w:t>
      </w:r>
    </w:p>
    <w:p w:rsidR="00C802B6" w:rsidRPr="00C802B6" w:rsidRDefault="00C802B6" w:rsidP="00C802B6">
      <w:pPr>
        <w:pStyle w:val="ListParagraph"/>
        <w:ind w:left="0"/>
        <w:rPr>
          <w:rFonts w:ascii="Arial" w:hAnsi="Arial" w:cs="Arial"/>
        </w:rPr>
      </w:pPr>
    </w:p>
    <w:p w:rsidR="00C802B6" w:rsidRPr="00C802B6" w:rsidRDefault="00C802B6" w:rsidP="00C802B6">
      <w:pPr>
        <w:pStyle w:val="ListParagraph"/>
        <w:ind w:left="0"/>
        <w:rPr>
          <w:rFonts w:ascii="Arial" w:hAnsi="Arial" w:cs="Arial"/>
          <w:b/>
          <w:bCs/>
        </w:rPr>
      </w:pPr>
      <w:r w:rsidRPr="00C802B6">
        <w:rPr>
          <w:rFonts w:ascii="Arial" w:hAnsi="Arial" w:cs="Arial"/>
          <w:b/>
          <w:bCs/>
        </w:rPr>
        <w:t>Fair Value Through Other Comprehensive Income</w:t>
      </w:r>
    </w:p>
    <w:p w:rsidR="00C802B6" w:rsidRPr="00C802B6" w:rsidRDefault="00C802B6" w:rsidP="00C802B6">
      <w:pPr>
        <w:pStyle w:val="ListParagraph"/>
        <w:ind w:left="0"/>
        <w:rPr>
          <w:rFonts w:ascii="Arial" w:hAnsi="Arial" w:cs="Arial"/>
        </w:rPr>
      </w:pPr>
      <w:r w:rsidRPr="00C802B6">
        <w:rPr>
          <w:rFonts w:ascii="Arial" w:hAnsi="Arial" w:cs="Arial"/>
        </w:rPr>
        <w:t>For assets carried at fair value through other comprehensive income movements in amortised cost are debited or credited to the surplus or deficit on the provision of services with movements in fair value debited or credited to other comprehensive income and expenditure.</w:t>
      </w:r>
    </w:p>
    <w:p w:rsidR="00C802B6" w:rsidRPr="00C802B6" w:rsidRDefault="00C802B6" w:rsidP="00C802B6">
      <w:pPr>
        <w:pStyle w:val="ListParagraph"/>
        <w:ind w:left="0"/>
        <w:rPr>
          <w:rFonts w:ascii="Arial" w:hAnsi="Arial" w:cs="Arial"/>
        </w:rPr>
      </w:pPr>
    </w:p>
    <w:p w:rsidR="00C802B6" w:rsidRPr="00C802B6" w:rsidRDefault="00C802B6" w:rsidP="00C802B6">
      <w:pPr>
        <w:pStyle w:val="ListParagraph"/>
        <w:ind w:left="0"/>
        <w:rPr>
          <w:rFonts w:ascii="Arial" w:hAnsi="Arial" w:cs="Arial"/>
          <w:b/>
          <w:bCs/>
        </w:rPr>
      </w:pPr>
      <w:r w:rsidRPr="00C802B6">
        <w:rPr>
          <w:rFonts w:ascii="Arial" w:hAnsi="Arial" w:cs="Arial"/>
          <w:b/>
          <w:bCs/>
        </w:rPr>
        <w:t>Fair Value Through Profit or Loss</w:t>
      </w:r>
    </w:p>
    <w:p w:rsidR="00C802B6" w:rsidRDefault="00C802B6" w:rsidP="00C802B6">
      <w:pPr>
        <w:pStyle w:val="ListParagraph"/>
        <w:ind w:left="0"/>
        <w:rPr>
          <w:rFonts w:ascii="Arial" w:hAnsi="Arial" w:cs="Arial"/>
        </w:rPr>
      </w:pPr>
      <w:r w:rsidRPr="00C802B6">
        <w:rPr>
          <w:rFonts w:ascii="Arial" w:hAnsi="Arial" w:cs="Arial"/>
        </w:rPr>
        <w:t>For assets carried at fair value through profit or loss all gains or losses are posted to surplus or deficit on the provision of services as they arise.</w:t>
      </w:r>
    </w:p>
    <w:p w:rsidR="00C802B6" w:rsidRDefault="00C802B6" w:rsidP="009155BB">
      <w:pPr>
        <w:pStyle w:val="ListParagraph"/>
        <w:spacing w:before="0" w:after="0"/>
        <w:ind w:left="0"/>
        <w:jc w:val="both"/>
        <w:rPr>
          <w:rFonts w:ascii="Arial" w:hAnsi="Arial" w:cs="Arial"/>
          <w:b/>
          <w:bCs/>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C802B6" w:rsidRDefault="00C802B6" w:rsidP="00C802B6">
      <w:pPr>
        <w:spacing w:before="0" w:after="0"/>
        <w:ind w:left="720"/>
        <w:jc w:val="both"/>
        <w:rPr>
          <w:rFonts w:ascii="Arial" w:hAnsi="Arial" w:cs="Arial"/>
        </w:rPr>
      </w:pPr>
    </w:p>
    <w:p w:rsidR="00C802B6" w:rsidRPr="00BE57CF" w:rsidRDefault="00EA05CA" w:rsidP="00C802B6">
      <w:pPr>
        <w:spacing w:before="0" w:after="0"/>
        <w:jc w:val="both"/>
        <w:rPr>
          <w:rFonts w:ascii="Arial" w:hAnsi="Arial" w:cs="Arial"/>
          <w:b/>
        </w:rPr>
      </w:pPr>
      <w:r>
        <w:rPr>
          <w:rFonts w:ascii="Arial" w:hAnsi="Arial" w:cs="Arial"/>
          <w:b/>
        </w:rPr>
        <w:t>Note 32</w:t>
      </w:r>
      <w:r w:rsidR="00C802B6">
        <w:rPr>
          <w:rFonts w:ascii="Arial" w:hAnsi="Arial" w:cs="Arial"/>
          <w:b/>
        </w:rPr>
        <w:t xml:space="preserve"> - Accounting Policies (Cont’d)</w:t>
      </w:r>
    </w:p>
    <w:p w:rsidR="00C802B6" w:rsidRDefault="00C802B6" w:rsidP="00C802B6">
      <w:pPr>
        <w:pStyle w:val="ListParagraph"/>
        <w:spacing w:before="0" w:after="0"/>
        <w:ind w:hanging="360"/>
        <w:jc w:val="both"/>
        <w:rPr>
          <w:rFonts w:ascii="Arial" w:hAnsi="Arial" w:cs="Arial"/>
          <w:b/>
          <w:bCs/>
        </w:rPr>
      </w:pPr>
    </w:p>
    <w:p w:rsidR="00C802B6" w:rsidRPr="00375FD4" w:rsidRDefault="00C802B6" w:rsidP="00C802B6">
      <w:pPr>
        <w:pStyle w:val="ListParagraph"/>
        <w:spacing w:before="0" w:after="0"/>
        <w:ind w:left="426" w:hanging="426"/>
        <w:rPr>
          <w:rFonts w:ascii="Arial" w:hAnsi="Arial" w:cs="Arial"/>
          <w:b/>
          <w:bCs/>
        </w:rPr>
      </w:pPr>
      <w:r>
        <w:rPr>
          <w:rFonts w:ascii="Arial" w:hAnsi="Arial" w:cs="Arial"/>
          <w:b/>
          <w:bCs/>
        </w:rPr>
        <w:t>14</w:t>
      </w:r>
      <w:r w:rsidRPr="00375FD4">
        <w:rPr>
          <w:rFonts w:ascii="Arial" w:hAnsi="Arial" w:cs="Arial"/>
          <w:b/>
          <w:bCs/>
        </w:rPr>
        <w:t>.</w:t>
      </w:r>
      <w:r w:rsidRPr="00375FD4">
        <w:rPr>
          <w:rFonts w:ascii="Arial" w:hAnsi="Arial" w:cs="Arial"/>
          <w:b/>
          <w:bCs/>
        </w:rPr>
        <w:tab/>
      </w:r>
      <w:r>
        <w:rPr>
          <w:rFonts w:ascii="Arial" w:hAnsi="Arial" w:cs="Arial"/>
          <w:b/>
          <w:bCs/>
        </w:rPr>
        <w:tab/>
      </w:r>
      <w:r w:rsidRPr="00375FD4">
        <w:rPr>
          <w:rFonts w:ascii="Arial" w:hAnsi="Arial" w:cs="Arial"/>
          <w:b/>
          <w:bCs/>
        </w:rPr>
        <w:t>Financial Assets</w:t>
      </w:r>
      <w:r>
        <w:rPr>
          <w:rFonts w:ascii="Arial" w:hAnsi="Arial" w:cs="Arial"/>
          <w:b/>
          <w:bCs/>
        </w:rPr>
        <w:t xml:space="preserve"> (Cont’d)</w:t>
      </w:r>
    </w:p>
    <w:p w:rsidR="00C802B6" w:rsidRPr="00375FD4" w:rsidRDefault="00C802B6" w:rsidP="009155BB">
      <w:pPr>
        <w:pStyle w:val="ListParagraph"/>
        <w:spacing w:before="0" w:after="0"/>
        <w:ind w:left="0"/>
        <w:jc w:val="both"/>
        <w:rPr>
          <w:rFonts w:ascii="Arial" w:hAnsi="Arial" w:cs="Arial"/>
          <w:b/>
          <w:bCs/>
        </w:rPr>
      </w:pPr>
    </w:p>
    <w:p w:rsidR="00746DB7" w:rsidRPr="00375FD4" w:rsidRDefault="00746DB7" w:rsidP="009155BB">
      <w:pPr>
        <w:pStyle w:val="ListParagraph"/>
        <w:spacing w:before="0" w:after="0"/>
        <w:ind w:left="0"/>
        <w:jc w:val="both"/>
        <w:rPr>
          <w:rFonts w:ascii="Arial" w:hAnsi="Arial" w:cs="Arial"/>
        </w:rPr>
      </w:pPr>
      <w:r w:rsidRPr="00375FD4">
        <w:rPr>
          <w:rFonts w:ascii="Arial" w:hAnsi="Arial" w:cs="Arial"/>
        </w:rPr>
        <w:t>Financial assets are classified into two types:</w:t>
      </w:r>
    </w:p>
    <w:p w:rsidR="00746DB7" w:rsidRPr="00375FD4" w:rsidRDefault="00746DB7" w:rsidP="00522D7C">
      <w:pPr>
        <w:pStyle w:val="ListParagraph"/>
        <w:spacing w:before="0" w:after="0"/>
        <w:ind w:left="0"/>
        <w:jc w:val="both"/>
        <w:rPr>
          <w:rFonts w:ascii="Arial" w:hAnsi="Arial" w:cs="Arial"/>
        </w:rPr>
      </w:pPr>
    </w:p>
    <w:p w:rsidR="00746DB7" w:rsidRPr="009155BB"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loans and receivables – assets that have fixed or determinable payments but are not quoted in an active market; and</w:t>
      </w:r>
    </w:p>
    <w:p w:rsidR="00746DB7" w:rsidRPr="00375FD4" w:rsidRDefault="00746DB7" w:rsidP="00EA6E47">
      <w:pPr>
        <w:pStyle w:val="ListParagraph"/>
        <w:numPr>
          <w:ilvl w:val="0"/>
          <w:numId w:val="13"/>
        </w:numPr>
        <w:spacing w:before="0" w:after="0"/>
        <w:ind w:left="426" w:hanging="425"/>
        <w:contextualSpacing w:val="0"/>
        <w:rPr>
          <w:rFonts w:ascii="Arial" w:hAnsi="Arial" w:cs="Arial"/>
        </w:rPr>
      </w:pPr>
      <w:r w:rsidRPr="00375FD4">
        <w:rPr>
          <w:rFonts w:ascii="Arial" w:hAnsi="Arial" w:cs="Arial"/>
        </w:rPr>
        <w:t>available-for-sale assets – assets that have a quoted market price and/or do not have fixed or determinable payments</w:t>
      </w:r>
    </w:p>
    <w:p w:rsidR="00746DB7" w:rsidRPr="00375FD4" w:rsidRDefault="00746DB7" w:rsidP="00522D7C">
      <w:pPr>
        <w:pStyle w:val="ListParagraph"/>
        <w:spacing w:before="0" w:after="0"/>
        <w:ind w:left="0"/>
        <w:rPr>
          <w:rFonts w:ascii="Arial" w:hAnsi="Arial" w:cs="Arial"/>
        </w:rPr>
      </w:pPr>
    </w:p>
    <w:p w:rsidR="00746DB7" w:rsidRPr="009155BB" w:rsidRDefault="00746DB7" w:rsidP="009155BB">
      <w:pPr>
        <w:spacing w:before="0" w:after="0"/>
        <w:rPr>
          <w:rFonts w:ascii="Arial" w:hAnsi="Arial" w:cs="Arial"/>
          <w:b/>
          <w:bCs/>
        </w:rPr>
      </w:pPr>
      <w:r w:rsidRPr="009155BB">
        <w:rPr>
          <w:rFonts w:ascii="Arial" w:hAnsi="Arial" w:cs="Arial"/>
          <w:b/>
          <w:bCs/>
        </w:rPr>
        <w:t>Loans and receivables</w:t>
      </w:r>
    </w:p>
    <w:p w:rsidR="00746DB7" w:rsidRPr="00375FD4" w:rsidRDefault="00746DB7" w:rsidP="00522D7C">
      <w:pPr>
        <w:pStyle w:val="ListParagraph"/>
        <w:spacing w:before="0" w:after="0"/>
        <w:ind w:left="0"/>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Loans and receivables are recognised</w:t>
      </w:r>
      <w:r w:rsidR="002E7DAC">
        <w:rPr>
          <w:rFonts w:ascii="Arial" w:hAnsi="Arial" w:cs="Arial"/>
        </w:rPr>
        <w:t xml:space="preserve"> on the Balance Sheet when the c</w:t>
      </w:r>
      <w:r w:rsidRPr="009155BB">
        <w:rPr>
          <w:rFonts w:ascii="Arial" w:hAnsi="Arial" w:cs="Arial"/>
        </w:rPr>
        <w:t xml:space="preserve">ouncil becomes party to the contractual provisions of a financial instrument and initially measured at fair value.  </w:t>
      </w:r>
    </w:p>
    <w:p w:rsidR="00960A3F" w:rsidRPr="009155BB" w:rsidRDefault="00960A3F" w:rsidP="009155BB">
      <w:pPr>
        <w:spacing w:before="0" w:after="0"/>
        <w:jc w:val="both"/>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 xml:space="preserve">They are then measured at their amortised cost.  Annual credits to the Financing and Investment Income and Expenditure line in the Comprehensive Income and Expenditure Statement for interest receivable are based on the carrying amount of the asset multiplied by the effective rate of interest for the instrument. </w:t>
      </w:r>
      <w:r w:rsidR="00C802B6" w:rsidRPr="00C802B6">
        <w:rPr>
          <w:rFonts w:ascii="Arial" w:hAnsi="Arial" w:cs="Arial"/>
        </w:rPr>
        <w:t>Where considered material movements in impairment loss allowances are also debited or credited as appropriate.</w:t>
      </w:r>
      <w:r w:rsidR="00C802B6">
        <w:rPr>
          <w:rFonts w:ascii="Arial" w:hAnsi="Arial" w:cs="Arial"/>
        </w:rPr>
        <w:t xml:space="preserve"> </w:t>
      </w:r>
      <w:r w:rsidRPr="009155BB">
        <w:rPr>
          <w:rFonts w:ascii="Arial" w:hAnsi="Arial" w:cs="Arial"/>
        </w:rPr>
        <w:t>For</w:t>
      </w:r>
      <w:r w:rsidR="00586525">
        <w:rPr>
          <w:rFonts w:ascii="Arial" w:hAnsi="Arial" w:cs="Arial"/>
        </w:rPr>
        <w:t xml:space="preserve"> </w:t>
      </w:r>
      <w:r w:rsidR="002E7DAC">
        <w:rPr>
          <w:rFonts w:ascii="Arial" w:hAnsi="Arial" w:cs="Arial"/>
        </w:rPr>
        <w:t>most other the loans that the c</w:t>
      </w:r>
      <w:r w:rsidRPr="009155BB">
        <w:rPr>
          <w:rFonts w:ascii="Arial" w:hAnsi="Arial" w:cs="Arial"/>
        </w:rPr>
        <w:t>ouncil has made, this means that the amount presented in the Balance Sheet is the outstanding principal receivable (plus accrued interest) and interest credited to the Comprehensive Income and Expenditure Statement is the amount receivable for the year in the loan agreement.</w:t>
      </w:r>
    </w:p>
    <w:p w:rsidR="00746DB7" w:rsidRPr="00375FD4" w:rsidRDefault="00746DB7" w:rsidP="00522D7C">
      <w:pPr>
        <w:pStyle w:val="ListParagraph"/>
        <w:spacing w:before="0" w:after="0"/>
        <w:rPr>
          <w:rFonts w:ascii="Arial" w:hAnsi="Arial" w:cs="Arial"/>
        </w:rPr>
      </w:pPr>
    </w:p>
    <w:p w:rsidR="00B960E4" w:rsidRDefault="00746DB7" w:rsidP="00B960E4">
      <w:pPr>
        <w:spacing w:before="0" w:after="0"/>
        <w:rPr>
          <w:rFonts w:ascii="Arial" w:hAnsi="Arial" w:cs="Arial"/>
        </w:rPr>
      </w:pPr>
      <w:r w:rsidRPr="009155BB">
        <w:rPr>
          <w:rFonts w:ascii="Arial" w:hAnsi="Arial" w:cs="Arial"/>
        </w:rPr>
        <w:t xml:space="preserve">Where soft loans are made and are material, a loss is recorded in the Comprehensive Income and Expenditure Statement (debited to the appropriate service line) for the present value of the interest that will be foregone over the life of the loan, resulting in a lower amortised cost than the outstanding principal.  Interest is credited to the Financing and Investment Income and Expenditure line in the Comprehensive Income and Expenditure Statement at a marginally higher effective rate of interest than the rate receivable from the community groups, with the difference increasing the amortised cost of the loan in the Balance Sheet.  Statutory provisions require that the impact of soft loans on the General Fund balance is the interest receivable for the financial year </w:t>
      </w:r>
      <w:r w:rsidR="00C802B6">
        <w:rPr>
          <w:rFonts w:ascii="Arial" w:hAnsi="Arial" w:cs="Arial"/>
        </w:rPr>
        <w:t>– the reconciliation of amounts</w:t>
      </w:r>
    </w:p>
    <w:p w:rsidR="00746DB7" w:rsidRPr="009155BB" w:rsidRDefault="00746DB7" w:rsidP="009155BB">
      <w:pPr>
        <w:spacing w:before="0" w:after="0"/>
        <w:rPr>
          <w:rFonts w:ascii="Arial" w:hAnsi="Arial" w:cs="Arial"/>
        </w:rPr>
      </w:pPr>
      <w:r w:rsidRPr="009155BB">
        <w:rPr>
          <w:rFonts w:ascii="Arial" w:hAnsi="Arial" w:cs="Arial"/>
        </w:rPr>
        <w:t>debited or credited to the Comprehensive Income and Expenditure Statement to the net gain required against the General Fund balance is managed by a transfer to or from the Financial Instruments Adjustment Account in the Movement in Reserves Statement.</w:t>
      </w:r>
    </w:p>
    <w:p w:rsidR="00CF5591" w:rsidRPr="00C802B6" w:rsidRDefault="00CF5591" w:rsidP="00C802B6">
      <w:pPr>
        <w:spacing w:before="0" w:after="0"/>
        <w:rPr>
          <w:rFonts w:ascii="Arial" w:hAnsi="Arial" w:cs="Arial"/>
          <w:b/>
          <w:bCs/>
        </w:rPr>
      </w:pPr>
    </w:p>
    <w:p w:rsidR="00746DB7" w:rsidRPr="009155BB" w:rsidRDefault="00746DB7" w:rsidP="009155BB">
      <w:pPr>
        <w:spacing w:before="0" w:after="0"/>
        <w:rPr>
          <w:rFonts w:ascii="Arial" w:hAnsi="Arial" w:cs="Arial"/>
          <w:b/>
          <w:bCs/>
        </w:rPr>
      </w:pPr>
      <w:r w:rsidRPr="009155BB">
        <w:rPr>
          <w:rFonts w:ascii="Arial" w:hAnsi="Arial" w:cs="Arial"/>
          <w:b/>
          <w:bCs/>
        </w:rPr>
        <w:t>Instruments entered into since 1 April 2006</w:t>
      </w:r>
    </w:p>
    <w:p w:rsidR="00746DB7" w:rsidRPr="00375FD4" w:rsidRDefault="00746DB7" w:rsidP="00522D7C">
      <w:pPr>
        <w:pStyle w:val="ListParagraph"/>
        <w:spacing w:before="0" w:after="0"/>
        <w:rPr>
          <w:rFonts w:ascii="Arial" w:hAnsi="Arial" w:cs="Arial"/>
          <w:b/>
          <w:bCs/>
        </w:rPr>
      </w:pPr>
    </w:p>
    <w:p w:rsidR="00746DB7" w:rsidRPr="009155BB" w:rsidRDefault="002E7DAC" w:rsidP="009155BB">
      <w:pPr>
        <w:spacing w:before="0" w:after="0"/>
        <w:rPr>
          <w:rFonts w:ascii="Arial" w:hAnsi="Arial" w:cs="Arial"/>
        </w:rPr>
      </w:pPr>
      <w:r>
        <w:rPr>
          <w:rFonts w:ascii="Arial" w:hAnsi="Arial" w:cs="Arial"/>
        </w:rPr>
        <w:t>Any financial guarantees the c</w:t>
      </w:r>
      <w:r w:rsidR="00746DB7" w:rsidRPr="009155BB">
        <w:rPr>
          <w:rFonts w:ascii="Arial" w:hAnsi="Arial" w:cs="Arial"/>
        </w:rPr>
        <w:t>ouncil has committed to since 1 April 2006 have been recognised at fair value and assessed for probability of the guarantee being called and the likely amount payable under the guarantee. Any material provision for this has been recognised in the Financial Statements to the extent that provisions might be required or a contingent liability note is needed.</w:t>
      </w:r>
    </w:p>
    <w:p w:rsidR="00746DB7" w:rsidRDefault="00746DB7" w:rsidP="00522D7C">
      <w:pPr>
        <w:pStyle w:val="ListParagraph"/>
        <w:spacing w:before="0" w:after="0"/>
        <w:ind w:left="709"/>
        <w:rPr>
          <w:rFonts w:ascii="Arial" w:hAnsi="Arial" w:cs="Arial"/>
        </w:rPr>
      </w:pPr>
    </w:p>
    <w:p w:rsidR="00746DB7" w:rsidRPr="00BE57CF" w:rsidRDefault="00A27C20" w:rsidP="009155BB">
      <w:pPr>
        <w:spacing w:before="0" w:after="0"/>
        <w:rPr>
          <w:rFonts w:ascii="Arial" w:hAnsi="Arial" w:cs="Arial"/>
          <w:b/>
          <w:bCs/>
        </w:rPr>
      </w:pPr>
      <w:r>
        <w:rPr>
          <w:rFonts w:ascii="Arial" w:hAnsi="Arial" w:cs="Arial"/>
          <w:b/>
          <w:bCs/>
        </w:rPr>
        <w:t>15</w:t>
      </w:r>
      <w:r w:rsidR="00746DB7" w:rsidRPr="00BE57CF">
        <w:rPr>
          <w:rFonts w:ascii="Arial" w:hAnsi="Arial" w:cs="Arial"/>
          <w:b/>
          <w:bCs/>
        </w:rPr>
        <w:t>.</w:t>
      </w:r>
      <w:r w:rsidR="00746DB7">
        <w:rPr>
          <w:rFonts w:ascii="Arial" w:hAnsi="Arial" w:cs="Arial"/>
          <w:b/>
          <w:bCs/>
        </w:rPr>
        <w:tab/>
      </w:r>
      <w:r w:rsidR="00746DB7" w:rsidRPr="00BE57CF">
        <w:rPr>
          <w:rFonts w:ascii="Arial" w:hAnsi="Arial" w:cs="Arial"/>
          <w:b/>
          <w:bCs/>
        </w:rPr>
        <w:t>Fair Value Measurement</w:t>
      </w:r>
    </w:p>
    <w:p w:rsidR="00746DB7" w:rsidRPr="00BE57CF" w:rsidRDefault="00746DB7" w:rsidP="00522D7C">
      <w:pPr>
        <w:spacing w:before="0" w:after="0"/>
        <w:ind w:left="426" w:hanging="426"/>
        <w:rPr>
          <w:rFonts w:ascii="Arial" w:hAnsi="Arial" w:cs="Arial"/>
          <w:b/>
          <w:bCs/>
        </w:rPr>
      </w:pPr>
    </w:p>
    <w:p w:rsidR="00746DB7" w:rsidRPr="00B67633" w:rsidRDefault="00746DB7" w:rsidP="009155BB">
      <w:pPr>
        <w:spacing w:before="0" w:after="0"/>
        <w:rPr>
          <w:rFonts w:ascii="Arial" w:eastAsiaTheme="minorHAnsi" w:hAnsi="Arial" w:cs="Arial"/>
        </w:rPr>
      </w:pPr>
      <w:r w:rsidRPr="00B67633">
        <w:rPr>
          <w:rFonts w:ascii="Arial" w:hAnsi="Arial" w:cs="Arial"/>
          <w:bCs/>
        </w:rPr>
        <w:t xml:space="preserve">The </w:t>
      </w:r>
      <w:r w:rsidR="002E7DAC">
        <w:rPr>
          <w:rFonts w:ascii="Arial" w:hAnsi="Arial" w:cs="Arial"/>
          <w:bCs/>
        </w:rPr>
        <w:t>c</w:t>
      </w:r>
      <w:r>
        <w:rPr>
          <w:rFonts w:ascii="Arial" w:hAnsi="Arial" w:cs="Arial"/>
          <w:bCs/>
        </w:rPr>
        <w:t>ouncil</w:t>
      </w:r>
      <w:r w:rsidRPr="00B67633">
        <w:rPr>
          <w:rFonts w:ascii="Arial" w:hAnsi="Arial" w:cs="Arial"/>
          <w:bCs/>
        </w:rPr>
        <w:t xml:space="preserve"> measures some on its non-financial assets and some of its financial instruments at</w:t>
      </w:r>
      <w:r w:rsidRPr="00B67633">
        <w:rPr>
          <w:rFonts w:ascii="Arial" w:eastAsiaTheme="minorHAnsi" w:hAnsi="Arial" w:cs="Arial"/>
        </w:rPr>
        <w:t xml:space="preserve"> fair</w:t>
      </w:r>
      <w:r>
        <w:rPr>
          <w:rFonts w:ascii="Arial" w:eastAsiaTheme="minorHAnsi" w:hAnsi="Arial" w:cs="Arial"/>
        </w:rPr>
        <w:t xml:space="preserve"> value at each reporting date. </w:t>
      </w:r>
      <w:r w:rsidRPr="00B67633">
        <w:rPr>
          <w:rFonts w:ascii="Arial" w:eastAsiaTheme="minorHAnsi" w:hAnsi="Arial" w:cs="Arial"/>
        </w:rPr>
        <w:t>Fair value is the price that would be received to sell an asset or paid to transfer a liability in an orderly transaction between market participants at the measurement date.  The fair value measurement assumes that the transaction to sell the asset takes place either:</w:t>
      </w:r>
    </w:p>
    <w:p w:rsidR="00746DB7" w:rsidRPr="00B67633" w:rsidRDefault="00746DB7" w:rsidP="00522D7C">
      <w:pPr>
        <w:spacing w:before="0" w:after="0"/>
        <w:jc w:val="both"/>
        <w:rPr>
          <w:rFonts w:ascii="Arial" w:eastAsiaTheme="minorHAnsi" w:hAnsi="Arial" w:cs="Arial"/>
        </w:rPr>
      </w:pPr>
    </w:p>
    <w:p w:rsidR="00746DB7" w:rsidRPr="00B67633" w:rsidRDefault="00746DB7" w:rsidP="00EA6E47">
      <w:pPr>
        <w:numPr>
          <w:ilvl w:val="0"/>
          <w:numId w:val="34"/>
        </w:numPr>
        <w:spacing w:before="0" w:after="0" w:line="276" w:lineRule="auto"/>
        <w:ind w:left="0" w:firstLine="0"/>
        <w:contextualSpacing/>
        <w:rPr>
          <w:rFonts w:ascii="Arial" w:eastAsiaTheme="minorHAnsi" w:hAnsi="Arial" w:cs="Arial"/>
        </w:rPr>
      </w:pPr>
      <w:r w:rsidRPr="00B67633">
        <w:rPr>
          <w:rFonts w:ascii="Arial" w:eastAsiaTheme="minorHAnsi" w:hAnsi="Arial" w:cs="Arial"/>
        </w:rPr>
        <w:t>In the principal market for the asset or liability; or</w:t>
      </w:r>
    </w:p>
    <w:p w:rsidR="00960A3F" w:rsidRPr="009155BB" w:rsidRDefault="00746DB7" w:rsidP="00EA6E47">
      <w:pPr>
        <w:numPr>
          <w:ilvl w:val="0"/>
          <w:numId w:val="34"/>
        </w:numPr>
        <w:spacing w:before="0" w:after="0" w:line="276" w:lineRule="auto"/>
        <w:ind w:left="0" w:firstLine="0"/>
        <w:contextualSpacing/>
        <w:rPr>
          <w:rFonts w:ascii="Arial" w:eastAsiaTheme="minorHAnsi" w:hAnsi="Arial" w:cs="Arial"/>
        </w:rPr>
      </w:pPr>
      <w:r w:rsidRPr="00B67633">
        <w:rPr>
          <w:rFonts w:ascii="Arial" w:eastAsiaTheme="minorHAnsi" w:hAnsi="Arial" w:cs="Arial"/>
        </w:rPr>
        <w:t>In the absence of a principal market, in the most advantageous market for the asset</w:t>
      </w:r>
    </w:p>
    <w:p w:rsidR="00960A3F" w:rsidRDefault="00960A3F" w:rsidP="009155BB">
      <w:pPr>
        <w:spacing w:before="0" w:after="0"/>
        <w:jc w:val="both"/>
        <w:rPr>
          <w:rFonts w:ascii="Arial" w:eastAsiaTheme="minorHAnsi" w:hAnsi="Arial" w:cs="Arial"/>
        </w:rPr>
      </w:pPr>
    </w:p>
    <w:p w:rsidR="00746DB7" w:rsidRPr="00B67633" w:rsidRDefault="00A977E1" w:rsidP="009155BB">
      <w:pPr>
        <w:spacing w:before="0" w:after="0"/>
        <w:rPr>
          <w:rFonts w:ascii="Arial" w:eastAsiaTheme="minorHAnsi" w:hAnsi="Arial" w:cs="Arial"/>
        </w:rPr>
      </w:pPr>
      <w:r>
        <w:rPr>
          <w:rFonts w:ascii="Arial" w:eastAsiaTheme="minorHAnsi" w:hAnsi="Arial" w:cs="Arial"/>
        </w:rPr>
        <w:t>T</w:t>
      </w:r>
      <w:r w:rsidR="002E7DAC">
        <w:rPr>
          <w:rFonts w:ascii="Arial" w:eastAsiaTheme="minorHAnsi" w:hAnsi="Arial" w:cs="Arial"/>
        </w:rPr>
        <w:t>he c</w:t>
      </w:r>
      <w:r w:rsidR="00746DB7">
        <w:rPr>
          <w:rFonts w:ascii="Arial" w:eastAsiaTheme="minorHAnsi" w:hAnsi="Arial" w:cs="Arial"/>
        </w:rPr>
        <w:t>ouncil</w:t>
      </w:r>
      <w:r w:rsidR="00746DB7" w:rsidRPr="00B67633">
        <w:rPr>
          <w:rFonts w:ascii="Arial" w:eastAsiaTheme="minorHAnsi" w:hAnsi="Arial" w:cs="Arial"/>
        </w:rPr>
        <w:t xml:space="preserve"> measures the fair value of an asset or liability using the assumptions that market participants would use when pricing the asset, assuming that market participants act in their economic best interest.</w:t>
      </w: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C802B6" w:rsidRDefault="00C802B6" w:rsidP="00C802B6">
      <w:pPr>
        <w:spacing w:before="0" w:after="0"/>
        <w:ind w:left="720"/>
        <w:jc w:val="both"/>
        <w:rPr>
          <w:rFonts w:ascii="Arial" w:hAnsi="Arial" w:cs="Arial"/>
        </w:rPr>
      </w:pPr>
    </w:p>
    <w:p w:rsidR="00C802B6" w:rsidRDefault="00EA05CA" w:rsidP="00C802B6">
      <w:pPr>
        <w:spacing w:before="0" w:after="0"/>
        <w:jc w:val="both"/>
        <w:rPr>
          <w:rFonts w:ascii="Arial" w:hAnsi="Arial" w:cs="Arial"/>
          <w:b/>
        </w:rPr>
      </w:pPr>
      <w:r>
        <w:rPr>
          <w:rFonts w:ascii="Arial" w:hAnsi="Arial" w:cs="Arial"/>
          <w:b/>
        </w:rPr>
        <w:t>Note 32</w:t>
      </w:r>
      <w:r w:rsidR="00C802B6">
        <w:rPr>
          <w:rFonts w:ascii="Arial" w:hAnsi="Arial" w:cs="Arial"/>
          <w:b/>
        </w:rPr>
        <w:t xml:space="preserve"> - Accounting Policies (Cont’d)</w:t>
      </w:r>
    </w:p>
    <w:p w:rsidR="00C802B6" w:rsidRDefault="00C802B6" w:rsidP="00C802B6">
      <w:pPr>
        <w:spacing w:before="0" w:after="0"/>
        <w:rPr>
          <w:rFonts w:ascii="Arial" w:hAnsi="Arial" w:cs="Arial"/>
          <w:b/>
          <w:bCs/>
        </w:rPr>
      </w:pPr>
    </w:p>
    <w:p w:rsidR="00C802B6" w:rsidRPr="00BE57CF" w:rsidRDefault="00C802B6" w:rsidP="00C802B6">
      <w:pPr>
        <w:spacing w:before="0" w:after="0"/>
        <w:rPr>
          <w:rFonts w:ascii="Arial" w:hAnsi="Arial" w:cs="Arial"/>
          <w:b/>
          <w:bCs/>
        </w:rPr>
      </w:pPr>
      <w:r>
        <w:rPr>
          <w:rFonts w:ascii="Arial" w:hAnsi="Arial" w:cs="Arial"/>
          <w:b/>
          <w:bCs/>
        </w:rPr>
        <w:t>15</w:t>
      </w:r>
      <w:r w:rsidRPr="00BE57CF">
        <w:rPr>
          <w:rFonts w:ascii="Arial" w:hAnsi="Arial" w:cs="Arial"/>
          <w:b/>
          <w:bCs/>
        </w:rPr>
        <w:t>.</w:t>
      </w:r>
      <w:r>
        <w:rPr>
          <w:rFonts w:ascii="Arial" w:hAnsi="Arial" w:cs="Arial"/>
          <w:b/>
          <w:bCs/>
        </w:rPr>
        <w:tab/>
      </w:r>
      <w:r w:rsidRPr="00BE57CF">
        <w:rPr>
          <w:rFonts w:ascii="Arial" w:hAnsi="Arial" w:cs="Arial"/>
          <w:b/>
          <w:bCs/>
        </w:rPr>
        <w:t>Fair Value Measurement</w:t>
      </w:r>
      <w:r>
        <w:rPr>
          <w:rFonts w:ascii="Arial" w:hAnsi="Arial" w:cs="Arial"/>
          <w:b/>
          <w:bCs/>
        </w:rPr>
        <w:t xml:space="preserve"> (Cont’d)</w:t>
      </w:r>
    </w:p>
    <w:p w:rsidR="00746DB7" w:rsidRPr="00B67633" w:rsidRDefault="00746DB7" w:rsidP="009155BB">
      <w:pPr>
        <w:spacing w:before="0" w:after="0"/>
        <w:rPr>
          <w:rFonts w:ascii="Arial" w:eastAsiaTheme="minorHAnsi" w:hAnsi="Arial" w:cs="Arial"/>
        </w:rPr>
      </w:pPr>
    </w:p>
    <w:p w:rsidR="00746DB7" w:rsidRPr="00B67633" w:rsidRDefault="00746DB7" w:rsidP="009155BB">
      <w:pPr>
        <w:spacing w:before="0" w:after="0"/>
        <w:rPr>
          <w:rFonts w:ascii="Arial" w:eastAsiaTheme="minorHAnsi" w:hAnsi="Arial" w:cs="Arial"/>
        </w:rPr>
      </w:pPr>
      <w:r w:rsidRPr="00B67633">
        <w:rPr>
          <w:rFonts w:ascii="Arial" w:eastAsiaTheme="minorHAnsi" w:hAnsi="Arial" w:cs="Arial"/>
        </w:rPr>
        <w:t>When measuring fair value of a no</w:t>
      </w:r>
      <w:r w:rsidR="002E7DAC">
        <w:rPr>
          <w:rFonts w:ascii="Arial" w:eastAsiaTheme="minorHAnsi" w:hAnsi="Arial" w:cs="Arial"/>
        </w:rPr>
        <w:t>n-financial asset, the c</w:t>
      </w:r>
      <w:r>
        <w:rPr>
          <w:rFonts w:ascii="Arial" w:eastAsiaTheme="minorHAnsi" w:hAnsi="Arial" w:cs="Arial"/>
        </w:rPr>
        <w:t>ouncil</w:t>
      </w:r>
      <w:r w:rsidRPr="00B67633">
        <w:rPr>
          <w:rFonts w:ascii="Arial" w:eastAsiaTheme="minorHAnsi" w:hAnsi="Arial" w:cs="Arial"/>
        </w:rPr>
        <w:t xml:space="preserve"> takes into account a market participant’s ability to generate economic benefit by using the asset in its highest and best use or by selling it to another market participant that would use the asset in its highest and best use.</w:t>
      </w:r>
    </w:p>
    <w:p w:rsidR="00746DB7" w:rsidRPr="00B67633" w:rsidRDefault="00746DB7" w:rsidP="009155BB">
      <w:pPr>
        <w:spacing w:before="0" w:after="0"/>
        <w:jc w:val="both"/>
        <w:rPr>
          <w:rFonts w:ascii="Arial" w:eastAsiaTheme="minorHAnsi" w:hAnsi="Arial" w:cs="Arial"/>
        </w:rPr>
      </w:pPr>
    </w:p>
    <w:p w:rsidR="00746DB7" w:rsidRPr="00B67633" w:rsidRDefault="00746DB7" w:rsidP="009155BB">
      <w:pPr>
        <w:spacing w:before="0" w:after="0"/>
        <w:rPr>
          <w:rFonts w:ascii="Arial" w:eastAsiaTheme="minorHAnsi" w:hAnsi="Arial" w:cs="Arial"/>
        </w:rPr>
      </w:pPr>
      <w:r w:rsidRPr="00B67633">
        <w:rPr>
          <w:rFonts w:ascii="Arial" w:eastAsiaTheme="minorHAnsi" w:hAnsi="Arial" w:cs="Arial"/>
        </w:rPr>
        <w:t>The authority uses valuation techniques that are appropriate in the circumstances and for which sufficient data is available, maximising the use of relevant observable inputs and minimising the use of unobservable inputs.</w:t>
      </w:r>
    </w:p>
    <w:p w:rsidR="00746DB7" w:rsidRPr="00B67633" w:rsidRDefault="00746DB7" w:rsidP="00522D7C">
      <w:pPr>
        <w:spacing w:before="0" w:after="0"/>
        <w:ind w:left="709"/>
        <w:rPr>
          <w:rFonts w:ascii="Arial" w:eastAsiaTheme="minorHAnsi" w:hAnsi="Arial" w:cs="Arial"/>
        </w:rPr>
      </w:pPr>
    </w:p>
    <w:p w:rsidR="00746DB7" w:rsidRDefault="00746DB7" w:rsidP="009155BB">
      <w:pPr>
        <w:spacing w:before="0" w:after="0"/>
        <w:rPr>
          <w:rFonts w:ascii="Arial" w:eastAsiaTheme="minorHAnsi" w:hAnsi="Arial" w:cs="Arial"/>
        </w:rPr>
      </w:pPr>
      <w:r w:rsidRPr="00B67633">
        <w:rPr>
          <w:rFonts w:ascii="Arial" w:eastAsiaTheme="minorHAnsi" w:hAnsi="Arial" w:cs="Arial"/>
        </w:rPr>
        <w:t>Inputs to the valuation techniques in respect of assets for which fair value is measur</w:t>
      </w:r>
      <w:r w:rsidR="002E7DAC">
        <w:rPr>
          <w:rFonts w:ascii="Arial" w:eastAsiaTheme="minorHAnsi" w:hAnsi="Arial" w:cs="Arial"/>
        </w:rPr>
        <w:t>ed or disclosed in the c</w:t>
      </w:r>
      <w:r>
        <w:rPr>
          <w:rFonts w:ascii="Arial" w:eastAsiaTheme="minorHAnsi" w:hAnsi="Arial" w:cs="Arial"/>
        </w:rPr>
        <w:t>ouncil</w:t>
      </w:r>
      <w:r w:rsidRPr="00B67633">
        <w:rPr>
          <w:rFonts w:ascii="Arial" w:eastAsiaTheme="minorHAnsi" w:hAnsi="Arial" w:cs="Arial"/>
        </w:rPr>
        <w:t>’s financial statements are categorised within the fair value hierarchy as follows:</w:t>
      </w:r>
    </w:p>
    <w:p w:rsidR="00CF5591" w:rsidRDefault="00CF5591" w:rsidP="00522D7C">
      <w:pPr>
        <w:spacing w:before="0" w:after="0"/>
        <w:ind w:left="709"/>
        <w:rPr>
          <w:rFonts w:ascii="Arial" w:eastAsiaTheme="minorHAnsi" w:hAnsi="Arial" w:cs="Arial"/>
        </w:rPr>
      </w:pPr>
    </w:p>
    <w:p w:rsidR="00746DB7" w:rsidRPr="00B67633" w:rsidRDefault="00746DB7" w:rsidP="00EA6E47">
      <w:pPr>
        <w:numPr>
          <w:ilvl w:val="0"/>
          <w:numId w:val="35"/>
        </w:numPr>
        <w:spacing w:before="0" w:after="0" w:line="276" w:lineRule="auto"/>
        <w:ind w:left="567" w:hanging="567"/>
        <w:contextualSpacing/>
        <w:rPr>
          <w:rFonts w:ascii="Arial" w:eastAsiaTheme="minorHAnsi" w:hAnsi="Arial" w:cs="Arial"/>
        </w:rPr>
      </w:pPr>
      <w:r w:rsidRPr="00B67633">
        <w:rPr>
          <w:rFonts w:ascii="Arial" w:eastAsiaTheme="minorHAnsi" w:hAnsi="Arial" w:cs="Arial"/>
        </w:rPr>
        <w:t>Level 1 – quoted prices (unadjusted) in active markets for identical assets or liabilities that the authority can</w:t>
      </w:r>
      <w:r>
        <w:rPr>
          <w:rFonts w:ascii="Arial" w:eastAsiaTheme="minorHAnsi" w:hAnsi="Arial" w:cs="Arial"/>
        </w:rPr>
        <w:t xml:space="preserve"> access at the measurement date;</w:t>
      </w:r>
    </w:p>
    <w:p w:rsidR="00746DB7" w:rsidRPr="00B67633" w:rsidRDefault="00746DB7" w:rsidP="00EA6E47">
      <w:pPr>
        <w:numPr>
          <w:ilvl w:val="0"/>
          <w:numId w:val="35"/>
        </w:numPr>
        <w:spacing w:before="0" w:after="0" w:line="276" w:lineRule="auto"/>
        <w:ind w:left="567" w:hanging="567"/>
        <w:contextualSpacing/>
        <w:rPr>
          <w:rFonts w:ascii="Arial" w:eastAsiaTheme="minorHAnsi" w:hAnsi="Arial" w:cs="Arial"/>
        </w:rPr>
      </w:pPr>
      <w:r w:rsidRPr="00B67633">
        <w:rPr>
          <w:rFonts w:ascii="Arial" w:eastAsiaTheme="minorHAnsi" w:hAnsi="Arial" w:cs="Arial"/>
        </w:rPr>
        <w:t>Level 2 – inputs other than quoted prices included within Level 1 that are observable for the asset or liability</w:t>
      </w:r>
      <w:r>
        <w:rPr>
          <w:rFonts w:ascii="Arial" w:eastAsiaTheme="minorHAnsi" w:hAnsi="Arial" w:cs="Arial"/>
        </w:rPr>
        <w:t>, either directly or indirectly; and</w:t>
      </w:r>
    </w:p>
    <w:p w:rsidR="00746DB7" w:rsidRPr="00BE57CF" w:rsidRDefault="00746DB7" w:rsidP="00EA6E47">
      <w:pPr>
        <w:numPr>
          <w:ilvl w:val="0"/>
          <w:numId w:val="35"/>
        </w:numPr>
        <w:spacing w:before="0" w:after="0" w:line="276" w:lineRule="auto"/>
        <w:ind w:left="567" w:hanging="567"/>
        <w:contextualSpacing/>
        <w:rPr>
          <w:rFonts w:ascii="Arial" w:eastAsiaTheme="minorHAnsi" w:hAnsi="Arial" w:cs="Arial"/>
        </w:rPr>
      </w:pPr>
      <w:r w:rsidRPr="00B67633">
        <w:rPr>
          <w:rFonts w:ascii="Arial" w:eastAsiaTheme="minorHAnsi" w:hAnsi="Arial" w:cs="Arial"/>
        </w:rPr>
        <w:t>Level 3 – unobservable inputs for the asset or liability.</w:t>
      </w:r>
    </w:p>
    <w:p w:rsidR="00A977E1" w:rsidRPr="00960A3F" w:rsidRDefault="00A977E1" w:rsidP="00522D7C">
      <w:pPr>
        <w:spacing w:before="0" w:after="0"/>
        <w:rPr>
          <w:rFonts w:ascii="Arial" w:hAnsi="Arial" w:cs="Arial"/>
          <w:b/>
          <w:bCs/>
        </w:rPr>
      </w:pPr>
    </w:p>
    <w:p w:rsidR="00746DB7" w:rsidRPr="009155BB" w:rsidRDefault="00A27C20" w:rsidP="009155BB">
      <w:pPr>
        <w:spacing w:before="0" w:after="0"/>
        <w:rPr>
          <w:rFonts w:ascii="Arial" w:hAnsi="Arial" w:cs="Arial"/>
          <w:b/>
          <w:bCs/>
        </w:rPr>
      </w:pPr>
      <w:r>
        <w:rPr>
          <w:rFonts w:ascii="Arial" w:hAnsi="Arial" w:cs="Arial"/>
          <w:b/>
          <w:bCs/>
        </w:rPr>
        <w:t>16</w:t>
      </w:r>
      <w:r w:rsidR="00746DB7" w:rsidRPr="009155BB">
        <w:rPr>
          <w:rFonts w:ascii="Arial" w:hAnsi="Arial" w:cs="Arial"/>
          <w:b/>
          <w:bCs/>
        </w:rPr>
        <w:t>.</w:t>
      </w:r>
      <w:r w:rsidR="00746DB7" w:rsidRPr="009155BB">
        <w:rPr>
          <w:rFonts w:ascii="Arial" w:hAnsi="Arial" w:cs="Arial"/>
          <w:b/>
          <w:bCs/>
        </w:rPr>
        <w:tab/>
        <w:t>Government grants and contributions</w:t>
      </w:r>
    </w:p>
    <w:p w:rsidR="00746DB7" w:rsidRPr="00375FD4" w:rsidRDefault="00746DB7" w:rsidP="00522D7C">
      <w:pPr>
        <w:pStyle w:val="ListParagraph"/>
        <w:spacing w:before="0" w:after="0"/>
        <w:ind w:left="360"/>
        <w:rPr>
          <w:rFonts w:ascii="Arial" w:hAnsi="Arial" w:cs="Arial"/>
          <w:b/>
          <w:bCs/>
        </w:rPr>
      </w:pPr>
    </w:p>
    <w:p w:rsidR="00746DB7" w:rsidRPr="009155BB" w:rsidRDefault="004B3D38" w:rsidP="009155BB">
      <w:pPr>
        <w:spacing w:before="0" w:after="0"/>
        <w:rPr>
          <w:rFonts w:ascii="Arial" w:hAnsi="Arial" w:cs="Arial"/>
        </w:rPr>
      </w:pPr>
      <w:r w:rsidRPr="009155BB">
        <w:rPr>
          <w:rFonts w:ascii="Arial" w:hAnsi="Arial" w:cs="Arial"/>
        </w:rPr>
        <w:t>G</w:t>
      </w:r>
      <w:r w:rsidR="00746DB7" w:rsidRPr="009155BB">
        <w:rPr>
          <w:rFonts w:ascii="Arial" w:hAnsi="Arial" w:cs="Arial"/>
        </w:rPr>
        <w:t>overnment grants and</w:t>
      </w:r>
      <w:r w:rsidRPr="009155BB">
        <w:rPr>
          <w:rFonts w:ascii="Arial" w:hAnsi="Arial" w:cs="Arial"/>
        </w:rPr>
        <w:t xml:space="preserve"> other contributions</w:t>
      </w:r>
      <w:r w:rsidR="001C2895">
        <w:rPr>
          <w:rFonts w:ascii="Arial" w:hAnsi="Arial" w:cs="Arial"/>
        </w:rPr>
        <w:t xml:space="preserve"> are recognised as d</w:t>
      </w:r>
      <w:r w:rsidR="002E7DAC">
        <w:rPr>
          <w:rFonts w:ascii="Arial" w:hAnsi="Arial" w:cs="Arial"/>
        </w:rPr>
        <w:t>ue by the c</w:t>
      </w:r>
      <w:r w:rsidR="00746DB7" w:rsidRPr="009155BB">
        <w:rPr>
          <w:rFonts w:ascii="Arial" w:hAnsi="Arial" w:cs="Arial"/>
        </w:rPr>
        <w:t>ouncil when there is reasonable assurance that:</w:t>
      </w:r>
    </w:p>
    <w:p w:rsidR="00746DB7" w:rsidRPr="00375FD4" w:rsidRDefault="002E7DAC" w:rsidP="00EA6E47">
      <w:pPr>
        <w:pStyle w:val="ListParagraph"/>
        <w:numPr>
          <w:ilvl w:val="0"/>
          <w:numId w:val="14"/>
        </w:numPr>
        <w:spacing w:before="0" w:after="0"/>
        <w:ind w:left="426" w:hanging="425"/>
        <w:contextualSpacing w:val="0"/>
        <w:rPr>
          <w:rFonts w:ascii="Arial" w:hAnsi="Arial" w:cs="Arial"/>
        </w:rPr>
      </w:pPr>
      <w:r>
        <w:rPr>
          <w:rFonts w:ascii="Arial" w:hAnsi="Arial" w:cs="Arial"/>
        </w:rPr>
        <w:t>the c</w:t>
      </w:r>
      <w:r w:rsidR="00746DB7" w:rsidRPr="00375FD4">
        <w:rPr>
          <w:rFonts w:ascii="Arial" w:hAnsi="Arial" w:cs="Arial"/>
        </w:rPr>
        <w:t>ouncil will comply with the conditions attached to the payments, and</w:t>
      </w:r>
    </w:p>
    <w:p w:rsidR="00746DB7" w:rsidRPr="00375FD4" w:rsidRDefault="00746DB7" w:rsidP="00EA6E47">
      <w:pPr>
        <w:pStyle w:val="ListParagraph"/>
        <w:numPr>
          <w:ilvl w:val="0"/>
          <w:numId w:val="14"/>
        </w:numPr>
        <w:spacing w:before="0" w:after="0"/>
        <w:ind w:left="426" w:hanging="425"/>
        <w:contextualSpacing w:val="0"/>
        <w:rPr>
          <w:rFonts w:ascii="Arial" w:hAnsi="Arial" w:cs="Arial"/>
        </w:rPr>
      </w:pPr>
      <w:r w:rsidRPr="00375FD4">
        <w:rPr>
          <w:rFonts w:ascii="Arial" w:hAnsi="Arial" w:cs="Arial"/>
        </w:rPr>
        <w:t>the grants or contributions will be received.</w:t>
      </w:r>
    </w:p>
    <w:p w:rsidR="009155BB" w:rsidRDefault="009155BB" w:rsidP="009155BB">
      <w:pPr>
        <w:spacing w:before="0" w:after="0"/>
        <w:rPr>
          <w:rFonts w:ascii="Arial" w:hAnsi="Arial" w:cs="Arial"/>
        </w:rPr>
      </w:pPr>
    </w:p>
    <w:p w:rsidR="00746DB7" w:rsidRPr="00375FD4" w:rsidRDefault="00746DB7" w:rsidP="009155BB">
      <w:pPr>
        <w:spacing w:before="0" w:after="0"/>
        <w:rPr>
          <w:rFonts w:ascii="Arial" w:hAnsi="Arial" w:cs="Arial"/>
        </w:rPr>
      </w:pPr>
      <w:r w:rsidRPr="00375FD4">
        <w:rPr>
          <w:rFonts w:ascii="Arial" w:hAnsi="Arial" w:cs="Arial"/>
        </w:rPr>
        <w:t>Am</w:t>
      </w:r>
      <w:r w:rsidR="002E7DAC">
        <w:rPr>
          <w:rFonts w:ascii="Arial" w:hAnsi="Arial" w:cs="Arial"/>
        </w:rPr>
        <w:t>ounts recognised as due to the c</w:t>
      </w:r>
      <w:r w:rsidRPr="00375FD4">
        <w:rPr>
          <w:rFonts w:ascii="Arial" w:hAnsi="Arial" w:cs="Arial"/>
        </w:rPr>
        <w:t>ouncil are not credited to the Comprehensive Income and Expenditure Account until conditions attached to the grant or contribution have been satisfied.  Conditions are stipulations that specify that the future economic benefits or service potential embodied in the asset acquired using the grant or contribution are required to be consumed by the recipient as specified for future economic benefit or service potential must be returned to the transferor.</w:t>
      </w:r>
    </w:p>
    <w:p w:rsidR="00746DB7" w:rsidRPr="00375FD4" w:rsidRDefault="00746DB7" w:rsidP="00522D7C">
      <w:pPr>
        <w:spacing w:before="0" w:after="0"/>
        <w:ind w:left="720"/>
        <w:jc w:val="both"/>
        <w:rPr>
          <w:rFonts w:ascii="Arial" w:hAnsi="Arial" w:cs="Arial"/>
        </w:rPr>
      </w:pPr>
    </w:p>
    <w:p w:rsidR="00746DB7" w:rsidRPr="00375FD4" w:rsidRDefault="00746DB7" w:rsidP="009155BB">
      <w:pPr>
        <w:spacing w:before="0" w:after="0"/>
        <w:rPr>
          <w:rFonts w:ascii="Arial" w:hAnsi="Arial" w:cs="Arial"/>
        </w:rPr>
      </w:pPr>
      <w:r w:rsidRPr="00375FD4">
        <w:rPr>
          <w:rFonts w:ascii="Arial" w:hAnsi="Arial" w:cs="Arial"/>
        </w:rPr>
        <w:t xml:space="preserve">Monies advanced as grants and contributions for which conditions have not been satisfied are carried in the Balance Sheet as creditors. When conditions are satisfied, the grant or contribution is credited to the relevant service line (attributable revenue grants/contributions) or Taxation and Non </w:t>
      </w:r>
      <w:r>
        <w:rPr>
          <w:rFonts w:ascii="Arial" w:hAnsi="Arial" w:cs="Arial"/>
        </w:rPr>
        <w:t>Specific Grant Income (non ring</w:t>
      </w:r>
      <w:r w:rsidRPr="00375FD4">
        <w:rPr>
          <w:rFonts w:ascii="Arial" w:hAnsi="Arial" w:cs="Arial"/>
        </w:rPr>
        <w:t>fenced revenue grants and all capital grants) in the Comprehensive Income and Expenditure Statement.</w:t>
      </w:r>
    </w:p>
    <w:p w:rsidR="00746DB7" w:rsidRPr="00375FD4" w:rsidRDefault="00746DB7" w:rsidP="009155BB">
      <w:pPr>
        <w:spacing w:before="0" w:after="0"/>
        <w:rPr>
          <w:rFonts w:ascii="Arial" w:hAnsi="Arial" w:cs="Arial"/>
          <w:b/>
        </w:rPr>
      </w:pPr>
    </w:p>
    <w:p w:rsidR="00746DB7" w:rsidRPr="00375FD4" w:rsidRDefault="00746DB7" w:rsidP="009155BB">
      <w:pPr>
        <w:spacing w:before="0" w:after="0"/>
        <w:rPr>
          <w:rFonts w:ascii="Arial" w:hAnsi="Arial" w:cs="Arial"/>
        </w:rPr>
      </w:pPr>
      <w:r w:rsidRPr="00375FD4">
        <w:rPr>
          <w:rFonts w:ascii="Arial" w:hAnsi="Arial" w:cs="Arial"/>
        </w:rPr>
        <w:t>Where capital grants are credited to the Comprehensive Income and Expenditure Statement, they are reversed out of the General Fund balance in the Movement in Reserves Statement.  Where the grant has not yet been used to finance capital expenditure, it is posted to the Capital Grants Unapplied Account. Where it has been applied, it is posted to the Capital Adjustment Account.  Amounts in the Capital Grants Unapplied Account are transferred to the Capital Adjustment Account once they have been applied.</w:t>
      </w:r>
    </w:p>
    <w:p w:rsidR="00960A3F" w:rsidRPr="009155BB" w:rsidRDefault="00960A3F" w:rsidP="009155BB">
      <w:pPr>
        <w:spacing w:before="0" w:after="0"/>
        <w:jc w:val="both"/>
        <w:rPr>
          <w:rFonts w:ascii="Arial" w:hAnsi="Arial" w:cs="Arial"/>
          <w:b/>
          <w:bCs/>
        </w:rPr>
      </w:pPr>
    </w:p>
    <w:p w:rsidR="00746DB7" w:rsidRPr="009155BB" w:rsidRDefault="00A27C20" w:rsidP="009155BB">
      <w:pPr>
        <w:spacing w:before="0" w:after="0"/>
        <w:jc w:val="both"/>
        <w:rPr>
          <w:rFonts w:ascii="Arial" w:hAnsi="Arial" w:cs="Arial"/>
          <w:b/>
          <w:bCs/>
        </w:rPr>
      </w:pPr>
      <w:r>
        <w:rPr>
          <w:rFonts w:ascii="Arial" w:hAnsi="Arial" w:cs="Arial"/>
          <w:b/>
          <w:bCs/>
        </w:rPr>
        <w:t>17</w:t>
      </w:r>
      <w:r w:rsidR="00746DB7" w:rsidRPr="009155BB">
        <w:rPr>
          <w:rFonts w:ascii="Arial" w:hAnsi="Arial" w:cs="Arial"/>
          <w:b/>
          <w:bCs/>
        </w:rPr>
        <w:t>.</w:t>
      </w:r>
      <w:r w:rsidR="00746DB7" w:rsidRPr="009155BB">
        <w:rPr>
          <w:rFonts w:ascii="Arial" w:hAnsi="Arial" w:cs="Arial"/>
          <w:b/>
          <w:bCs/>
        </w:rPr>
        <w:tab/>
        <w:t>Inventories</w:t>
      </w:r>
    </w:p>
    <w:p w:rsidR="00746DB7" w:rsidRPr="00375FD4" w:rsidRDefault="00746DB7" w:rsidP="00522D7C">
      <w:pPr>
        <w:pStyle w:val="ListParagraph"/>
        <w:spacing w:before="0" w:after="0"/>
        <w:ind w:left="360"/>
        <w:jc w:val="both"/>
        <w:rPr>
          <w:rFonts w:ascii="Arial" w:hAnsi="Arial" w:cs="Arial"/>
          <w:b/>
          <w:bCs/>
        </w:rPr>
      </w:pPr>
    </w:p>
    <w:p w:rsidR="008960E0" w:rsidRDefault="008960E0" w:rsidP="008960E0">
      <w:pPr>
        <w:spacing w:before="0" w:after="0"/>
        <w:rPr>
          <w:rFonts w:ascii="Arial" w:hAnsi="Arial" w:cs="Arial"/>
        </w:rPr>
      </w:pPr>
      <w:r w:rsidRPr="008960E0">
        <w:rPr>
          <w:rFonts w:ascii="Arial" w:hAnsi="Arial" w:cs="Arial"/>
        </w:rPr>
        <w:t>Inven</w:t>
      </w:r>
      <w:r w:rsidR="00AA11B6">
        <w:rPr>
          <w:rFonts w:ascii="Arial" w:hAnsi="Arial" w:cs="Arial"/>
        </w:rPr>
        <w:t>tories are held by a number of council services, such as</w:t>
      </w:r>
      <w:r w:rsidRPr="008960E0">
        <w:rPr>
          <w:rFonts w:ascii="Arial" w:hAnsi="Arial" w:cs="Arial"/>
        </w:rPr>
        <w:t xml:space="preserve"> asset maintenance services, </w:t>
      </w:r>
      <w:r w:rsidR="003B4632">
        <w:rPr>
          <w:rFonts w:ascii="Arial" w:hAnsi="Arial" w:cs="Arial"/>
        </w:rPr>
        <w:t xml:space="preserve">roads, services, </w:t>
      </w:r>
      <w:r w:rsidRPr="008960E0">
        <w:rPr>
          <w:rFonts w:ascii="Arial" w:hAnsi="Arial" w:cs="Arial"/>
        </w:rPr>
        <w:t>school technician services, hospitality services, etc., and include consumable stock and work in progress, where appropriate.</w:t>
      </w:r>
    </w:p>
    <w:p w:rsidR="003B4632" w:rsidRPr="008960E0" w:rsidRDefault="003B4632" w:rsidP="008960E0">
      <w:pPr>
        <w:spacing w:before="0" w:after="0"/>
        <w:rPr>
          <w:rFonts w:ascii="Arial" w:hAnsi="Arial" w:cs="Arial"/>
        </w:rPr>
      </w:pPr>
    </w:p>
    <w:p w:rsidR="008960E0" w:rsidRDefault="008960E0" w:rsidP="008960E0">
      <w:pPr>
        <w:spacing w:before="0" w:after="0"/>
        <w:rPr>
          <w:rFonts w:ascii="Arial" w:hAnsi="Arial" w:cs="Arial"/>
        </w:rPr>
      </w:pPr>
      <w:r w:rsidRPr="008960E0">
        <w:rPr>
          <w:rFonts w:ascii="Arial" w:hAnsi="Arial" w:cs="Arial"/>
        </w:rPr>
        <w:t>Consumable stock is included in the Balance Sheet on a cost price basis, with inventory quantities based on physic</w:t>
      </w:r>
      <w:r w:rsidR="00D50A13">
        <w:rPr>
          <w:rFonts w:ascii="Arial" w:hAnsi="Arial" w:cs="Arial"/>
        </w:rPr>
        <w:t>al stock at the end of the year</w:t>
      </w:r>
      <w:r w:rsidRPr="008960E0">
        <w:rPr>
          <w:rFonts w:ascii="Arial" w:hAnsi="Arial" w:cs="Arial"/>
        </w:rPr>
        <w:t>.</w:t>
      </w:r>
    </w:p>
    <w:p w:rsidR="003C6112" w:rsidRPr="008960E0" w:rsidRDefault="003C6112" w:rsidP="008960E0">
      <w:pPr>
        <w:spacing w:before="0" w:after="0"/>
        <w:rPr>
          <w:rFonts w:ascii="Arial" w:hAnsi="Arial" w:cs="Arial"/>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C802B6" w:rsidRDefault="00C802B6" w:rsidP="00C802B6">
      <w:pPr>
        <w:spacing w:before="0" w:after="0"/>
        <w:ind w:left="720"/>
        <w:jc w:val="both"/>
        <w:rPr>
          <w:rFonts w:ascii="Arial" w:hAnsi="Arial" w:cs="Arial"/>
        </w:rPr>
      </w:pPr>
    </w:p>
    <w:p w:rsidR="00C802B6" w:rsidRPr="00BE57CF" w:rsidRDefault="00EA05CA" w:rsidP="00C802B6">
      <w:pPr>
        <w:spacing w:before="0" w:after="0"/>
        <w:jc w:val="both"/>
        <w:rPr>
          <w:rFonts w:ascii="Arial" w:hAnsi="Arial" w:cs="Arial"/>
          <w:b/>
        </w:rPr>
      </w:pPr>
      <w:r>
        <w:rPr>
          <w:rFonts w:ascii="Arial" w:hAnsi="Arial" w:cs="Arial"/>
          <w:b/>
        </w:rPr>
        <w:t>Note 32</w:t>
      </w:r>
      <w:r w:rsidR="00C802B6">
        <w:rPr>
          <w:rFonts w:ascii="Arial" w:hAnsi="Arial" w:cs="Arial"/>
          <w:b/>
        </w:rPr>
        <w:t xml:space="preserve"> - Accounting Policies (Cont’d)</w:t>
      </w:r>
    </w:p>
    <w:p w:rsidR="00C802B6" w:rsidRDefault="00C802B6" w:rsidP="00C802B6">
      <w:pPr>
        <w:spacing w:before="0" w:after="0"/>
        <w:ind w:left="720"/>
        <w:rPr>
          <w:rFonts w:ascii="Arial" w:hAnsi="Arial" w:cs="Arial"/>
          <w:u w:val="single"/>
        </w:rPr>
      </w:pPr>
    </w:p>
    <w:p w:rsidR="00C802B6" w:rsidRPr="009155BB" w:rsidRDefault="00C802B6" w:rsidP="00C802B6">
      <w:pPr>
        <w:spacing w:before="0" w:after="0"/>
        <w:rPr>
          <w:rFonts w:ascii="Arial" w:hAnsi="Arial" w:cs="Arial"/>
          <w:b/>
          <w:bCs/>
        </w:rPr>
      </w:pPr>
      <w:r>
        <w:rPr>
          <w:rFonts w:ascii="Arial" w:hAnsi="Arial" w:cs="Arial"/>
          <w:b/>
          <w:bCs/>
        </w:rPr>
        <w:t>18</w:t>
      </w:r>
      <w:r w:rsidRPr="009155BB">
        <w:rPr>
          <w:rFonts w:ascii="Arial" w:hAnsi="Arial" w:cs="Arial"/>
          <w:b/>
          <w:bCs/>
        </w:rPr>
        <w:t>.</w:t>
      </w:r>
      <w:r w:rsidRPr="009155BB">
        <w:rPr>
          <w:rFonts w:ascii="Arial" w:hAnsi="Arial" w:cs="Arial"/>
          <w:b/>
          <w:bCs/>
        </w:rPr>
        <w:tab/>
        <w:t>Leases</w:t>
      </w:r>
    </w:p>
    <w:p w:rsidR="00C802B6" w:rsidRPr="00375FD4" w:rsidRDefault="00C802B6" w:rsidP="00C802B6">
      <w:pPr>
        <w:pStyle w:val="ListParagraph"/>
        <w:spacing w:before="0" w:after="0"/>
        <w:ind w:left="0"/>
        <w:jc w:val="both"/>
        <w:rPr>
          <w:rFonts w:ascii="Arial" w:hAnsi="Arial" w:cs="Arial"/>
        </w:rPr>
      </w:pPr>
    </w:p>
    <w:p w:rsidR="00CF5591" w:rsidRPr="009155BB" w:rsidRDefault="00746DB7" w:rsidP="009155BB">
      <w:pPr>
        <w:spacing w:before="0" w:after="0"/>
        <w:rPr>
          <w:rFonts w:ascii="Arial" w:hAnsi="Arial" w:cs="Arial"/>
        </w:rPr>
      </w:pPr>
      <w:r w:rsidRPr="009155BB">
        <w:rPr>
          <w:rFonts w:ascii="Arial" w:hAnsi="Arial" w:cs="Arial"/>
        </w:rPr>
        <w:t>Leases are classified as finance leases where the terms transfer substantially all the risks and rewards incidental to ownership from the lessor to the lessee. All other leases are classified as operational. Where the lease covers both land and buildings, the elements are considered</w:t>
      </w:r>
      <w:r w:rsidR="00374305" w:rsidRPr="009155BB">
        <w:rPr>
          <w:rFonts w:ascii="Arial" w:hAnsi="Arial" w:cs="Arial"/>
        </w:rPr>
        <w:t xml:space="preserve"> separately for classification.</w:t>
      </w:r>
    </w:p>
    <w:p w:rsidR="00CF5591" w:rsidRDefault="00CF5591" w:rsidP="00522D7C">
      <w:pPr>
        <w:pStyle w:val="ListParagraph"/>
        <w:spacing w:before="0" w:after="0"/>
        <w:rPr>
          <w:rFonts w:ascii="Arial" w:hAnsi="Arial" w:cs="Arial"/>
          <w:b/>
          <w:bCs/>
        </w:rPr>
      </w:pPr>
    </w:p>
    <w:p w:rsidR="00746DB7" w:rsidRPr="009155BB" w:rsidRDefault="00746DB7" w:rsidP="009155BB">
      <w:pPr>
        <w:spacing w:before="0" w:after="0"/>
        <w:rPr>
          <w:rFonts w:ascii="Arial" w:hAnsi="Arial" w:cs="Arial"/>
          <w:b/>
          <w:bCs/>
        </w:rPr>
      </w:pPr>
      <w:r w:rsidRPr="009155BB">
        <w:rPr>
          <w:rFonts w:ascii="Arial" w:hAnsi="Arial" w:cs="Arial"/>
          <w:b/>
          <w:bCs/>
        </w:rPr>
        <w:t>Council as Lessee</w:t>
      </w:r>
    </w:p>
    <w:p w:rsidR="00746DB7" w:rsidRPr="00375FD4" w:rsidRDefault="00746DB7" w:rsidP="00522D7C">
      <w:pPr>
        <w:pStyle w:val="ListParagraph"/>
        <w:spacing w:before="0" w:after="0"/>
        <w:rPr>
          <w:rFonts w:ascii="Arial" w:hAnsi="Arial" w:cs="Arial"/>
          <w:b/>
          <w:bCs/>
        </w:rPr>
      </w:pPr>
    </w:p>
    <w:p w:rsidR="00746DB7" w:rsidRPr="009155BB" w:rsidRDefault="00746DB7" w:rsidP="009155BB">
      <w:pPr>
        <w:spacing w:before="0" w:after="0"/>
        <w:rPr>
          <w:rFonts w:ascii="Arial" w:hAnsi="Arial" w:cs="Arial"/>
          <w:u w:val="single"/>
        </w:rPr>
      </w:pPr>
      <w:r w:rsidRPr="009155BB">
        <w:rPr>
          <w:rFonts w:ascii="Arial" w:hAnsi="Arial" w:cs="Arial"/>
          <w:u w:val="single"/>
        </w:rPr>
        <w:t>Finance Leases</w:t>
      </w:r>
    </w:p>
    <w:p w:rsidR="00746DB7" w:rsidRPr="009155BB" w:rsidRDefault="00746DB7" w:rsidP="009155BB">
      <w:pPr>
        <w:spacing w:before="0" w:after="0"/>
        <w:rPr>
          <w:rFonts w:ascii="Arial" w:hAnsi="Arial" w:cs="Arial"/>
        </w:rPr>
      </w:pPr>
      <w:r w:rsidRPr="009155BB">
        <w:rPr>
          <w:rFonts w:ascii="Arial" w:hAnsi="Arial" w:cs="Arial"/>
        </w:rPr>
        <w:t xml:space="preserve">Assets held under finance lease are recognised in the Balance Sheet at the start of the lease at its fair value at the lease’s inception, or, if lower the present value </w:t>
      </w:r>
      <w:r w:rsidR="004B3D38" w:rsidRPr="009155BB">
        <w:rPr>
          <w:rFonts w:ascii="Arial" w:hAnsi="Arial" w:cs="Arial"/>
        </w:rPr>
        <w:t xml:space="preserve">of the minimum lease payments. </w:t>
      </w:r>
      <w:r w:rsidRPr="009155BB">
        <w:rPr>
          <w:rFonts w:ascii="Arial" w:hAnsi="Arial" w:cs="Arial"/>
        </w:rPr>
        <w:t>The asset recognised is matched by a liability for the obligation</w:t>
      </w:r>
      <w:r w:rsidR="004B3D38" w:rsidRPr="009155BB">
        <w:rPr>
          <w:rFonts w:ascii="Arial" w:hAnsi="Arial" w:cs="Arial"/>
        </w:rPr>
        <w:t xml:space="preserve"> to pay. </w:t>
      </w:r>
      <w:r w:rsidRPr="009155BB">
        <w:rPr>
          <w:rFonts w:ascii="Arial" w:hAnsi="Arial" w:cs="Arial"/>
        </w:rPr>
        <w:t>Ini</w:t>
      </w:r>
      <w:r w:rsidR="004B3D38" w:rsidRPr="009155BB">
        <w:rPr>
          <w:rFonts w:ascii="Arial" w:hAnsi="Arial" w:cs="Arial"/>
        </w:rPr>
        <w:t>tial direct costs</w:t>
      </w:r>
      <w:r w:rsidRPr="009155BB">
        <w:rPr>
          <w:rFonts w:ascii="Arial" w:hAnsi="Arial" w:cs="Arial"/>
        </w:rPr>
        <w:t xml:space="preserve"> are added to the carrying amount of the asset. Premiums paid on entry into a lease are applied to writing down the lease liability. Contingent rents are charged to revenue in the years they incur. Lease payments are apportioned between:</w:t>
      </w:r>
    </w:p>
    <w:p w:rsidR="00746DB7" w:rsidRDefault="00746DB7" w:rsidP="00522D7C">
      <w:pPr>
        <w:pStyle w:val="ListParagraph"/>
        <w:spacing w:before="0" w:after="0"/>
        <w:ind w:left="0"/>
        <w:jc w:val="both"/>
        <w:rPr>
          <w:rFonts w:ascii="Arial" w:hAnsi="Arial" w:cs="Arial"/>
        </w:rPr>
      </w:pPr>
    </w:p>
    <w:p w:rsidR="00746DB7" w:rsidRPr="004B3D38" w:rsidRDefault="00746DB7" w:rsidP="00EA6E47">
      <w:pPr>
        <w:pStyle w:val="ListParagraph"/>
        <w:numPr>
          <w:ilvl w:val="0"/>
          <w:numId w:val="18"/>
        </w:numPr>
        <w:spacing w:before="0" w:after="0"/>
        <w:ind w:left="426" w:hanging="425"/>
        <w:contextualSpacing w:val="0"/>
        <w:rPr>
          <w:rFonts w:ascii="Arial" w:hAnsi="Arial" w:cs="Arial"/>
        </w:rPr>
      </w:pPr>
      <w:r w:rsidRPr="00375FD4">
        <w:rPr>
          <w:rFonts w:ascii="Arial" w:hAnsi="Arial" w:cs="Arial"/>
        </w:rPr>
        <w:t>a charge for the acquisition of the interest in the asset – applied to write down the lease liability; and</w:t>
      </w:r>
    </w:p>
    <w:p w:rsidR="00746DB7" w:rsidRPr="00375FD4" w:rsidRDefault="00746DB7" w:rsidP="00EA6E47">
      <w:pPr>
        <w:pStyle w:val="ListParagraph"/>
        <w:numPr>
          <w:ilvl w:val="0"/>
          <w:numId w:val="18"/>
        </w:numPr>
        <w:spacing w:before="0" w:after="0"/>
        <w:ind w:left="426" w:hanging="425"/>
        <w:contextualSpacing w:val="0"/>
        <w:rPr>
          <w:rFonts w:ascii="Arial" w:hAnsi="Arial" w:cs="Arial"/>
        </w:rPr>
      </w:pPr>
      <w:r w:rsidRPr="00375FD4">
        <w:rPr>
          <w:rFonts w:ascii="Arial" w:hAnsi="Arial" w:cs="Arial"/>
        </w:rPr>
        <w:t>a finance charge (debited to the Financing and Investment income and Expenditure line in Comprehensive Income and Expenditure Statement).</w:t>
      </w:r>
    </w:p>
    <w:p w:rsidR="00A977E1" w:rsidRDefault="00A977E1" w:rsidP="00522D7C">
      <w:pPr>
        <w:spacing w:before="0" w:after="0"/>
        <w:rPr>
          <w:rFonts w:ascii="Arial" w:hAnsi="Arial" w:cs="Arial"/>
        </w:rPr>
      </w:pPr>
    </w:p>
    <w:p w:rsidR="00746DB7" w:rsidRPr="00375FD4" w:rsidRDefault="00746DB7" w:rsidP="009155BB">
      <w:pPr>
        <w:spacing w:before="0" w:after="0"/>
        <w:rPr>
          <w:rFonts w:ascii="Arial" w:hAnsi="Arial" w:cs="Arial"/>
        </w:rPr>
      </w:pPr>
      <w:r w:rsidRPr="00375FD4">
        <w:rPr>
          <w:rFonts w:ascii="Arial" w:hAnsi="Arial" w:cs="Arial"/>
        </w:rPr>
        <w:t>Assets recognised under the finance lease are accounted for using the</w:t>
      </w:r>
      <w:r w:rsidR="001C2895">
        <w:rPr>
          <w:rFonts w:ascii="Arial" w:hAnsi="Arial" w:cs="Arial"/>
        </w:rPr>
        <w:t xml:space="preserve"> policies applied generally to c</w:t>
      </w:r>
      <w:r w:rsidRPr="00375FD4">
        <w:rPr>
          <w:rFonts w:ascii="Arial" w:hAnsi="Arial" w:cs="Arial"/>
        </w:rPr>
        <w:t>ouncil owned assets, subject to depreciation being charged over the lease term if this is shorter than the asset’s estimated useful life.</w:t>
      </w:r>
      <w:r w:rsidRPr="00375FD4">
        <w:rPr>
          <w:rFonts w:ascii="Arial" w:hAnsi="Arial" w:cs="Arial"/>
          <w:b/>
        </w:rPr>
        <w:t xml:space="preserve"> </w:t>
      </w:r>
    </w:p>
    <w:p w:rsidR="009155BB" w:rsidRDefault="009155BB" w:rsidP="00522D7C">
      <w:pPr>
        <w:spacing w:before="0" w:after="0"/>
        <w:ind w:left="720"/>
        <w:rPr>
          <w:rFonts w:ascii="Arial" w:hAnsi="Arial" w:cs="Arial"/>
          <w:u w:val="single"/>
        </w:rPr>
      </w:pPr>
    </w:p>
    <w:p w:rsidR="00746DB7" w:rsidRPr="00375FD4" w:rsidRDefault="00746DB7" w:rsidP="009155BB">
      <w:pPr>
        <w:spacing w:before="0" w:after="0"/>
        <w:rPr>
          <w:rFonts w:ascii="Arial" w:hAnsi="Arial" w:cs="Arial"/>
          <w:u w:val="single"/>
        </w:rPr>
      </w:pPr>
      <w:r w:rsidRPr="00375FD4">
        <w:rPr>
          <w:rFonts w:ascii="Arial" w:hAnsi="Arial" w:cs="Arial"/>
          <w:u w:val="single"/>
        </w:rPr>
        <w:t>Operating Leases</w:t>
      </w:r>
    </w:p>
    <w:p w:rsidR="00746DB7" w:rsidRPr="00375FD4" w:rsidRDefault="00746DB7" w:rsidP="00522D7C">
      <w:pPr>
        <w:spacing w:before="0" w:after="0"/>
        <w:ind w:left="720"/>
        <w:rPr>
          <w:rFonts w:ascii="Arial" w:hAnsi="Arial" w:cs="Arial"/>
        </w:rPr>
      </w:pPr>
    </w:p>
    <w:p w:rsidR="00746DB7" w:rsidRPr="00375FD4" w:rsidRDefault="00746DB7" w:rsidP="009155BB">
      <w:pPr>
        <w:spacing w:before="0" w:after="0"/>
        <w:rPr>
          <w:rFonts w:ascii="Arial" w:hAnsi="Arial" w:cs="Arial"/>
        </w:rPr>
      </w:pPr>
      <w:r w:rsidRPr="00375FD4">
        <w:rPr>
          <w:rFonts w:ascii="Arial" w:hAnsi="Arial" w:cs="Arial"/>
        </w:rPr>
        <w:t>Rentals paid under operating leases are charged to the Comprehensive Income and Expenditure Statement as an expense. Charges are made on a straight line basis over the life of the lease, even if it does not match the pattern of payment.</w:t>
      </w:r>
    </w:p>
    <w:p w:rsidR="00746DB7" w:rsidRPr="00375FD4" w:rsidRDefault="00746DB7" w:rsidP="00522D7C">
      <w:pPr>
        <w:spacing w:before="0" w:after="0"/>
        <w:rPr>
          <w:rFonts w:ascii="Arial" w:hAnsi="Arial" w:cs="Arial"/>
          <w:b/>
        </w:rPr>
      </w:pPr>
    </w:p>
    <w:p w:rsidR="00746DB7" w:rsidRPr="00375FD4" w:rsidRDefault="00746DB7" w:rsidP="009155BB">
      <w:pPr>
        <w:spacing w:before="0" w:after="0"/>
        <w:rPr>
          <w:rFonts w:ascii="Arial" w:hAnsi="Arial" w:cs="Arial"/>
          <w:b/>
          <w:bCs/>
        </w:rPr>
      </w:pPr>
      <w:r w:rsidRPr="00375FD4">
        <w:rPr>
          <w:rFonts w:ascii="Arial" w:hAnsi="Arial" w:cs="Arial"/>
          <w:b/>
          <w:bCs/>
        </w:rPr>
        <w:t>Council as Lessor</w:t>
      </w:r>
    </w:p>
    <w:p w:rsidR="00746DB7" w:rsidRPr="00375FD4" w:rsidRDefault="00746DB7" w:rsidP="00522D7C">
      <w:pPr>
        <w:spacing w:before="0" w:after="0"/>
        <w:ind w:left="720"/>
        <w:rPr>
          <w:rFonts w:ascii="Arial" w:hAnsi="Arial" w:cs="Arial"/>
        </w:rPr>
      </w:pPr>
    </w:p>
    <w:p w:rsidR="00746DB7" w:rsidRPr="00375FD4" w:rsidRDefault="00746DB7" w:rsidP="009155BB">
      <w:pPr>
        <w:spacing w:before="0" w:after="0"/>
        <w:rPr>
          <w:rFonts w:ascii="Arial" w:hAnsi="Arial" w:cs="Arial"/>
          <w:u w:val="single"/>
        </w:rPr>
      </w:pPr>
      <w:r w:rsidRPr="00375FD4">
        <w:rPr>
          <w:rFonts w:ascii="Arial" w:hAnsi="Arial" w:cs="Arial"/>
          <w:u w:val="single"/>
        </w:rPr>
        <w:t>Finance Leases</w:t>
      </w:r>
    </w:p>
    <w:p w:rsidR="00746DB7" w:rsidRPr="00375FD4" w:rsidRDefault="00746DB7" w:rsidP="00522D7C">
      <w:pPr>
        <w:spacing w:before="0" w:after="0"/>
        <w:ind w:left="720"/>
        <w:rPr>
          <w:rFonts w:ascii="Arial" w:hAnsi="Arial" w:cs="Arial"/>
        </w:rPr>
      </w:pPr>
    </w:p>
    <w:p w:rsidR="00746DB7" w:rsidRPr="00375FD4" w:rsidRDefault="002E7DAC" w:rsidP="009155BB">
      <w:pPr>
        <w:spacing w:before="0" w:after="0"/>
        <w:rPr>
          <w:rFonts w:ascii="Arial" w:hAnsi="Arial" w:cs="Arial"/>
        </w:rPr>
      </w:pPr>
      <w:r>
        <w:rPr>
          <w:rFonts w:ascii="Arial" w:hAnsi="Arial" w:cs="Arial"/>
        </w:rPr>
        <w:t>When the c</w:t>
      </w:r>
      <w:r w:rsidR="00746DB7" w:rsidRPr="00375FD4">
        <w:rPr>
          <w:rFonts w:ascii="Arial" w:hAnsi="Arial" w:cs="Arial"/>
        </w:rPr>
        <w:t>ouncil grants a finance lease over an asset, the asset is written out of the Balance Sheet as a disposal.  At the start of the lease the carrying amount of the asset is written off to the Other Operating Expenditure line in the Comprehensive Income and Expenditure Statement as par</w:t>
      </w:r>
      <w:r w:rsidR="004B3D38">
        <w:rPr>
          <w:rFonts w:ascii="Arial" w:hAnsi="Arial" w:cs="Arial"/>
        </w:rPr>
        <w:t>t of the gain/loss on disposal.</w:t>
      </w:r>
      <w:r>
        <w:rPr>
          <w:rFonts w:ascii="Arial" w:hAnsi="Arial" w:cs="Arial"/>
        </w:rPr>
        <w:t xml:space="preserve"> A gain, representing the c</w:t>
      </w:r>
      <w:r w:rsidR="00746DB7" w:rsidRPr="00375FD4">
        <w:rPr>
          <w:rFonts w:ascii="Arial" w:hAnsi="Arial" w:cs="Arial"/>
        </w:rPr>
        <w:t>ouncil’s net investment in the lease is credited to the same line in the Comprehensive Income and Expenditure Statement, matched by a lease asset in the Balance Sheet</w:t>
      </w:r>
      <w:r w:rsidR="006330AA">
        <w:rPr>
          <w:rFonts w:ascii="Arial" w:hAnsi="Arial" w:cs="Arial"/>
        </w:rPr>
        <w:t>.</w:t>
      </w:r>
      <w:r w:rsidR="00746DB7" w:rsidRPr="00375FD4">
        <w:rPr>
          <w:rFonts w:ascii="Arial" w:hAnsi="Arial" w:cs="Arial"/>
        </w:rPr>
        <w:t xml:space="preserve"> Lease rentals receivable are apportioned between:</w:t>
      </w:r>
    </w:p>
    <w:p w:rsidR="00746DB7" w:rsidRPr="00375FD4" w:rsidRDefault="00746DB7" w:rsidP="00522D7C">
      <w:pPr>
        <w:pStyle w:val="ListParagraph"/>
        <w:spacing w:before="0" w:after="0"/>
        <w:jc w:val="both"/>
        <w:rPr>
          <w:rFonts w:ascii="Arial" w:hAnsi="Arial" w:cs="Arial"/>
        </w:rPr>
      </w:pPr>
    </w:p>
    <w:p w:rsidR="00746DB7" w:rsidRPr="00375FD4" w:rsidRDefault="00746DB7" w:rsidP="00EA6E47">
      <w:pPr>
        <w:pStyle w:val="ListParagraph"/>
        <w:numPr>
          <w:ilvl w:val="0"/>
          <w:numId w:val="18"/>
        </w:numPr>
        <w:spacing w:before="0" w:after="0"/>
        <w:ind w:left="426" w:hanging="425"/>
        <w:contextualSpacing w:val="0"/>
        <w:rPr>
          <w:rFonts w:ascii="Arial" w:hAnsi="Arial" w:cs="Arial"/>
        </w:rPr>
      </w:pPr>
      <w:r w:rsidRPr="00375FD4">
        <w:rPr>
          <w:rFonts w:ascii="Arial" w:hAnsi="Arial" w:cs="Arial"/>
        </w:rPr>
        <w:t>a receipt for the acquisition of the interest in the asset – applied to write down the lease asset (together with any premiums received); and</w:t>
      </w:r>
    </w:p>
    <w:p w:rsidR="00746DB7" w:rsidRPr="00375FD4" w:rsidRDefault="00746DB7" w:rsidP="00EA6E47">
      <w:pPr>
        <w:pStyle w:val="ListParagraph"/>
        <w:numPr>
          <w:ilvl w:val="0"/>
          <w:numId w:val="18"/>
        </w:numPr>
        <w:spacing w:before="0" w:after="0"/>
        <w:ind w:left="426" w:hanging="425"/>
        <w:contextualSpacing w:val="0"/>
        <w:jc w:val="both"/>
        <w:rPr>
          <w:rFonts w:ascii="Arial" w:hAnsi="Arial" w:cs="Arial"/>
        </w:rPr>
      </w:pPr>
      <w:r w:rsidRPr="00375FD4">
        <w:rPr>
          <w:rFonts w:ascii="Arial" w:hAnsi="Arial" w:cs="Arial"/>
        </w:rPr>
        <w:t>finance income (credited to the Financing and Investment income and Expenditure line in Comprehensive Income and Expenditure Statement).</w:t>
      </w:r>
    </w:p>
    <w:p w:rsidR="00960A3F" w:rsidRPr="009155BB" w:rsidRDefault="00960A3F" w:rsidP="009155BB">
      <w:pPr>
        <w:spacing w:before="0" w:after="0"/>
        <w:jc w:val="both"/>
        <w:rPr>
          <w:rFonts w:ascii="Arial" w:hAnsi="Arial" w:cs="Arial"/>
        </w:rPr>
      </w:pPr>
    </w:p>
    <w:p w:rsidR="00C802B6" w:rsidRDefault="00746DB7" w:rsidP="009155BB">
      <w:pPr>
        <w:spacing w:before="0" w:after="0"/>
        <w:rPr>
          <w:rFonts w:ascii="Arial" w:hAnsi="Arial" w:cs="Arial"/>
        </w:rPr>
      </w:pPr>
      <w:r w:rsidRPr="009155BB">
        <w:rPr>
          <w:rFonts w:ascii="Arial" w:hAnsi="Arial" w:cs="Arial"/>
        </w:rPr>
        <w:t xml:space="preserve">The gain credited to the Comprehensive Income and Expenditure Statement on disposal is not permitted by statute to increase the General Fund balance and will be required to be treated as a capital receipt.  Where a premium has been received, this is posted out of the General Fund Balance to the Capital Receipts Reserve in the Movement in Reserves Statement.  Where the amounts due in relation to the lease asset is to be settled by the payment of rentals in future financial years, this is posted out of the General Fund Balance to the Deferred Capital Receipts Reserve in the Movement in Reserves Statement.  When the future rentals are paid, the element of the charge for the acquisition </w:t>
      </w:r>
    </w:p>
    <w:p w:rsidR="00C802B6" w:rsidRDefault="00C802B6" w:rsidP="009155BB">
      <w:pPr>
        <w:spacing w:before="0" w:after="0"/>
        <w:rPr>
          <w:rFonts w:ascii="Arial" w:hAnsi="Arial" w:cs="Arial"/>
        </w:rPr>
      </w:pPr>
    </w:p>
    <w:p w:rsidR="00C802B6" w:rsidRDefault="00C802B6" w:rsidP="00C802B6">
      <w:pPr>
        <w:spacing w:before="0" w:after="0"/>
        <w:jc w:val="both"/>
        <w:rPr>
          <w:rFonts w:ascii="Arial" w:hAnsi="Arial" w:cs="Arial"/>
          <w:b/>
          <w:sz w:val="24"/>
          <w:szCs w:val="24"/>
        </w:rPr>
      </w:pPr>
      <w:r>
        <w:rPr>
          <w:rFonts w:ascii="Arial" w:hAnsi="Arial" w:cs="Arial"/>
          <w:b/>
          <w:sz w:val="24"/>
          <w:szCs w:val="24"/>
        </w:rPr>
        <w:t xml:space="preserve">General </w:t>
      </w:r>
      <w:r w:rsidRPr="00746DB7">
        <w:rPr>
          <w:rFonts w:ascii="Arial" w:hAnsi="Arial" w:cs="Arial"/>
          <w:b/>
          <w:sz w:val="24"/>
          <w:szCs w:val="24"/>
        </w:rPr>
        <w:t>Accounting Policies</w:t>
      </w:r>
      <w:r>
        <w:rPr>
          <w:rFonts w:ascii="Arial" w:hAnsi="Arial" w:cs="Arial"/>
          <w:b/>
          <w:sz w:val="24"/>
          <w:szCs w:val="24"/>
        </w:rPr>
        <w:t xml:space="preserve"> </w:t>
      </w:r>
      <w:r w:rsidR="00EB691C">
        <w:rPr>
          <w:rFonts w:ascii="Arial" w:hAnsi="Arial" w:cs="Arial"/>
          <w:b/>
          <w:sz w:val="24"/>
          <w:szCs w:val="24"/>
        </w:rPr>
        <w:t xml:space="preserve">and Information </w:t>
      </w:r>
      <w:r>
        <w:rPr>
          <w:rFonts w:ascii="Arial" w:hAnsi="Arial" w:cs="Arial"/>
          <w:b/>
          <w:sz w:val="24"/>
          <w:szCs w:val="24"/>
        </w:rPr>
        <w:t>(Cont’d)</w:t>
      </w:r>
    </w:p>
    <w:p w:rsidR="00C802B6" w:rsidRDefault="00C802B6" w:rsidP="00C802B6">
      <w:pPr>
        <w:spacing w:before="0" w:after="0"/>
        <w:ind w:left="720"/>
        <w:jc w:val="both"/>
        <w:rPr>
          <w:rFonts w:ascii="Arial" w:hAnsi="Arial" w:cs="Arial"/>
        </w:rPr>
      </w:pPr>
    </w:p>
    <w:p w:rsidR="00C802B6" w:rsidRDefault="00EA05CA" w:rsidP="00C802B6">
      <w:pPr>
        <w:spacing w:before="0" w:after="0"/>
        <w:jc w:val="both"/>
        <w:rPr>
          <w:rFonts w:ascii="Arial" w:hAnsi="Arial" w:cs="Arial"/>
          <w:b/>
        </w:rPr>
      </w:pPr>
      <w:r>
        <w:rPr>
          <w:rFonts w:ascii="Arial" w:hAnsi="Arial" w:cs="Arial"/>
          <w:b/>
        </w:rPr>
        <w:t>Note 32</w:t>
      </w:r>
      <w:r w:rsidR="00C802B6">
        <w:rPr>
          <w:rFonts w:ascii="Arial" w:hAnsi="Arial" w:cs="Arial"/>
          <w:b/>
        </w:rPr>
        <w:t xml:space="preserve"> - Accounting Policies (Cont’d)</w:t>
      </w:r>
    </w:p>
    <w:p w:rsidR="00C802B6" w:rsidRDefault="00C802B6" w:rsidP="009155BB">
      <w:pPr>
        <w:spacing w:before="0" w:after="0"/>
        <w:rPr>
          <w:rFonts w:ascii="Arial" w:hAnsi="Arial" w:cs="Arial"/>
        </w:rPr>
      </w:pPr>
    </w:p>
    <w:p w:rsidR="00C802B6" w:rsidRPr="009155BB" w:rsidRDefault="00C802B6" w:rsidP="00C802B6">
      <w:pPr>
        <w:spacing w:before="0" w:after="0"/>
        <w:rPr>
          <w:rFonts w:ascii="Arial" w:hAnsi="Arial" w:cs="Arial"/>
          <w:b/>
          <w:bCs/>
        </w:rPr>
      </w:pPr>
      <w:r>
        <w:rPr>
          <w:rFonts w:ascii="Arial" w:hAnsi="Arial" w:cs="Arial"/>
          <w:b/>
          <w:bCs/>
        </w:rPr>
        <w:t>18</w:t>
      </w:r>
      <w:r w:rsidRPr="009155BB">
        <w:rPr>
          <w:rFonts w:ascii="Arial" w:hAnsi="Arial" w:cs="Arial"/>
          <w:b/>
          <w:bCs/>
        </w:rPr>
        <w:t>.</w:t>
      </w:r>
      <w:r w:rsidRPr="009155BB">
        <w:rPr>
          <w:rFonts w:ascii="Arial" w:hAnsi="Arial" w:cs="Arial"/>
          <w:b/>
          <w:bCs/>
        </w:rPr>
        <w:tab/>
        <w:t>Leases</w:t>
      </w:r>
      <w:r>
        <w:rPr>
          <w:rFonts w:ascii="Arial" w:hAnsi="Arial" w:cs="Arial"/>
          <w:b/>
          <w:bCs/>
        </w:rPr>
        <w:t xml:space="preserve"> (Cont’d)</w:t>
      </w:r>
    </w:p>
    <w:p w:rsidR="00C802B6" w:rsidRDefault="00C802B6" w:rsidP="009155BB">
      <w:pPr>
        <w:spacing w:before="0" w:after="0"/>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of the interest in the asset is used to write down the lease asset.  At this point, the deferred capital receipts are transferred to the Capital Receipts Reserve.</w:t>
      </w:r>
    </w:p>
    <w:p w:rsidR="00746DB7" w:rsidRPr="00375FD4" w:rsidRDefault="00746DB7" w:rsidP="00522D7C">
      <w:pPr>
        <w:pStyle w:val="ListParagraph"/>
        <w:spacing w:before="0" w:after="0"/>
        <w:jc w:val="both"/>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The written off value of the disposals is not a charge against council tax, as the cost of fixed assets is fully provided for under separate arrangements for capital financing.  Amounts are appropriated to the Capital Adjustment Account from the General Fund balance in the Movement in Reserves Statement.</w:t>
      </w:r>
    </w:p>
    <w:p w:rsidR="00746DB7" w:rsidRPr="00375FD4" w:rsidRDefault="00746DB7" w:rsidP="0063454E">
      <w:pPr>
        <w:pStyle w:val="ListParagraph"/>
        <w:spacing w:before="0" w:after="0"/>
        <w:rPr>
          <w:rFonts w:ascii="Arial" w:hAnsi="Arial" w:cs="Arial"/>
          <w:u w:val="single"/>
        </w:rPr>
      </w:pPr>
    </w:p>
    <w:p w:rsidR="00746DB7" w:rsidRPr="009155BB" w:rsidRDefault="00746DB7" w:rsidP="009155BB">
      <w:pPr>
        <w:spacing w:before="0" w:after="0"/>
        <w:rPr>
          <w:rFonts w:ascii="Arial" w:hAnsi="Arial" w:cs="Arial"/>
          <w:u w:val="single"/>
        </w:rPr>
      </w:pPr>
      <w:r w:rsidRPr="009155BB">
        <w:rPr>
          <w:rFonts w:ascii="Arial" w:hAnsi="Arial" w:cs="Arial"/>
          <w:u w:val="single"/>
        </w:rPr>
        <w:t>Operating Leases</w:t>
      </w:r>
    </w:p>
    <w:p w:rsidR="00746DB7" w:rsidRPr="00375FD4" w:rsidRDefault="00746DB7" w:rsidP="0063454E">
      <w:pPr>
        <w:pStyle w:val="ListParagraph"/>
        <w:spacing w:before="0" w:after="0"/>
        <w:rPr>
          <w:rFonts w:ascii="Arial" w:hAnsi="Arial" w:cs="Arial"/>
        </w:rPr>
      </w:pPr>
    </w:p>
    <w:p w:rsidR="00746DB7" w:rsidRPr="009155BB" w:rsidRDefault="002E7DAC" w:rsidP="009155BB">
      <w:pPr>
        <w:spacing w:before="0" w:after="0"/>
        <w:rPr>
          <w:rFonts w:ascii="Arial" w:hAnsi="Arial" w:cs="Arial"/>
        </w:rPr>
      </w:pPr>
      <w:r>
        <w:rPr>
          <w:rFonts w:ascii="Arial" w:hAnsi="Arial" w:cs="Arial"/>
        </w:rPr>
        <w:t>Where the c</w:t>
      </w:r>
      <w:r w:rsidR="00746DB7" w:rsidRPr="009155BB">
        <w:rPr>
          <w:rFonts w:ascii="Arial" w:hAnsi="Arial" w:cs="Arial"/>
        </w:rPr>
        <w:t xml:space="preserve">ouncil grants an operating lease over an asset, the asset is retained in the Balance Sheet. Rental income is credited to the Other Operating Expenditure line in the Comprehensive Income and Expenditure Statement. Credits are made on a straight line basis over the life of the lease, even if it doesn’t match the pattern of payment. </w:t>
      </w:r>
    </w:p>
    <w:p w:rsidR="00746DB7" w:rsidRDefault="00746DB7" w:rsidP="0063454E">
      <w:pPr>
        <w:pStyle w:val="ListParagraph"/>
        <w:spacing w:before="0" w:after="0"/>
        <w:rPr>
          <w:rFonts w:ascii="Arial" w:hAnsi="Arial" w:cs="Arial"/>
        </w:rPr>
      </w:pPr>
    </w:p>
    <w:p w:rsidR="00746DB7" w:rsidRPr="009155BB" w:rsidRDefault="00A27C20" w:rsidP="009155BB">
      <w:pPr>
        <w:spacing w:before="0" w:after="0"/>
        <w:rPr>
          <w:rFonts w:ascii="Arial" w:hAnsi="Arial" w:cs="Arial"/>
          <w:b/>
          <w:bCs/>
        </w:rPr>
      </w:pPr>
      <w:r>
        <w:rPr>
          <w:rFonts w:ascii="Arial" w:hAnsi="Arial" w:cs="Arial"/>
          <w:b/>
          <w:bCs/>
        </w:rPr>
        <w:t>19</w:t>
      </w:r>
      <w:r w:rsidR="00746DB7" w:rsidRPr="009155BB">
        <w:rPr>
          <w:rFonts w:ascii="Arial" w:hAnsi="Arial" w:cs="Arial"/>
          <w:b/>
          <w:bCs/>
        </w:rPr>
        <w:t>.</w:t>
      </w:r>
      <w:r w:rsidR="00746DB7" w:rsidRPr="009155BB">
        <w:rPr>
          <w:rFonts w:ascii="Arial" w:hAnsi="Arial" w:cs="Arial"/>
          <w:b/>
          <w:bCs/>
        </w:rPr>
        <w:tab/>
        <w:t>Overhead and support services</w:t>
      </w:r>
    </w:p>
    <w:p w:rsidR="00746DB7" w:rsidRDefault="00746DB7" w:rsidP="0063454E">
      <w:pPr>
        <w:pStyle w:val="ListParagraph"/>
        <w:spacing w:before="0" w:after="0"/>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The costs of overheads and support services are charged to non General Fund services that benefit from the supply in accordance with the costing principles of the CIPFA Service</w:t>
      </w:r>
      <w:r w:rsidR="00850DAB">
        <w:rPr>
          <w:rFonts w:ascii="Arial" w:hAnsi="Arial" w:cs="Arial"/>
        </w:rPr>
        <w:t xml:space="preserve"> Re</w:t>
      </w:r>
      <w:r w:rsidR="00DB69C3">
        <w:rPr>
          <w:rFonts w:ascii="Arial" w:hAnsi="Arial" w:cs="Arial"/>
        </w:rPr>
        <w:t>porting Code of Practice 2019/20</w:t>
      </w:r>
      <w:r w:rsidRPr="009155BB">
        <w:rPr>
          <w:rFonts w:ascii="Arial" w:hAnsi="Arial" w:cs="Arial"/>
        </w:rPr>
        <w:t>.  The total absorption costing principle is used – the full cost of overheads and support services are shared between those users in proportion to the benefits received.</w:t>
      </w:r>
      <w:r w:rsidR="008960E0">
        <w:rPr>
          <w:rFonts w:ascii="Arial" w:hAnsi="Arial" w:cs="Arial"/>
        </w:rPr>
        <w:t xml:space="preserve"> </w:t>
      </w:r>
      <w:r w:rsidRPr="009155BB">
        <w:rPr>
          <w:rFonts w:ascii="Arial" w:hAnsi="Arial" w:cs="Arial"/>
        </w:rPr>
        <w:t>General Fund Services have not been charged for these support s</w:t>
      </w:r>
      <w:r w:rsidR="00586525">
        <w:rPr>
          <w:rFonts w:ascii="Arial" w:hAnsi="Arial" w:cs="Arial"/>
        </w:rPr>
        <w:t>ervice costs, in line with the</w:t>
      </w:r>
      <w:r w:rsidR="002E7DAC">
        <w:rPr>
          <w:rFonts w:ascii="Arial" w:hAnsi="Arial" w:cs="Arial"/>
        </w:rPr>
        <w:t xml:space="preserve"> c</w:t>
      </w:r>
      <w:r w:rsidRPr="009155BB">
        <w:rPr>
          <w:rFonts w:ascii="Arial" w:hAnsi="Arial" w:cs="Arial"/>
        </w:rPr>
        <w:t>ouncil’s budgetary reporting structure.</w:t>
      </w:r>
    </w:p>
    <w:p w:rsidR="001C2895" w:rsidRDefault="001C2895" w:rsidP="009155BB">
      <w:pPr>
        <w:spacing w:before="0" w:after="0"/>
        <w:jc w:val="both"/>
        <w:rPr>
          <w:rFonts w:ascii="Arial" w:hAnsi="Arial" w:cs="Arial"/>
          <w:b/>
          <w:sz w:val="24"/>
          <w:szCs w:val="24"/>
        </w:rPr>
      </w:pPr>
    </w:p>
    <w:p w:rsidR="00746DB7" w:rsidRPr="009155BB" w:rsidRDefault="00A27C20" w:rsidP="009155BB">
      <w:pPr>
        <w:spacing w:before="0" w:after="0"/>
        <w:jc w:val="both"/>
        <w:rPr>
          <w:rFonts w:ascii="Arial" w:hAnsi="Arial" w:cs="Arial"/>
          <w:b/>
          <w:bCs/>
        </w:rPr>
      </w:pPr>
      <w:r>
        <w:rPr>
          <w:rFonts w:ascii="Arial" w:hAnsi="Arial" w:cs="Arial"/>
          <w:b/>
          <w:bCs/>
        </w:rPr>
        <w:t>20</w:t>
      </w:r>
      <w:r w:rsidR="00746DB7" w:rsidRPr="009155BB">
        <w:rPr>
          <w:rFonts w:ascii="Arial" w:hAnsi="Arial" w:cs="Arial"/>
          <w:b/>
          <w:bCs/>
        </w:rPr>
        <w:t>.</w:t>
      </w:r>
      <w:r w:rsidR="00746DB7" w:rsidRPr="009155BB">
        <w:rPr>
          <w:rFonts w:ascii="Arial" w:hAnsi="Arial" w:cs="Arial"/>
          <w:b/>
          <w:bCs/>
        </w:rPr>
        <w:tab/>
        <w:t>Public private partnership (PPP) and similar contracts</w:t>
      </w:r>
    </w:p>
    <w:p w:rsidR="00746DB7" w:rsidRPr="00375FD4" w:rsidRDefault="00746DB7" w:rsidP="00522D7C">
      <w:pPr>
        <w:pStyle w:val="ListParagraph"/>
        <w:spacing w:before="0" w:after="0"/>
        <w:ind w:left="360"/>
        <w:jc w:val="both"/>
        <w:rPr>
          <w:rFonts w:ascii="Arial" w:hAnsi="Arial" w:cs="Arial"/>
          <w:b/>
          <w:bCs/>
        </w:rPr>
      </w:pPr>
    </w:p>
    <w:p w:rsidR="00746DB7" w:rsidRPr="009155BB" w:rsidRDefault="00746DB7" w:rsidP="009155BB">
      <w:pPr>
        <w:spacing w:before="0" w:after="0"/>
        <w:rPr>
          <w:rFonts w:ascii="Arial" w:hAnsi="Arial" w:cs="Arial"/>
        </w:rPr>
      </w:pPr>
      <w:r w:rsidRPr="009155BB">
        <w:rPr>
          <w:rFonts w:ascii="Arial" w:hAnsi="Arial" w:cs="Arial"/>
        </w:rPr>
        <w:t xml:space="preserve">PPP and similar contracts are agreements to receive services, where the responsibility for making available the property, plant and equipment needed to provide the services passes to </w:t>
      </w:r>
      <w:r w:rsidR="002E7DAC">
        <w:rPr>
          <w:rFonts w:ascii="Arial" w:hAnsi="Arial" w:cs="Arial"/>
        </w:rPr>
        <w:t>the private contractor. As the c</w:t>
      </w:r>
      <w:r w:rsidRPr="009155BB">
        <w:rPr>
          <w:rFonts w:ascii="Arial" w:hAnsi="Arial" w:cs="Arial"/>
        </w:rPr>
        <w:t xml:space="preserve">ouncil is deemed to control the services that are provided under the PPP scheme and as ownership of the property, plant </w:t>
      </w:r>
      <w:r w:rsidR="001C2895">
        <w:rPr>
          <w:rFonts w:ascii="Arial" w:hAnsi="Arial" w:cs="Arial"/>
        </w:rPr>
        <w:t>and equipment will pa</w:t>
      </w:r>
      <w:r w:rsidR="002E7DAC">
        <w:rPr>
          <w:rFonts w:ascii="Arial" w:hAnsi="Arial" w:cs="Arial"/>
        </w:rPr>
        <w:t>ss to the c</w:t>
      </w:r>
      <w:r w:rsidRPr="009155BB">
        <w:rPr>
          <w:rFonts w:ascii="Arial" w:hAnsi="Arial" w:cs="Arial"/>
        </w:rPr>
        <w:t xml:space="preserve">ouncil at the end of the contract for no additional charge, the </w:t>
      </w:r>
      <w:r w:rsidR="002E7DAC">
        <w:rPr>
          <w:rFonts w:ascii="Arial" w:hAnsi="Arial" w:cs="Arial"/>
        </w:rPr>
        <w:t>c</w:t>
      </w:r>
      <w:r w:rsidRPr="009155BB">
        <w:rPr>
          <w:rFonts w:ascii="Arial" w:hAnsi="Arial" w:cs="Arial"/>
        </w:rPr>
        <w:t xml:space="preserve">ouncil carries </w:t>
      </w:r>
      <w:r w:rsidR="00045E08" w:rsidRPr="009155BB">
        <w:rPr>
          <w:rFonts w:ascii="Arial" w:hAnsi="Arial" w:cs="Arial"/>
        </w:rPr>
        <w:t>the asset on its Balance Sheet.</w:t>
      </w:r>
    </w:p>
    <w:p w:rsidR="00746DB7" w:rsidRPr="00375FD4" w:rsidRDefault="00746DB7" w:rsidP="0063454E">
      <w:pPr>
        <w:pStyle w:val="ListParagraph"/>
        <w:spacing w:before="0" w:after="0"/>
        <w:ind w:left="0"/>
        <w:rPr>
          <w:rFonts w:ascii="Arial" w:hAnsi="Arial" w:cs="Arial"/>
        </w:rPr>
      </w:pPr>
    </w:p>
    <w:p w:rsidR="00746DB7" w:rsidRPr="009155BB" w:rsidRDefault="00A27C20" w:rsidP="009155BB">
      <w:pPr>
        <w:spacing w:before="0" w:after="0"/>
        <w:rPr>
          <w:rFonts w:ascii="Arial" w:hAnsi="Arial" w:cs="Arial"/>
          <w:b/>
          <w:bCs/>
        </w:rPr>
      </w:pPr>
      <w:r>
        <w:rPr>
          <w:rFonts w:ascii="Arial" w:hAnsi="Arial" w:cs="Arial"/>
          <w:b/>
          <w:bCs/>
        </w:rPr>
        <w:t>21</w:t>
      </w:r>
      <w:r w:rsidR="00746DB7" w:rsidRPr="009155BB">
        <w:rPr>
          <w:rFonts w:ascii="Arial" w:hAnsi="Arial" w:cs="Arial"/>
          <w:b/>
          <w:bCs/>
        </w:rPr>
        <w:t>.</w:t>
      </w:r>
      <w:r w:rsidR="00746DB7" w:rsidRPr="009155BB">
        <w:rPr>
          <w:rFonts w:ascii="Arial" w:hAnsi="Arial" w:cs="Arial"/>
          <w:b/>
          <w:bCs/>
        </w:rPr>
        <w:tab/>
        <w:t>Provisions</w:t>
      </w:r>
    </w:p>
    <w:p w:rsidR="00746DB7" w:rsidRPr="00375FD4" w:rsidRDefault="00746DB7" w:rsidP="0063454E">
      <w:pPr>
        <w:pStyle w:val="ListParagraph"/>
        <w:spacing w:before="0" w:after="0"/>
        <w:ind w:left="360"/>
        <w:rPr>
          <w:rFonts w:ascii="Arial" w:hAnsi="Arial" w:cs="Arial"/>
          <w:b/>
          <w:bCs/>
        </w:rPr>
      </w:pPr>
    </w:p>
    <w:p w:rsidR="00746DB7" w:rsidRPr="009155BB" w:rsidRDefault="00746DB7" w:rsidP="009155BB">
      <w:pPr>
        <w:spacing w:before="0" w:after="0"/>
        <w:rPr>
          <w:rFonts w:ascii="Arial" w:hAnsi="Arial" w:cs="Arial"/>
        </w:rPr>
      </w:pPr>
      <w:r w:rsidRPr="009155BB">
        <w:rPr>
          <w:rFonts w:ascii="Arial" w:hAnsi="Arial" w:cs="Arial"/>
        </w:rPr>
        <w:t xml:space="preserve">Provisions are made where an event </w:t>
      </w:r>
      <w:r w:rsidR="002E7DAC">
        <w:rPr>
          <w:rFonts w:ascii="Arial" w:hAnsi="Arial" w:cs="Arial"/>
        </w:rPr>
        <w:t>has taken place that gives the c</w:t>
      </w:r>
      <w:r w:rsidRPr="009155BB">
        <w:rPr>
          <w:rFonts w:ascii="Arial" w:hAnsi="Arial" w:cs="Arial"/>
        </w:rPr>
        <w:t xml:space="preserve">ouncil </w:t>
      </w:r>
      <w:r w:rsidR="00BD34E4" w:rsidRPr="009155BB">
        <w:rPr>
          <w:rFonts w:ascii="Arial" w:hAnsi="Arial" w:cs="Arial"/>
        </w:rPr>
        <w:t>a legal obligation</w:t>
      </w:r>
      <w:r w:rsidRPr="009155BB">
        <w:rPr>
          <w:rFonts w:ascii="Arial" w:hAnsi="Arial" w:cs="Arial"/>
        </w:rPr>
        <w:t xml:space="preserve"> or constructive</w:t>
      </w:r>
      <w:r w:rsidR="00BD34E4" w:rsidRPr="009155BB">
        <w:rPr>
          <w:rFonts w:ascii="Arial" w:hAnsi="Arial" w:cs="Arial"/>
        </w:rPr>
        <w:t xml:space="preserve"> obligation</w:t>
      </w:r>
      <w:r w:rsidRPr="009155BB">
        <w:rPr>
          <w:rFonts w:ascii="Arial" w:hAnsi="Arial" w:cs="Arial"/>
        </w:rPr>
        <w:t xml:space="preserve"> that </w:t>
      </w:r>
      <w:r w:rsidR="00BD34E4" w:rsidRPr="009155BB">
        <w:rPr>
          <w:rFonts w:ascii="Arial" w:hAnsi="Arial" w:cs="Arial"/>
        </w:rPr>
        <w:t>probably requires settlement by a transfer of</w:t>
      </w:r>
      <w:r w:rsidRPr="009155BB">
        <w:rPr>
          <w:rFonts w:ascii="Arial" w:hAnsi="Arial" w:cs="Arial"/>
        </w:rPr>
        <w:t xml:space="preserve"> economic benefit</w:t>
      </w:r>
      <w:r w:rsidR="00BD34E4" w:rsidRPr="009155BB">
        <w:rPr>
          <w:rFonts w:ascii="Arial" w:hAnsi="Arial" w:cs="Arial"/>
        </w:rPr>
        <w:t xml:space="preserve">s or service potential </w:t>
      </w:r>
      <w:r w:rsidRPr="009155BB">
        <w:rPr>
          <w:rFonts w:ascii="Arial" w:hAnsi="Arial" w:cs="Arial"/>
        </w:rPr>
        <w:t>and a reliable estimate can be made of the amount of that obligation.</w:t>
      </w:r>
    </w:p>
    <w:p w:rsidR="00746DB7" w:rsidRPr="00375FD4" w:rsidRDefault="00746DB7" w:rsidP="0063454E">
      <w:pPr>
        <w:pStyle w:val="ListParagraph"/>
        <w:spacing w:before="0" w:after="0"/>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Provisions are charged as an expense to the appropriate service line in the Comprehensive Income and Expendi</w:t>
      </w:r>
      <w:r w:rsidR="002E7DAC">
        <w:rPr>
          <w:rFonts w:ascii="Arial" w:hAnsi="Arial" w:cs="Arial"/>
        </w:rPr>
        <w:t>ture Statement in the year the c</w:t>
      </w:r>
      <w:r w:rsidRPr="009155BB">
        <w:rPr>
          <w:rFonts w:ascii="Arial" w:hAnsi="Arial" w:cs="Arial"/>
        </w:rPr>
        <w:t>ouncil becomes aware of the obligation and measured at the best estimate at the Balance Sheet date, taking account of relevant risks and uncertainties.</w:t>
      </w:r>
    </w:p>
    <w:p w:rsidR="00960A3F" w:rsidRPr="00375FD4" w:rsidRDefault="00960A3F" w:rsidP="00522D7C">
      <w:pPr>
        <w:pStyle w:val="ListParagraph"/>
        <w:spacing w:before="0" w:after="0"/>
        <w:jc w:val="both"/>
        <w:rPr>
          <w:rFonts w:ascii="Arial" w:hAnsi="Arial" w:cs="Arial"/>
        </w:rPr>
      </w:pPr>
    </w:p>
    <w:p w:rsidR="00746DB7" w:rsidRPr="009155BB" w:rsidRDefault="00746DB7" w:rsidP="009155BB">
      <w:pPr>
        <w:spacing w:before="0" w:after="0"/>
        <w:rPr>
          <w:rFonts w:ascii="Arial" w:hAnsi="Arial" w:cs="Arial"/>
        </w:rPr>
      </w:pPr>
      <w:r w:rsidRPr="009155BB">
        <w:rPr>
          <w:rFonts w:ascii="Arial" w:hAnsi="Arial" w:cs="Arial"/>
        </w:rPr>
        <w:t>When payments are made they are charged to the provision carried in the Balance Sheet. Estimated settlements are reviewed at the end of each financial year. Where it becomes less probable that a tran</w:t>
      </w:r>
      <w:r w:rsidR="001D3FFE" w:rsidRPr="009155BB">
        <w:rPr>
          <w:rFonts w:ascii="Arial" w:hAnsi="Arial" w:cs="Arial"/>
        </w:rPr>
        <w:t>sfer of economic benefits is</w:t>
      </w:r>
      <w:r w:rsidRPr="009155BB">
        <w:rPr>
          <w:rFonts w:ascii="Arial" w:hAnsi="Arial" w:cs="Arial"/>
        </w:rPr>
        <w:t xml:space="preserve"> required; the provision is reversed and credited back to the relevant service.</w:t>
      </w:r>
    </w:p>
    <w:p w:rsidR="00746DB7" w:rsidRPr="00375FD4" w:rsidRDefault="00746DB7" w:rsidP="0063454E">
      <w:pPr>
        <w:autoSpaceDE w:val="0"/>
        <w:autoSpaceDN w:val="0"/>
        <w:adjustRightInd w:val="0"/>
        <w:spacing w:before="0" w:after="0"/>
        <w:rPr>
          <w:rFonts w:ascii="Arial" w:hAnsi="Arial" w:cs="Arial"/>
          <w:lang w:val="en-US"/>
        </w:rPr>
      </w:pPr>
    </w:p>
    <w:p w:rsidR="00746DB7" w:rsidRPr="00A27C20" w:rsidRDefault="00A27C20" w:rsidP="00273FE9">
      <w:pPr>
        <w:autoSpaceDE w:val="0"/>
        <w:autoSpaceDN w:val="0"/>
        <w:adjustRightInd w:val="0"/>
        <w:spacing w:before="0" w:after="0"/>
        <w:ind w:left="709" w:hanging="709"/>
        <w:rPr>
          <w:rFonts w:ascii="Arial" w:hAnsi="Arial" w:cs="Arial"/>
          <w:b/>
          <w:lang w:val="en-US"/>
        </w:rPr>
      </w:pPr>
      <w:r>
        <w:rPr>
          <w:rFonts w:ascii="Arial" w:hAnsi="Arial" w:cs="Arial"/>
          <w:b/>
          <w:lang w:val="en-US"/>
        </w:rPr>
        <w:t>22.</w:t>
      </w:r>
      <w:r>
        <w:rPr>
          <w:rFonts w:ascii="Arial" w:hAnsi="Arial" w:cs="Arial"/>
          <w:b/>
          <w:lang w:val="en-US"/>
        </w:rPr>
        <w:tab/>
      </w:r>
      <w:r w:rsidR="00746DB7" w:rsidRPr="00A27C20">
        <w:rPr>
          <w:rFonts w:ascii="Arial" w:hAnsi="Arial" w:cs="Arial"/>
          <w:b/>
          <w:lang w:val="en-US"/>
        </w:rPr>
        <w:t>Interest in Companies and Other Entities</w:t>
      </w:r>
    </w:p>
    <w:p w:rsidR="00746DB7" w:rsidRPr="00375FD4" w:rsidRDefault="00746DB7" w:rsidP="0063454E">
      <w:pPr>
        <w:autoSpaceDE w:val="0"/>
        <w:autoSpaceDN w:val="0"/>
        <w:adjustRightInd w:val="0"/>
        <w:spacing w:before="0" w:after="0"/>
        <w:ind w:left="720" w:hanging="360"/>
        <w:rPr>
          <w:rFonts w:ascii="Arial" w:hAnsi="Arial" w:cs="Arial"/>
          <w:b/>
          <w:lang w:val="en-US"/>
        </w:rPr>
      </w:pPr>
    </w:p>
    <w:p w:rsidR="00746DB7" w:rsidRPr="00365D85" w:rsidRDefault="002E7DAC" w:rsidP="009155BB">
      <w:pPr>
        <w:autoSpaceDE w:val="0"/>
        <w:autoSpaceDN w:val="0"/>
        <w:adjustRightInd w:val="0"/>
        <w:spacing w:before="0" w:after="0"/>
        <w:rPr>
          <w:rFonts w:ascii="Arial" w:hAnsi="Arial" w:cs="Arial"/>
          <w:lang w:val="en-US"/>
        </w:rPr>
      </w:pPr>
      <w:r>
        <w:rPr>
          <w:rFonts w:ascii="Arial" w:hAnsi="Arial" w:cs="Arial"/>
          <w:lang w:val="en-US"/>
        </w:rPr>
        <w:t>The c</w:t>
      </w:r>
      <w:r w:rsidR="00746DB7" w:rsidRPr="00375FD4">
        <w:rPr>
          <w:rFonts w:ascii="Arial" w:hAnsi="Arial" w:cs="Arial"/>
          <w:lang w:val="en-US"/>
        </w:rPr>
        <w:t>ouncil has material interests in companies and other entities that have the nature of associates/ subsidiaries and require it to p</w:t>
      </w:r>
      <w:r>
        <w:rPr>
          <w:rFonts w:ascii="Arial" w:hAnsi="Arial" w:cs="Arial"/>
          <w:lang w:val="en-US"/>
        </w:rPr>
        <w:t>repare group accounts.  In the c</w:t>
      </w:r>
      <w:r w:rsidR="00746DB7" w:rsidRPr="00375FD4">
        <w:rPr>
          <w:rFonts w:ascii="Arial" w:hAnsi="Arial" w:cs="Arial"/>
          <w:lang w:val="en-US"/>
        </w:rPr>
        <w:t>ouncil’s own single entit</w:t>
      </w:r>
      <w:r w:rsidR="00C61EE1">
        <w:rPr>
          <w:rFonts w:ascii="Arial" w:hAnsi="Arial" w:cs="Arial"/>
          <w:lang w:val="en-US"/>
        </w:rPr>
        <w:t>y accounts, the interests of two companies are</w:t>
      </w:r>
      <w:r w:rsidR="00746DB7" w:rsidRPr="00375FD4">
        <w:rPr>
          <w:rFonts w:ascii="Arial" w:hAnsi="Arial" w:cs="Arial"/>
          <w:lang w:val="en-US"/>
        </w:rPr>
        <w:t xml:space="preserve"> recorded</w:t>
      </w:r>
      <w:r w:rsidR="00746DB7">
        <w:rPr>
          <w:rFonts w:ascii="Arial" w:hAnsi="Arial" w:cs="Arial"/>
          <w:lang w:val="en-US"/>
        </w:rPr>
        <w:t xml:space="preserve"> as an investment in the Balance Sheet</w:t>
      </w:r>
      <w:r w:rsidR="00746DB7" w:rsidRPr="00375FD4">
        <w:rPr>
          <w:rFonts w:ascii="Arial" w:hAnsi="Arial" w:cs="Arial"/>
          <w:lang w:val="en-US"/>
        </w:rPr>
        <w:t xml:space="preserve">, as </w:t>
      </w:r>
      <w:r>
        <w:rPr>
          <w:rFonts w:ascii="Arial" w:hAnsi="Arial" w:cs="Arial"/>
          <w:lang w:val="en-US"/>
        </w:rPr>
        <w:t>the c</w:t>
      </w:r>
      <w:r w:rsidR="00746DB7" w:rsidRPr="00375FD4">
        <w:rPr>
          <w:rFonts w:ascii="Arial" w:hAnsi="Arial" w:cs="Arial"/>
          <w:lang w:val="en-US"/>
        </w:rPr>
        <w:t>ouncil has shares and full ownership of the Clydebank Property Company (purchased during 2014/15)</w:t>
      </w:r>
      <w:r w:rsidR="00C61EE1">
        <w:rPr>
          <w:rFonts w:ascii="Arial" w:hAnsi="Arial" w:cs="Arial"/>
          <w:lang w:val="en-US"/>
        </w:rPr>
        <w:t xml:space="preserve"> and has an investment with Hub West Scotland (invested 2015/16)</w:t>
      </w:r>
      <w:r w:rsidR="00746DB7" w:rsidRPr="00375FD4">
        <w:rPr>
          <w:rFonts w:ascii="Arial" w:hAnsi="Arial" w:cs="Arial"/>
          <w:lang w:val="en-US"/>
        </w:rPr>
        <w:t>. No other</w:t>
      </w:r>
      <w:r>
        <w:rPr>
          <w:rFonts w:ascii="Arial" w:hAnsi="Arial" w:cs="Arial"/>
          <w:lang w:val="en-US"/>
        </w:rPr>
        <w:t xml:space="preserve"> interests are recorded in the c</w:t>
      </w:r>
      <w:r w:rsidR="00746DB7" w:rsidRPr="00375FD4">
        <w:rPr>
          <w:rFonts w:ascii="Arial" w:hAnsi="Arial" w:cs="Arial"/>
          <w:lang w:val="en-US"/>
        </w:rPr>
        <w:t>ouncil’s single entity account</w:t>
      </w:r>
      <w:r w:rsidR="00746DB7">
        <w:rPr>
          <w:rFonts w:ascii="Arial" w:hAnsi="Arial" w:cs="Arial"/>
          <w:lang w:val="en-US"/>
        </w:rPr>
        <w:t>s of any of other organisation.</w:t>
      </w:r>
    </w:p>
    <w:p w:rsidR="00C802B6" w:rsidRPr="008960E0" w:rsidRDefault="00C802B6" w:rsidP="00C802B6">
      <w:pPr>
        <w:spacing w:before="0" w:after="0"/>
        <w:jc w:val="both"/>
        <w:rPr>
          <w:rFonts w:ascii="Arial" w:hAnsi="Arial" w:cs="Arial"/>
          <w:b/>
          <w:sz w:val="24"/>
          <w:szCs w:val="24"/>
        </w:rPr>
      </w:pPr>
      <w:r w:rsidRPr="008960E0">
        <w:rPr>
          <w:rFonts w:ascii="Arial" w:hAnsi="Arial" w:cs="Arial"/>
          <w:b/>
          <w:sz w:val="24"/>
          <w:szCs w:val="24"/>
        </w:rPr>
        <w:t>General Accounting Policies</w:t>
      </w:r>
      <w:r w:rsidR="00EB691C">
        <w:rPr>
          <w:rFonts w:ascii="Arial" w:hAnsi="Arial" w:cs="Arial"/>
          <w:b/>
          <w:sz w:val="24"/>
          <w:szCs w:val="24"/>
        </w:rPr>
        <w:t xml:space="preserve"> and Information</w:t>
      </w:r>
      <w:r w:rsidRPr="008960E0">
        <w:rPr>
          <w:rFonts w:ascii="Arial" w:hAnsi="Arial" w:cs="Arial"/>
          <w:b/>
          <w:sz w:val="24"/>
          <w:szCs w:val="24"/>
        </w:rPr>
        <w:t xml:space="preserve"> (Cont’d)</w:t>
      </w:r>
    </w:p>
    <w:p w:rsidR="00746DB7" w:rsidRDefault="00746DB7" w:rsidP="0063454E">
      <w:pPr>
        <w:pStyle w:val="Heading1"/>
        <w:spacing w:before="0"/>
        <w:rPr>
          <w:rFonts w:ascii="Arial" w:hAnsi="Arial" w:cs="Arial"/>
          <w:color w:val="auto"/>
          <w:sz w:val="20"/>
          <w:szCs w:val="20"/>
        </w:rPr>
      </w:pPr>
    </w:p>
    <w:p w:rsidR="00C802B6" w:rsidRDefault="00EA05CA" w:rsidP="00C802B6">
      <w:pPr>
        <w:spacing w:before="0" w:after="0"/>
        <w:jc w:val="both"/>
        <w:rPr>
          <w:rFonts w:ascii="Arial" w:hAnsi="Arial" w:cs="Arial"/>
          <w:b/>
        </w:rPr>
      </w:pPr>
      <w:r>
        <w:rPr>
          <w:rFonts w:ascii="Arial" w:hAnsi="Arial" w:cs="Arial"/>
          <w:b/>
        </w:rPr>
        <w:t>Note 32</w:t>
      </w:r>
      <w:r w:rsidR="00C802B6">
        <w:rPr>
          <w:rFonts w:ascii="Arial" w:hAnsi="Arial" w:cs="Arial"/>
          <w:b/>
        </w:rPr>
        <w:t xml:space="preserve"> - Accounting Policies (Cont’d)</w:t>
      </w:r>
    </w:p>
    <w:p w:rsidR="00C802B6" w:rsidRPr="00C802B6" w:rsidRDefault="00C802B6" w:rsidP="00C802B6"/>
    <w:p w:rsidR="00E92286" w:rsidRPr="00A27C20" w:rsidRDefault="00E92286" w:rsidP="00E92286">
      <w:pPr>
        <w:autoSpaceDE w:val="0"/>
        <w:autoSpaceDN w:val="0"/>
        <w:adjustRightInd w:val="0"/>
        <w:spacing w:before="0" w:after="0"/>
        <w:ind w:left="709" w:hanging="709"/>
        <w:rPr>
          <w:rFonts w:ascii="Arial" w:hAnsi="Arial" w:cs="Arial"/>
          <w:b/>
          <w:lang w:val="en-US"/>
        </w:rPr>
      </w:pPr>
      <w:r>
        <w:rPr>
          <w:rFonts w:ascii="Arial" w:hAnsi="Arial" w:cs="Arial"/>
          <w:b/>
          <w:lang w:val="en-US"/>
        </w:rPr>
        <w:t>23.</w:t>
      </w:r>
      <w:r>
        <w:rPr>
          <w:rFonts w:ascii="Arial" w:hAnsi="Arial" w:cs="Arial"/>
          <w:b/>
          <w:lang w:val="en-US"/>
        </w:rPr>
        <w:tab/>
        <w:t>VAT</w:t>
      </w:r>
    </w:p>
    <w:p w:rsidR="00E92286" w:rsidRPr="00375FD4" w:rsidRDefault="00E92286" w:rsidP="00E92286">
      <w:pPr>
        <w:autoSpaceDE w:val="0"/>
        <w:autoSpaceDN w:val="0"/>
        <w:adjustRightInd w:val="0"/>
        <w:spacing w:before="0" w:after="0"/>
        <w:ind w:left="720" w:hanging="360"/>
        <w:rPr>
          <w:rFonts w:ascii="Arial" w:hAnsi="Arial" w:cs="Arial"/>
          <w:b/>
          <w:lang w:val="en-US"/>
        </w:rPr>
      </w:pPr>
    </w:p>
    <w:p w:rsidR="00872F19" w:rsidRDefault="00E92286" w:rsidP="00E92286">
      <w:pPr>
        <w:rPr>
          <w:rFonts w:ascii="Arial" w:hAnsi="Arial" w:cs="Arial"/>
          <w:lang w:val="en-US"/>
        </w:rPr>
      </w:pPr>
      <w:r>
        <w:rPr>
          <w:rFonts w:ascii="Arial" w:hAnsi="Arial" w:cs="Arial"/>
          <w:lang w:val="en-US"/>
        </w:rPr>
        <w:t>VAT payable is included as an expense only to the extent that it is not recoverable from HM Revenue and Customs. VAT receivable is excluded from income.</w:t>
      </w:r>
    </w:p>
    <w:p w:rsidR="00872F19" w:rsidRDefault="00872F19" w:rsidP="00E92286">
      <w:pPr>
        <w:rPr>
          <w:rFonts w:ascii="Arial" w:hAnsi="Arial" w:cs="Arial"/>
          <w:lang w:val="en-US"/>
        </w:rPr>
      </w:pPr>
    </w:p>
    <w:p w:rsidR="00872F19" w:rsidRPr="00CD6808" w:rsidRDefault="00872F19" w:rsidP="00872F19">
      <w:pPr>
        <w:autoSpaceDE w:val="0"/>
        <w:autoSpaceDN w:val="0"/>
        <w:adjustRightInd w:val="0"/>
        <w:spacing w:before="0" w:after="0"/>
        <w:ind w:left="709" w:hanging="709"/>
        <w:rPr>
          <w:rFonts w:ascii="Arial" w:hAnsi="Arial" w:cs="Arial"/>
          <w:lang w:val="en-US"/>
        </w:rPr>
      </w:pPr>
      <w:r w:rsidRPr="00CD6808">
        <w:rPr>
          <w:rFonts w:ascii="Arial" w:hAnsi="Arial" w:cs="Arial"/>
          <w:b/>
          <w:lang w:val="en-US"/>
        </w:rPr>
        <w:t>24.</w:t>
      </w:r>
      <w:r w:rsidRPr="00CD6808">
        <w:rPr>
          <w:rFonts w:ascii="Arial" w:hAnsi="Arial" w:cs="Arial"/>
          <w:b/>
          <w:lang w:val="en-US"/>
        </w:rPr>
        <w:tab/>
        <w:t xml:space="preserve">Loans Advances Repayment </w:t>
      </w:r>
    </w:p>
    <w:p w:rsidR="00872F19" w:rsidRPr="00CD6808" w:rsidRDefault="00872F19" w:rsidP="00872F19">
      <w:pPr>
        <w:autoSpaceDE w:val="0"/>
        <w:autoSpaceDN w:val="0"/>
        <w:adjustRightInd w:val="0"/>
        <w:spacing w:before="0" w:after="0"/>
        <w:ind w:left="709" w:hanging="709"/>
        <w:rPr>
          <w:rFonts w:ascii="Arial" w:hAnsi="Arial" w:cs="Arial"/>
          <w:lang w:val="en-US"/>
        </w:rPr>
      </w:pPr>
    </w:p>
    <w:p w:rsidR="00872F19" w:rsidRPr="00872F19" w:rsidRDefault="00872F19" w:rsidP="00872F19">
      <w:pPr>
        <w:autoSpaceDE w:val="0"/>
        <w:autoSpaceDN w:val="0"/>
        <w:adjustRightInd w:val="0"/>
        <w:spacing w:before="0" w:after="0"/>
        <w:rPr>
          <w:rFonts w:ascii="Arial" w:hAnsi="Arial" w:cs="Arial"/>
          <w:lang w:val="en-US"/>
        </w:rPr>
      </w:pPr>
      <w:r w:rsidRPr="00CD6808">
        <w:rPr>
          <w:rFonts w:ascii="Arial" w:hAnsi="Arial" w:cs="Arial"/>
          <w:lang w:val="en-US"/>
        </w:rPr>
        <w:t>In accordance with The Local Authority (Capital Finance and Accounting) (Scotland) Regulations 2016, the council has recalculated the repayments of the loans fund advances to reflect the life of the specific assets associated with the debt, using an annuity of 9%.</w:t>
      </w:r>
      <w:r>
        <w:rPr>
          <w:rFonts w:ascii="Arial" w:hAnsi="Arial" w:cs="Arial"/>
          <w:lang w:val="en-US"/>
        </w:rPr>
        <w:t xml:space="preserve"> </w:t>
      </w:r>
    </w:p>
    <w:p w:rsidR="00E92286" w:rsidRPr="00E92286" w:rsidRDefault="00E92286" w:rsidP="00E92286"/>
    <w:p w:rsidR="000B2B64" w:rsidRPr="000A3446" w:rsidRDefault="00EA05CA" w:rsidP="0063454E">
      <w:pPr>
        <w:pStyle w:val="Heading1"/>
        <w:spacing w:before="0"/>
        <w:rPr>
          <w:rFonts w:ascii="Arial" w:hAnsi="Arial" w:cs="Arial"/>
          <w:color w:val="auto"/>
          <w:sz w:val="20"/>
          <w:szCs w:val="20"/>
        </w:rPr>
      </w:pPr>
      <w:r>
        <w:rPr>
          <w:rFonts w:ascii="Arial" w:hAnsi="Arial" w:cs="Arial"/>
          <w:color w:val="auto"/>
          <w:sz w:val="20"/>
          <w:szCs w:val="20"/>
        </w:rPr>
        <w:t>Note 33</w:t>
      </w:r>
      <w:r w:rsidR="000B2B64" w:rsidRPr="000A3446">
        <w:rPr>
          <w:rFonts w:ascii="Arial" w:hAnsi="Arial" w:cs="Arial"/>
          <w:color w:val="auto"/>
          <w:sz w:val="20"/>
          <w:szCs w:val="20"/>
        </w:rPr>
        <w:t xml:space="preserve"> – Accounting Standards that have been issued but have not yet been adopted</w:t>
      </w:r>
    </w:p>
    <w:p w:rsidR="000B2B64" w:rsidRPr="00375FD4" w:rsidRDefault="000B2B64" w:rsidP="0063454E">
      <w:pPr>
        <w:spacing w:before="0" w:after="0"/>
        <w:rPr>
          <w:rFonts w:ascii="Arial" w:hAnsi="Arial" w:cs="Arial"/>
          <w:b/>
        </w:rPr>
      </w:pPr>
    </w:p>
    <w:p w:rsidR="000B2B64" w:rsidRPr="00E00D99" w:rsidRDefault="00DC0A4C" w:rsidP="00E00D99">
      <w:pPr>
        <w:spacing w:before="0" w:after="0"/>
        <w:rPr>
          <w:rFonts w:ascii="Arial" w:hAnsi="Arial" w:cs="Arial"/>
        </w:rPr>
      </w:pPr>
      <w:r>
        <w:rPr>
          <w:rFonts w:ascii="Arial" w:hAnsi="Arial" w:cs="Arial"/>
        </w:rPr>
        <w:t>For 2019/20</w:t>
      </w:r>
      <w:r w:rsidR="000B2B64" w:rsidRPr="009E4A3C">
        <w:rPr>
          <w:rFonts w:ascii="Arial" w:hAnsi="Arial" w:cs="Arial"/>
        </w:rPr>
        <w:t xml:space="preserve">, the Code requires the disclosure of information relating to the expected impact of an accounting change that will be required by a new standard that has been issued but not yet adopted. This </w:t>
      </w:r>
      <w:r w:rsidR="000B2B64" w:rsidRPr="00E00D99">
        <w:rPr>
          <w:rFonts w:ascii="Arial" w:hAnsi="Arial" w:cs="Arial"/>
        </w:rPr>
        <w:t>applies to the adoption of the following new or a</w:t>
      </w:r>
      <w:r w:rsidRPr="00E00D99">
        <w:rPr>
          <w:rFonts w:ascii="Arial" w:hAnsi="Arial" w:cs="Arial"/>
        </w:rPr>
        <w:t>mended standards</w:t>
      </w:r>
      <w:r w:rsidR="000B2B64" w:rsidRPr="00E00D99">
        <w:rPr>
          <w:rFonts w:ascii="Arial" w:hAnsi="Arial" w:cs="Arial"/>
        </w:rPr>
        <w:t>:</w:t>
      </w:r>
    </w:p>
    <w:p w:rsidR="000B2B64" w:rsidRPr="00E00D99" w:rsidRDefault="000B2B64" w:rsidP="00522D7C">
      <w:pPr>
        <w:spacing w:before="0" w:after="0"/>
        <w:ind w:left="709"/>
        <w:jc w:val="both"/>
        <w:rPr>
          <w:rFonts w:ascii="Arial" w:hAnsi="Arial" w:cs="Arial"/>
        </w:rPr>
      </w:pPr>
    </w:p>
    <w:p w:rsidR="000B2B64" w:rsidRPr="00E00D99" w:rsidRDefault="00E00D99" w:rsidP="00E00D99">
      <w:pPr>
        <w:pStyle w:val="ListParagraph"/>
        <w:numPr>
          <w:ilvl w:val="0"/>
          <w:numId w:val="46"/>
        </w:numPr>
        <w:spacing w:before="0" w:after="0"/>
        <w:ind w:left="426"/>
        <w:rPr>
          <w:rFonts w:ascii="Arial" w:hAnsi="Arial" w:cs="Arial"/>
        </w:rPr>
      </w:pPr>
      <w:r w:rsidRPr="00E00D99">
        <w:rPr>
          <w:rFonts w:ascii="Arial" w:hAnsi="Arial" w:cs="Arial"/>
        </w:rPr>
        <w:t>IFRS16 Leases will require local authorities that are lessees to recognise these leases on their Balance sheet as right-of-use assets along with the corresponding liabilities, except for low value and short term leases. As a result of COVID-19 response, CIPFA/LASACC have deferred implementation of this until 1 April 2021;</w:t>
      </w:r>
    </w:p>
    <w:p w:rsidR="00E00D99" w:rsidRPr="00E00D99" w:rsidRDefault="00E00D99" w:rsidP="00E00D99">
      <w:pPr>
        <w:pStyle w:val="ListParagraph"/>
        <w:numPr>
          <w:ilvl w:val="0"/>
          <w:numId w:val="46"/>
        </w:numPr>
        <w:spacing w:before="0" w:after="0"/>
        <w:ind w:left="426"/>
        <w:rPr>
          <w:rFonts w:ascii="Arial" w:hAnsi="Arial" w:cs="Arial"/>
        </w:rPr>
      </w:pPr>
      <w:r w:rsidRPr="00E00D99">
        <w:rPr>
          <w:rFonts w:ascii="Arial" w:hAnsi="Arial" w:cs="Arial"/>
        </w:rPr>
        <w:t>IAS28 Investments in Associates and Joint Ventures (Long term Interests in associates and joint Ventures. This amendment clarifies</w:t>
      </w:r>
      <w:r>
        <w:rPr>
          <w:rFonts w:ascii="Arial" w:hAnsi="Arial" w:cs="Arial"/>
        </w:rPr>
        <w:t xml:space="preserve"> that the Council applies IFRS9 (Financial Instruments) to long term interests in an associate or joint venture that form part of the net investment in the other body</w:t>
      </w:r>
      <w:r w:rsidRPr="00E00D99">
        <w:rPr>
          <w:rFonts w:ascii="Arial" w:hAnsi="Arial" w:cs="Arial"/>
        </w:rPr>
        <w:t>; and</w:t>
      </w:r>
    </w:p>
    <w:p w:rsidR="00E00D99" w:rsidRPr="00E00D99" w:rsidRDefault="00E00D99" w:rsidP="00E00D99">
      <w:pPr>
        <w:pStyle w:val="ListParagraph"/>
        <w:numPr>
          <w:ilvl w:val="0"/>
          <w:numId w:val="46"/>
        </w:numPr>
        <w:spacing w:before="0" w:after="0"/>
        <w:ind w:left="426"/>
        <w:rPr>
          <w:rFonts w:ascii="Arial" w:hAnsi="Arial" w:cs="Arial"/>
        </w:rPr>
      </w:pPr>
      <w:r w:rsidRPr="00E00D99">
        <w:rPr>
          <w:rFonts w:ascii="Arial" w:hAnsi="Arial" w:cs="Arial"/>
        </w:rPr>
        <w:t>IAS19 Employee Benefits (plan amendment, curtailment or settlement) – this specifies how the council will determine pension expenses when changes to a deferred pension plan occur.</w:t>
      </w:r>
    </w:p>
    <w:p w:rsidR="00E00D99" w:rsidRPr="00E00D99" w:rsidRDefault="00E00D99" w:rsidP="00E00D99">
      <w:pPr>
        <w:pStyle w:val="ListParagraph"/>
        <w:spacing w:before="0" w:after="0"/>
        <w:ind w:left="426"/>
        <w:rPr>
          <w:rFonts w:ascii="Arial" w:hAnsi="Arial" w:cs="Arial"/>
        </w:rPr>
      </w:pPr>
    </w:p>
    <w:p w:rsidR="008960E0" w:rsidRDefault="000B2B64" w:rsidP="009155BB">
      <w:pPr>
        <w:spacing w:before="0" w:after="0"/>
        <w:rPr>
          <w:rFonts w:ascii="Arial" w:hAnsi="Arial" w:cs="Arial"/>
        </w:rPr>
      </w:pPr>
      <w:r w:rsidRPr="00E00D99">
        <w:rPr>
          <w:rFonts w:ascii="Arial" w:hAnsi="Arial" w:cs="Arial"/>
        </w:rPr>
        <w:t xml:space="preserve">It is not anticipated that the above changes will </w:t>
      </w:r>
      <w:r w:rsidRPr="009E4A3C">
        <w:rPr>
          <w:rFonts w:ascii="Arial" w:hAnsi="Arial" w:cs="Arial"/>
        </w:rPr>
        <w:t>have a material impact on the information provided in the financial statements.</w:t>
      </w:r>
      <w:r w:rsidR="008960E0">
        <w:rPr>
          <w:rFonts w:ascii="Arial" w:hAnsi="Arial" w:cs="Arial"/>
        </w:rPr>
        <w:t xml:space="preserve"> </w:t>
      </w:r>
    </w:p>
    <w:p w:rsidR="009155BB" w:rsidRDefault="009155BB" w:rsidP="00A27D25">
      <w:pPr>
        <w:spacing w:before="0" w:after="0"/>
        <w:jc w:val="both"/>
        <w:rPr>
          <w:rFonts w:ascii="Arial" w:hAnsi="Arial" w:cs="Arial"/>
        </w:rPr>
      </w:pPr>
    </w:p>
    <w:p w:rsidR="008319F2" w:rsidRPr="000A3446" w:rsidRDefault="008319F2" w:rsidP="0063454E">
      <w:pPr>
        <w:pStyle w:val="Heading1"/>
        <w:spacing w:before="0"/>
        <w:rPr>
          <w:rFonts w:ascii="Arial" w:hAnsi="Arial" w:cs="Arial"/>
          <w:color w:val="auto"/>
          <w:sz w:val="20"/>
          <w:szCs w:val="20"/>
        </w:rPr>
      </w:pPr>
      <w:r>
        <w:rPr>
          <w:rFonts w:ascii="Arial" w:hAnsi="Arial" w:cs="Arial"/>
          <w:color w:val="auto"/>
          <w:sz w:val="20"/>
          <w:szCs w:val="20"/>
        </w:rPr>
        <w:t>Note 3</w:t>
      </w:r>
      <w:r w:rsidR="00EA05CA">
        <w:rPr>
          <w:rFonts w:ascii="Arial" w:hAnsi="Arial" w:cs="Arial"/>
          <w:color w:val="auto"/>
          <w:sz w:val="20"/>
          <w:szCs w:val="20"/>
        </w:rPr>
        <w:t>4</w:t>
      </w:r>
      <w:r w:rsidRPr="000A3446">
        <w:rPr>
          <w:rFonts w:ascii="Arial" w:hAnsi="Arial" w:cs="Arial"/>
          <w:color w:val="auto"/>
          <w:sz w:val="20"/>
          <w:szCs w:val="20"/>
        </w:rPr>
        <w:t xml:space="preserve"> – Critical Judgement in Applying Accounting Policies</w:t>
      </w:r>
    </w:p>
    <w:p w:rsidR="008319F2" w:rsidRPr="00375FD4" w:rsidRDefault="008319F2" w:rsidP="0063454E">
      <w:pPr>
        <w:spacing w:before="0" w:after="0"/>
        <w:rPr>
          <w:rFonts w:ascii="Arial" w:hAnsi="Arial" w:cs="Arial"/>
        </w:rPr>
      </w:pPr>
    </w:p>
    <w:p w:rsidR="008319F2" w:rsidRPr="00375FD4" w:rsidRDefault="008319F2" w:rsidP="009155BB">
      <w:pPr>
        <w:spacing w:before="0" w:after="0"/>
        <w:rPr>
          <w:rFonts w:ascii="Arial" w:hAnsi="Arial" w:cs="Arial"/>
        </w:rPr>
      </w:pPr>
      <w:r w:rsidRPr="00375FD4">
        <w:rPr>
          <w:rFonts w:ascii="Arial" w:hAnsi="Arial" w:cs="Arial"/>
        </w:rPr>
        <w:t>The preparation of the consolidated financial statements requires management to make judgements, estimates and assumptions that affect the applicati</w:t>
      </w:r>
      <w:r w:rsidR="00A27C20">
        <w:rPr>
          <w:rFonts w:ascii="Arial" w:hAnsi="Arial" w:cs="Arial"/>
        </w:rPr>
        <w:t>on of policies set out in Note 32</w:t>
      </w:r>
      <w:r w:rsidRPr="00375FD4">
        <w:rPr>
          <w:rFonts w:ascii="Arial" w:hAnsi="Arial" w:cs="Arial"/>
        </w:rPr>
        <w:t>. Where a critical judgement has been made, this is referred to in the relevant note to the core financial statements; however a summary of those with the most significant effect are detailed below:</w:t>
      </w:r>
    </w:p>
    <w:p w:rsidR="008319F2" w:rsidRPr="00375FD4" w:rsidRDefault="008319F2" w:rsidP="0063454E">
      <w:pPr>
        <w:spacing w:before="0" w:after="0"/>
        <w:rPr>
          <w:rFonts w:ascii="Arial" w:hAnsi="Arial" w:cs="Arial"/>
        </w:rPr>
      </w:pPr>
    </w:p>
    <w:p w:rsidR="008319F2" w:rsidRDefault="008319F2" w:rsidP="00A27D25">
      <w:pPr>
        <w:tabs>
          <w:tab w:val="left" w:pos="0"/>
        </w:tabs>
        <w:spacing w:before="0" w:after="0"/>
        <w:rPr>
          <w:rFonts w:ascii="Arial" w:hAnsi="Arial" w:cs="Arial"/>
        </w:rPr>
      </w:pPr>
      <w:r w:rsidRPr="00375FD4">
        <w:rPr>
          <w:rFonts w:ascii="Arial" w:hAnsi="Arial" w:cs="Arial"/>
          <w:b/>
        </w:rPr>
        <w:t>Holiday Entitlement</w:t>
      </w:r>
      <w:r w:rsidRPr="00375FD4">
        <w:rPr>
          <w:rFonts w:ascii="Arial" w:hAnsi="Arial" w:cs="Arial"/>
        </w:rPr>
        <w:t xml:space="preserve"> - Unused holiday ent</w:t>
      </w:r>
      <w:r w:rsidR="00A27D25">
        <w:rPr>
          <w:rFonts w:ascii="Arial" w:hAnsi="Arial" w:cs="Arial"/>
        </w:rPr>
        <w:t>itlement earned at 31 March 2020</w:t>
      </w:r>
      <w:r w:rsidRPr="00375FD4">
        <w:rPr>
          <w:rFonts w:ascii="Arial" w:hAnsi="Arial" w:cs="Arial"/>
        </w:rPr>
        <w:t xml:space="preserve"> but not taken at </w:t>
      </w:r>
      <w:r w:rsidR="009155BB">
        <w:rPr>
          <w:rFonts w:ascii="Arial" w:hAnsi="Arial" w:cs="Arial"/>
        </w:rPr>
        <w:t>that date</w:t>
      </w:r>
      <w:r w:rsidR="00BF3B11">
        <w:rPr>
          <w:rFonts w:ascii="Arial" w:hAnsi="Arial" w:cs="Arial"/>
        </w:rPr>
        <w:t xml:space="preserve"> </w:t>
      </w:r>
      <w:r w:rsidR="00273FE9">
        <w:rPr>
          <w:rFonts w:ascii="Arial" w:hAnsi="Arial" w:cs="Arial"/>
        </w:rPr>
        <w:t>has been quantified on</w:t>
      </w:r>
      <w:r w:rsidRPr="009C2439">
        <w:rPr>
          <w:rFonts w:ascii="Arial" w:hAnsi="Arial" w:cs="Arial"/>
        </w:rPr>
        <w:t xml:space="preserve"> the basis of </w:t>
      </w:r>
      <w:r w:rsidR="00A27D25">
        <w:rPr>
          <w:rFonts w:ascii="Arial" w:hAnsi="Arial" w:cs="Arial"/>
        </w:rPr>
        <w:t>information from the Human Resources Information  System.</w:t>
      </w:r>
      <w:r w:rsidRPr="00375FD4">
        <w:rPr>
          <w:rFonts w:ascii="Arial" w:hAnsi="Arial" w:cs="Arial"/>
        </w:rPr>
        <w:t xml:space="preserve"> The calculation in respect of unused annual leave for term time employees is based upon entitlement earned at the year end and no estimation was required for these staff. </w:t>
      </w:r>
    </w:p>
    <w:p w:rsidR="00FC480B" w:rsidRDefault="00FC480B" w:rsidP="00BF3B11">
      <w:pPr>
        <w:tabs>
          <w:tab w:val="left" w:pos="0"/>
        </w:tabs>
        <w:spacing w:before="0" w:after="0"/>
        <w:rPr>
          <w:rFonts w:ascii="Arial" w:hAnsi="Arial" w:cs="Arial"/>
        </w:rPr>
      </w:pPr>
    </w:p>
    <w:p w:rsidR="008319F2" w:rsidRDefault="008319F2" w:rsidP="009155BB">
      <w:pPr>
        <w:tabs>
          <w:tab w:val="left" w:pos="2880"/>
        </w:tabs>
        <w:spacing w:before="0" w:after="0"/>
        <w:rPr>
          <w:rFonts w:ascii="Arial" w:hAnsi="Arial" w:cs="Arial"/>
        </w:rPr>
      </w:pPr>
      <w:r w:rsidRPr="00375FD4">
        <w:rPr>
          <w:rFonts w:ascii="Arial" w:hAnsi="Arial" w:cs="Arial"/>
          <w:b/>
        </w:rPr>
        <w:t xml:space="preserve">Public Private Partnership (PPP) - </w:t>
      </w:r>
      <w:r w:rsidR="002E7DAC">
        <w:rPr>
          <w:rFonts w:ascii="Arial" w:hAnsi="Arial" w:cs="Arial"/>
        </w:rPr>
        <w:t>The c</w:t>
      </w:r>
      <w:r w:rsidRPr="00375FD4">
        <w:rPr>
          <w:rFonts w:ascii="Arial" w:hAnsi="Arial" w:cs="Arial"/>
        </w:rPr>
        <w:t>ouncil has entered into a PPP for the provision of educational buildings, their maintenanc</w:t>
      </w:r>
      <w:r w:rsidR="002E7DAC">
        <w:rPr>
          <w:rFonts w:ascii="Arial" w:hAnsi="Arial" w:cs="Arial"/>
        </w:rPr>
        <w:t>e and related facilities.  The c</w:t>
      </w:r>
      <w:r w:rsidRPr="00375FD4">
        <w:rPr>
          <w:rFonts w:ascii="Arial" w:hAnsi="Arial" w:cs="Arial"/>
        </w:rPr>
        <w:t>ouncil controls the services provided under the scheme and ownership o</w:t>
      </w:r>
      <w:r w:rsidR="00586525">
        <w:rPr>
          <w:rFonts w:ascii="Arial" w:hAnsi="Arial" w:cs="Arial"/>
        </w:rPr>
        <w:t>f the schools wil</w:t>
      </w:r>
      <w:r w:rsidR="002E7DAC">
        <w:rPr>
          <w:rFonts w:ascii="Arial" w:hAnsi="Arial" w:cs="Arial"/>
        </w:rPr>
        <w:t>l pass to the c</w:t>
      </w:r>
      <w:r w:rsidRPr="00375FD4">
        <w:rPr>
          <w:rFonts w:ascii="Arial" w:hAnsi="Arial" w:cs="Arial"/>
        </w:rPr>
        <w:t>ouncil at the end of the contract for no additional charge.   The assets used to provide services at the</w:t>
      </w:r>
      <w:r w:rsidR="002E7DAC">
        <w:rPr>
          <w:rFonts w:ascii="Arial" w:hAnsi="Arial" w:cs="Arial"/>
        </w:rPr>
        <w:t xml:space="preserve"> schools are recognised on the c</w:t>
      </w:r>
      <w:r w:rsidRPr="00375FD4">
        <w:rPr>
          <w:rFonts w:ascii="Arial" w:hAnsi="Arial" w:cs="Arial"/>
        </w:rPr>
        <w:t>ouncil’s Balance Sheet.</w:t>
      </w:r>
    </w:p>
    <w:p w:rsidR="008319F2" w:rsidRDefault="008319F2" w:rsidP="0063454E">
      <w:pPr>
        <w:tabs>
          <w:tab w:val="left" w:pos="2880"/>
        </w:tabs>
        <w:spacing w:before="0" w:after="0"/>
        <w:ind w:left="709"/>
        <w:rPr>
          <w:rFonts w:ascii="Arial" w:hAnsi="Arial" w:cs="Arial"/>
        </w:rPr>
      </w:pPr>
    </w:p>
    <w:p w:rsidR="008319F2" w:rsidRPr="00C715EB" w:rsidRDefault="008319F2" w:rsidP="009155BB">
      <w:pPr>
        <w:tabs>
          <w:tab w:val="left" w:pos="2880"/>
        </w:tabs>
        <w:spacing w:before="0" w:after="0"/>
        <w:rPr>
          <w:rFonts w:ascii="Arial" w:hAnsi="Arial" w:cs="Arial"/>
        </w:rPr>
      </w:pPr>
      <w:r>
        <w:rPr>
          <w:rFonts w:ascii="Arial" w:hAnsi="Arial" w:cs="Arial"/>
          <w:b/>
        </w:rPr>
        <w:t>Public Sector Funding</w:t>
      </w:r>
      <w:r>
        <w:rPr>
          <w:rFonts w:ascii="Arial" w:hAnsi="Arial" w:cs="Arial"/>
        </w:rPr>
        <w:t xml:space="preserve"> – There is a high degree of uncertainty about future levels of funding for </w:t>
      </w:r>
      <w:r w:rsidR="001C2895">
        <w:rPr>
          <w:rFonts w:ascii="Arial" w:hAnsi="Arial" w:cs="Arial"/>
        </w:rPr>
        <w:t>local government. However</w:t>
      </w:r>
      <w:r w:rsidR="002E7DAC">
        <w:rPr>
          <w:rFonts w:ascii="Arial" w:hAnsi="Arial" w:cs="Arial"/>
        </w:rPr>
        <w:t>, the c</w:t>
      </w:r>
      <w:r>
        <w:rPr>
          <w:rFonts w:ascii="Arial" w:hAnsi="Arial" w:cs="Arial"/>
        </w:rPr>
        <w:t>ouncil has determined that this uncertainty is not yet sufficient to provide an indication that the assets held might be impaired as a result of a need to close facilities and reduce levels of service provision.</w:t>
      </w:r>
    </w:p>
    <w:p w:rsidR="00872F19" w:rsidRDefault="00872F19" w:rsidP="00872F19">
      <w:pPr>
        <w:spacing w:before="0" w:after="0"/>
        <w:jc w:val="both"/>
        <w:rPr>
          <w:rFonts w:ascii="Arial" w:hAnsi="Arial" w:cs="Arial"/>
          <w:b/>
          <w:sz w:val="24"/>
          <w:szCs w:val="24"/>
        </w:rPr>
      </w:pPr>
    </w:p>
    <w:p w:rsidR="00001683" w:rsidRDefault="00001683" w:rsidP="00872F19">
      <w:pPr>
        <w:spacing w:before="0" w:after="0"/>
        <w:jc w:val="both"/>
        <w:rPr>
          <w:rFonts w:ascii="Arial" w:hAnsi="Arial" w:cs="Arial"/>
          <w:b/>
          <w:sz w:val="24"/>
          <w:szCs w:val="24"/>
        </w:rPr>
      </w:pPr>
    </w:p>
    <w:p w:rsidR="00872F19" w:rsidRDefault="00872F19" w:rsidP="00872F19">
      <w:pPr>
        <w:spacing w:before="0" w:after="0"/>
        <w:jc w:val="both"/>
        <w:rPr>
          <w:rFonts w:ascii="Arial" w:hAnsi="Arial" w:cs="Arial"/>
          <w:b/>
          <w:sz w:val="24"/>
          <w:szCs w:val="24"/>
        </w:rPr>
      </w:pPr>
      <w:r w:rsidRPr="008960E0">
        <w:rPr>
          <w:rFonts w:ascii="Arial" w:hAnsi="Arial" w:cs="Arial"/>
          <w:b/>
          <w:sz w:val="24"/>
          <w:szCs w:val="24"/>
        </w:rPr>
        <w:t xml:space="preserve">General Accounting Policies </w:t>
      </w:r>
      <w:r>
        <w:rPr>
          <w:rFonts w:ascii="Arial" w:hAnsi="Arial" w:cs="Arial"/>
          <w:b/>
          <w:sz w:val="24"/>
          <w:szCs w:val="24"/>
        </w:rPr>
        <w:t xml:space="preserve">and Information </w:t>
      </w:r>
      <w:r w:rsidRPr="008960E0">
        <w:rPr>
          <w:rFonts w:ascii="Arial" w:hAnsi="Arial" w:cs="Arial"/>
          <w:b/>
          <w:sz w:val="24"/>
          <w:szCs w:val="24"/>
        </w:rPr>
        <w:t>(Cont’d)</w:t>
      </w:r>
    </w:p>
    <w:p w:rsidR="008319F2" w:rsidRDefault="008319F2" w:rsidP="00522D7C">
      <w:pPr>
        <w:keepNext/>
        <w:spacing w:before="0" w:after="0"/>
        <w:jc w:val="both"/>
        <w:outlineLvl w:val="4"/>
        <w:rPr>
          <w:rFonts w:ascii="Arial" w:hAnsi="Arial" w:cs="Arial"/>
          <w:b/>
          <w:bCs/>
        </w:rPr>
      </w:pPr>
    </w:p>
    <w:p w:rsidR="00872F19" w:rsidRDefault="00872F19" w:rsidP="00872F19">
      <w:pPr>
        <w:pStyle w:val="Heading1"/>
        <w:spacing w:before="0"/>
        <w:rPr>
          <w:rFonts w:ascii="Arial" w:hAnsi="Arial" w:cs="Arial"/>
          <w:b w:val="0"/>
          <w:bCs w:val="0"/>
        </w:rPr>
      </w:pPr>
      <w:r>
        <w:rPr>
          <w:rFonts w:ascii="Arial" w:hAnsi="Arial" w:cs="Arial"/>
          <w:color w:val="auto"/>
          <w:sz w:val="20"/>
          <w:szCs w:val="20"/>
        </w:rPr>
        <w:t>Note 34</w:t>
      </w:r>
      <w:r w:rsidRPr="000A3446">
        <w:rPr>
          <w:rFonts w:ascii="Arial" w:hAnsi="Arial" w:cs="Arial"/>
          <w:color w:val="auto"/>
          <w:sz w:val="20"/>
          <w:szCs w:val="20"/>
        </w:rPr>
        <w:t xml:space="preserve"> – Critical Judgement in Applying Accounting Policies</w:t>
      </w:r>
      <w:r>
        <w:rPr>
          <w:rFonts w:ascii="Arial" w:hAnsi="Arial" w:cs="Arial"/>
          <w:color w:val="auto"/>
          <w:sz w:val="20"/>
          <w:szCs w:val="20"/>
        </w:rPr>
        <w:t xml:space="preserve"> (cont’d)</w:t>
      </w:r>
    </w:p>
    <w:p w:rsidR="00872F19" w:rsidRDefault="00872F19" w:rsidP="00EF604F">
      <w:pPr>
        <w:keepNext/>
        <w:spacing w:before="0" w:after="0"/>
        <w:jc w:val="both"/>
        <w:outlineLvl w:val="4"/>
        <w:rPr>
          <w:rFonts w:ascii="Arial" w:hAnsi="Arial" w:cs="Arial"/>
          <w:b/>
          <w:bCs/>
        </w:rPr>
      </w:pPr>
    </w:p>
    <w:p w:rsidR="00EF604F" w:rsidRDefault="00EF604F" w:rsidP="00EF604F">
      <w:pPr>
        <w:keepNext/>
        <w:spacing w:before="0" w:after="0"/>
        <w:jc w:val="both"/>
        <w:outlineLvl w:val="4"/>
        <w:rPr>
          <w:rFonts w:ascii="Arial" w:hAnsi="Arial" w:cs="Arial"/>
        </w:rPr>
      </w:pPr>
      <w:r w:rsidRPr="00EF604F">
        <w:rPr>
          <w:rFonts w:ascii="Arial" w:hAnsi="Arial" w:cs="Arial"/>
          <w:b/>
          <w:bCs/>
        </w:rPr>
        <w:t xml:space="preserve">Covid-19 </w:t>
      </w:r>
      <w:r>
        <w:rPr>
          <w:rFonts w:ascii="Arial" w:hAnsi="Arial" w:cs="Arial"/>
        </w:rPr>
        <w:t>– Advice h</w:t>
      </w:r>
      <w:r w:rsidR="00872F19">
        <w:rPr>
          <w:rFonts w:ascii="Arial" w:hAnsi="Arial" w:cs="Arial"/>
        </w:rPr>
        <w:t>as been sought where considered</w:t>
      </w:r>
      <w:r>
        <w:rPr>
          <w:rFonts w:ascii="Arial" w:hAnsi="Arial" w:cs="Arial"/>
        </w:rPr>
        <w:t xml:space="preserve"> appropriate and consideration has been given to valuation on pensions, asset valuations, accrual estimations and credit issues whilst preparing the draft Financial Statements. </w:t>
      </w:r>
    </w:p>
    <w:p w:rsidR="005D659C" w:rsidRDefault="005D659C" w:rsidP="005D659C">
      <w:pPr>
        <w:spacing w:before="0" w:after="0"/>
        <w:jc w:val="both"/>
        <w:rPr>
          <w:rFonts w:ascii="Arial" w:hAnsi="Arial" w:cs="Arial"/>
          <w:b/>
          <w:sz w:val="24"/>
          <w:szCs w:val="24"/>
        </w:rPr>
      </w:pPr>
    </w:p>
    <w:p w:rsidR="005D659C" w:rsidRPr="00375FD4" w:rsidRDefault="005D659C" w:rsidP="005D659C">
      <w:pPr>
        <w:keepNext/>
        <w:spacing w:before="0" w:after="0"/>
        <w:ind w:left="709" w:hanging="709"/>
        <w:jc w:val="both"/>
        <w:outlineLvl w:val="4"/>
        <w:rPr>
          <w:rFonts w:ascii="Arial" w:hAnsi="Arial" w:cs="Arial"/>
          <w:b/>
          <w:bCs/>
        </w:rPr>
      </w:pPr>
      <w:r>
        <w:rPr>
          <w:rFonts w:ascii="Arial" w:hAnsi="Arial" w:cs="Arial"/>
          <w:b/>
          <w:bCs/>
        </w:rPr>
        <w:t>Note 35 – Change in Accounting Policy</w:t>
      </w:r>
    </w:p>
    <w:p w:rsidR="005D659C" w:rsidRDefault="005D659C" w:rsidP="005D659C">
      <w:pPr>
        <w:spacing w:before="0" w:after="0"/>
        <w:jc w:val="both"/>
        <w:rPr>
          <w:rFonts w:ascii="Arial" w:hAnsi="Arial" w:cs="Arial"/>
          <w:b/>
          <w:sz w:val="24"/>
          <w:szCs w:val="24"/>
        </w:rPr>
      </w:pPr>
    </w:p>
    <w:p w:rsidR="00001683" w:rsidRPr="00872F19" w:rsidRDefault="005D659C" w:rsidP="00001683">
      <w:pPr>
        <w:autoSpaceDE w:val="0"/>
        <w:autoSpaceDN w:val="0"/>
        <w:adjustRightInd w:val="0"/>
        <w:spacing w:before="0" w:after="0"/>
        <w:rPr>
          <w:rFonts w:ascii="Arial" w:hAnsi="Arial" w:cs="Arial"/>
          <w:lang w:val="en-US"/>
        </w:rPr>
      </w:pPr>
      <w:r w:rsidRPr="0067574D">
        <w:rPr>
          <w:rFonts w:ascii="Arial" w:hAnsi="Arial" w:cs="Arial"/>
        </w:rPr>
        <w:t xml:space="preserve">Following a Loans Fund Review agreed by Council in 2018/19 </w:t>
      </w:r>
      <w:r w:rsidR="0067574D" w:rsidRPr="0067574D">
        <w:rPr>
          <w:rFonts w:ascii="Tahoma" w:hAnsi="Tahoma" w:cs="Tahoma"/>
          <w:color w:val="000000"/>
          <w:lang w:eastAsia="en-GB"/>
        </w:rPr>
        <w:t>regarding the appropriate debt write-off periods, the council has amended the accounting policy from the previous statutory write-off periods to a policy which writes-off debt in line with the expected useful lives of the associated assets, on an annuity basis</w:t>
      </w:r>
      <w:r w:rsidR="00001683" w:rsidRPr="0067574D">
        <w:rPr>
          <w:rFonts w:ascii="Arial" w:hAnsi="Arial" w:cs="Arial"/>
        </w:rPr>
        <w:t>, applying</w:t>
      </w:r>
      <w:r w:rsidR="0019023E" w:rsidRPr="0067574D">
        <w:rPr>
          <w:rFonts w:ascii="Arial" w:hAnsi="Arial" w:cs="Arial"/>
        </w:rPr>
        <w:t xml:space="preserve"> this policy for debt from 1996/9</w:t>
      </w:r>
      <w:r w:rsidRPr="0067574D">
        <w:rPr>
          <w:rFonts w:ascii="Arial" w:hAnsi="Arial" w:cs="Arial"/>
        </w:rPr>
        <w:t xml:space="preserve">7 onwards. </w:t>
      </w:r>
      <w:r w:rsidR="00001683" w:rsidRPr="0067574D">
        <w:rPr>
          <w:rFonts w:ascii="Arial" w:hAnsi="Arial" w:cs="Arial"/>
          <w:lang w:val="en-US"/>
        </w:rPr>
        <w:t>The reprofiling results in reduced annual repayments of debt by spreading the repayments over a longer period.</w:t>
      </w:r>
    </w:p>
    <w:p w:rsidR="005D659C" w:rsidRDefault="005D659C" w:rsidP="00EA05CA">
      <w:pPr>
        <w:keepNext/>
        <w:spacing w:before="0" w:after="0"/>
        <w:ind w:left="709" w:hanging="709"/>
        <w:jc w:val="both"/>
        <w:outlineLvl w:val="4"/>
        <w:rPr>
          <w:rFonts w:ascii="Arial" w:hAnsi="Arial" w:cs="Arial"/>
          <w:b/>
          <w:bCs/>
        </w:rPr>
      </w:pPr>
    </w:p>
    <w:p w:rsidR="00EA05CA" w:rsidRDefault="005D659C" w:rsidP="00EA05CA">
      <w:pPr>
        <w:keepNext/>
        <w:spacing w:before="0" w:after="0"/>
        <w:ind w:left="709" w:hanging="709"/>
        <w:jc w:val="both"/>
        <w:outlineLvl w:val="4"/>
        <w:rPr>
          <w:rFonts w:ascii="Arial" w:hAnsi="Arial" w:cs="Arial"/>
          <w:b/>
          <w:bCs/>
        </w:rPr>
      </w:pPr>
      <w:bookmarkStart w:id="4" w:name="OLE_LINK3"/>
      <w:r>
        <w:rPr>
          <w:rFonts w:ascii="Arial" w:hAnsi="Arial" w:cs="Arial"/>
          <w:b/>
          <w:bCs/>
        </w:rPr>
        <w:t>Note 36</w:t>
      </w:r>
      <w:r w:rsidR="00EA05CA">
        <w:rPr>
          <w:rFonts w:ascii="Arial" w:hAnsi="Arial" w:cs="Arial"/>
          <w:b/>
          <w:bCs/>
        </w:rPr>
        <w:t xml:space="preserve"> - </w:t>
      </w:r>
      <w:r w:rsidR="00EA05CA" w:rsidRPr="00375FD4">
        <w:rPr>
          <w:rFonts w:ascii="Arial" w:hAnsi="Arial" w:cs="Arial"/>
          <w:b/>
          <w:bCs/>
        </w:rPr>
        <w:t>Group Accounting Policies: Disclosure of dif</w:t>
      </w:r>
      <w:r w:rsidR="00EA05CA">
        <w:rPr>
          <w:rFonts w:ascii="Arial" w:hAnsi="Arial" w:cs="Arial"/>
          <w:b/>
          <w:bCs/>
        </w:rPr>
        <w:t>ferences with main Statement of</w:t>
      </w:r>
    </w:p>
    <w:p w:rsidR="00EA05CA" w:rsidRPr="00375FD4" w:rsidRDefault="00EA05CA" w:rsidP="00EA05CA">
      <w:pPr>
        <w:keepNext/>
        <w:spacing w:before="0" w:after="0"/>
        <w:ind w:left="709" w:hanging="709"/>
        <w:jc w:val="both"/>
        <w:outlineLvl w:val="4"/>
        <w:rPr>
          <w:rFonts w:ascii="Arial" w:hAnsi="Arial" w:cs="Arial"/>
          <w:b/>
          <w:bCs/>
        </w:rPr>
      </w:pPr>
      <w:r w:rsidRPr="00375FD4">
        <w:rPr>
          <w:rFonts w:ascii="Arial" w:hAnsi="Arial" w:cs="Arial"/>
          <w:b/>
          <w:bCs/>
        </w:rPr>
        <w:t>Accounting Policies</w:t>
      </w:r>
    </w:p>
    <w:bookmarkEnd w:id="4"/>
    <w:p w:rsidR="00EA05CA" w:rsidRPr="00375FD4" w:rsidRDefault="00EA05CA" w:rsidP="00522D7C">
      <w:pPr>
        <w:spacing w:before="0" w:after="0"/>
        <w:jc w:val="both"/>
        <w:rPr>
          <w:rFonts w:ascii="Arial" w:hAnsi="Arial" w:cs="Arial"/>
        </w:rPr>
      </w:pPr>
    </w:p>
    <w:p w:rsidR="001A3451" w:rsidRPr="00375FD4" w:rsidRDefault="001A3451" w:rsidP="009155BB">
      <w:pPr>
        <w:spacing w:before="0" w:after="0"/>
        <w:rPr>
          <w:rFonts w:ascii="Arial" w:hAnsi="Arial" w:cs="Arial"/>
        </w:rPr>
      </w:pPr>
      <w:r w:rsidRPr="00375FD4">
        <w:rPr>
          <w:rFonts w:ascii="Arial" w:hAnsi="Arial" w:cs="Arial"/>
        </w:rPr>
        <w:t>The financial statements in the Group Accounts are prepared in accordance with the accounting</w:t>
      </w:r>
      <w:r w:rsidRPr="00375FD4">
        <w:rPr>
          <w:rFonts w:ascii="Arial" w:hAnsi="Arial" w:cs="Arial"/>
          <w:color w:val="FF0000"/>
        </w:rPr>
        <w:t xml:space="preserve"> </w:t>
      </w:r>
      <w:r w:rsidRPr="00386A2D">
        <w:rPr>
          <w:rFonts w:ascii="Arial" w:hAnsi="Arial" w:cs="Arial"/>
        </w:rPr>
        <w:t xml:space="preserve">policies set out in </w:t>
      </w:r>
      <w:r w:rsidR="007D1DAB">
        <w:rPr>
          <w:rFonts w:ascii="Arial" w:hAnsi="Arial" w:cs="Arial"/>
        </w:rPr>
        <w:t>Note 32</w:t>
      </w:r>
      <w:r w:rsidR="00850DAB">
        <w:rPr>
          <w:rFonts w:ascii="Arial" w:hAnsi="Arial" w:cs="Arial"/>
        </w:rPr>
        <w:t xml:space="preserve"> on pages 104</w:t>
      </w:r>
      <w:r w:rsidR="00B7703A">
        <w:rPr>
          <w:rFonts w:ascii="Arial" w:hAnsi="Arial" w:cs="Arial"/>
        </w:rPr>
        <w:t xml:space="preserve"> to </w:t>
      </w:r>
      <w:r w:rsidR="005D659C">
        <w:rPr>
          <w:rFonts w:ascii="Arial" w:hAnsi="Arial" w:cs="Arial"/>
        </w:rPr>
        <w:t>115</w:t>
      </w:r>
      <w:r w:rsidRPr="00386A2D">
        <w:rPr>
          <w:rFonts w:ascii="Arial" w:hAnsi="Arial" w:cs="Arial"/>
        </w:rPr>
        <w:t xml:space="preserve"> with additions and exceptions noted below:</w:t>
      </w:r>
    </w:p>
    <w:p w:rsidR="001A3451" w:rsidRPr="00375FD4" w:rsidRDefault="001A3451" w:rsidP="0063454E">
      <w:pPr>
        <w:spacing w:before="0" w:after="0"/>
        <w:ind w:left="709"/>
        <w:rPr>
          <w:rFonts w:ascii="Arial" w:hAnsi="Arial" w:cs="Arial"/>
          <w:color w:val="FF0000"/>
        </w:rPr>
      </w:pPr>
    </w:p>
    <w:p w:rsidR="001A3451" w:rsidRPr="00375FD4" w:rsidRDefault="001A3451" w:rsidP="009155BB">
      <w:pPr>
        <w:spacing w:before="0" w:after="0"/>
        <w:rPr>
          <w:rFonts w:ascii="Arial" w:hAnsi="Arial" w:cs="Arial"/>
        </w:rPr>
      </w:pPr>
      <w:r w:rsidRPr="00375FD4">
        <w:rPr>
          <w:rFonts w:ascii="Arial" w:hAnsi="Arial" w:cs="Arial"/>
          <w:b/>
        </w:rPr>
        <w:t>Group Income and Expenditure Account</w:t>
      </w:r>
    </w:p>
    <w:p w:rsidR="001A3451" w:rsidRPr="00375FD4" w:rsidRDefault="001A3451" w:rsidP="0063454E">
      <w:pPr>
        <w:tabs>
          <w:tab w:val="num" w:pos="426"/>
        </w:tabs>
        <w:spacing w:before="0" w:after="0"/>
        <w:ind w:left="426"/>
        <w:rPr>
          <w:rFonts w:ascii="Arial" w:hAnsi="Arial" w:cs="Arial"/>
        </w:rPr>
      </w:pPr>
    </w:p>
    <w:p w:rsidR="001A3451" w:rsidRPr="00375FD4" w:rsidRDefault="001A3451" w:rsidP="009155BB">
      <w:pPr>
        <w:spacing w:before="0" w:after="0"/>
        <w:rPr>
          <w:rFonts w:ascii="Arial" w:hAnsi="Arial" w:cs="Arial"/>
          <w:u w:val="single"/>
        </w:rPr>
      </w:pPr>
      <w:r w:rsidRPr="00375FD4">
        <w:rPr>
          <w:rFonts w:ascii="Arial" w:hAnsi="Arial" w:cs="Arial"/>
          <w:u w:val="single"/>
        </w:rPr>
        <w:t>Proceeds from disposal of fixed assets</w:t>
      </w:r>
      <w:r w:rsidRPr="00375FD4">
        <w:rPr>
          <w:rFonts w:ascii="Arial" w:hAnsi="Arial" w:cs="Arial"/>
        </w:rPr>
        <w:t xml:space="preserve"> – profits and losses from the disposal of fixed assets are credited or debited to the Group Income and Expenditure Account within the net cost of services. The proceeds are then appropriated out after net operating expenditure. For those proceeds assoc</w:t>
      </w:r>
      <w:r w:rsidR="002E7DAC">
        <w:rPr>
          <w:rFonts w:ascii="Arial" w:hAnsi="Arial" w:cs="Arial"/>
        </w:rPr>
        <w:t>iated with the disposal of the c</w:t>
      </w:r>
      <w:r w:rsidRPr="00375FD4">
        <w:rPr>
          <w:rFonts w:ascii="Arial" w:hAnsi="Arial" w:cs="Arial"/>
        </w:rPr>
        <w:t>ouncil’s assets, appropriation is to the Group Reserves.  For those proceeds associated with the disposal of associates’ assets, appropriation is to the Group Income and Expenditure Reserve.</w:t>
      </w:r>
    </w:p>
    <w:p w:rsidR="001A3451" w:rsidRDefault="001A3451" w:rsidP="0063454E">
      <w:pPr>
        <w:tabs>
          <w:tab w:val="num" w:pos="426"/>
        </w:tabs>
        <w:spacing w:before="0" w:after="0"/>
        <w:ind w:left="426"/>
        <w:rPr>
          <w:rFonts w:ascii="Arial" w:hAnsi="Arial" w:cs="Arial"/>
        </w:rPr>
      </w:pPr>
    </w:p>
    <w:p w:rsidR="001A3451" w:rsidRPr="00375FD4" w:rsidRDefault="001A3451" w:rsidP="009155BB">
      <w:pPr>
        <w:spacing w:before="0" w:after="0"/>
        <w:rPr>
          <w:rFonts w:ascii="Arial" w:hAnsi="Arial" w:cs="Arial"/>
          <w:b/>
        </w:rPr>
      </w:pPr>
      <w:r w:rsidRPr="00375FD4">
        <w:rPr>
          <w:rFonts w:ascii="Arial" w:hAnsi="Arial" w:cs="Arial"/>
          <w:b/>
        </w:rPr>
        <w:t>Group Balance Sheet</w:t>
      </w:r>
    </w:p>
    <w:p w:rsidR="001A3451" w:rsidRPr="00375FD4" w:rsidRDefault="001A3451" w:rsidP="0063454E">
      <w:pPr>
        <w:tabs>
          <w:tab w:val="num" w:pos="426"/>
        </w:tabs>
        <w:spacing w:before="0" w:after="0"/>
        <w:ind w:left="426"/>
        <w:rPr>
          <w:rFonts w:ascii="Arial" w:hAnsi="Arial" w:cs="Arial"/>
          <w:b/>
        </w:rPr>
      </w:pPr>
    </w:p>
    <w:p w:rsidR="001A3451" w:rsidRPr="00375FD4" w:rsidRDefault="001A3451" w:rsidP="009155BB">
      <w:pPr>
        <w:spacing w:before="0" w:after="0"/>
        <w:rPr>
          <w:rFonts w:ascii="Arial" w:hAnsi="Arial" w:cs="Arial"/>
          <w:b/>
        </w:rPr>
      </w:pPr>
      <w:r w:rsidRPr="00375FD4">
        <w:rPr>
          <w:rFonts w:ascii="Arial" w:hAnsi="Arial" w:cs="Arial"/>
          <w:u w:val="single"/>
        </w:rPr>
        <w:t>Inventories</w:t>
      </w:r>
      <w:r w:rsidRPr="00375FD4">
        <w:rPr>
          <w:rFonts w:ascii="Arial" w:hAnsi="Arial" w:cs="Arial"/>
        </w:rPr>
        <w:t xml:space="preserve"> – valuation methods vary </w:t>
      </w:r>
      <w:r w:rsidR="002E7DAC">
        <w:rPr>
          <w:rFonts w:ascii="Arial" w:hAnsi="Arial" w:cs="Arial"/>
        </w:rPr>
        <w:t>slightly across the Group. The c</w:t>
      </w:r>
      <w:r w:rsidRPr="00375FD4">
        <w:rPr>
          <w:rFonts w:ascii="Arial" w:hAnsi="Arial" w:cs="Arial"/>
        </w:rPr>
        <w:t>ouncil uses cost</w:t>
      </w:r>
      <w:r w:rsidR="002E7DAC">
        <w:rPr>
          <w:rFonts w:ascii="Arial" w:hAnsi="Arial" w:cs="Arial"/>
        </w:rPr>
        <w:t xml:space="preserve"> price basis</w:t>
      </w:r>
      <w:r w:rsidRPr="00375FD4">
        <w:rPr>
          <w:rFonts w:ascii="Arial" w:hAnsi="Arial" w:cs="Arial"/>
        </w:rPr>
        <w:t>. The difference in valuation methods does not have a material impact on the results of the group given the levels of stock held within the organisations</w:t>
      </w:r>
      <w:r w:rsidRPr="00375FD4">
        <w:rPr>
          <w:rFonts w:ascii="Arial" w:hAnsi="Arial" w:cs="Arial"/>
          <w:b/>
        </w:rPr>
        <w:t xml:space="preserve">; </w:t>
      </w:r>
      <w:r w:rsidRPr="00375FD4">
        <w:rPr>
          <w:rFonts w:ascii="Arial" w:hAnsi="Arial" w:cs="Arial"/>
        </w:rPr>
        <w:t>and</w:t>
      </w:r>
    </w:p>
    <w:p w:rsidR="001A3451" w:rsidRPr="00375FD4" w:rsidRDefault="001A3451" w:rsidP="0063454E">
      <w:pPr>
        <w:spacing w:before="0" w:after="0"/>
        <w:rPr>
          <w:rFonts w:ascii="Arial" w:hAnsi="Arial" w:cs="Arial"/>
          <w:b/>
        </w:rPr>
      </w:pPr>
    </w:p>
    <w:p w:rsidR="001A3451" w:rsidRPr="00571779" w:rsidRDefault="001A3451" w:rsidP="009155BB">
      <w:pPr>
        <w:spacing w:before="0" w:after="0"/>
        <w:rPr>
          <w:rFonts w:ascii="Arial" w:hAnsi="Arial" w:cs="Arial"/>
        </w:rPr>
      </w:pPr>
      <w:r w:rsidRPr="00571779">
        <w:rPr>
          <w:rFonts w:ascii="Arial" w:hAnsi="Arial" w:cs="Arial"/>
          <w:u w:val="single"/>
        </w:rPr>
        <w:t>Pensions</w:t>
      </w:r>
      <w:r w:rsidRPr="00571779">
        <w:rPr>
          <w:rFonts w:ascii="Arial" w:hAnsi="Arial" w:cs="Arial"/>
        </w:rPr>
        <w:t xml:space="preserve"> – West Dunbartonshire Leisure Trust complies with the Financial Reporting Standard FRS102 concerning the disclosure of information on pensions.</w:t>
      </w:r>
      <w:r>
        <w:rPr>
          <w:rFonts w:ascii="Arial" w:hAnsi="Arial" w:cs="Arial"/>
        </w:rPr>
        <w:t xml:space="preserve"> There is no difference in the Profit and Loss Account by using this method in comparison with IAS19 (which is used by other group entities) therefore there is no impact on the results of the group.</w:t>
      </w:r>
    </w:p>
    <w:p w:rsidR="00872F19" w:rsidRDefault="00872F19" w:rsidP="00EB691C">
      <w:pPr>
        <w:keepNext/>
        <w:spacing w:before="0" w:after="0"/>
        <w:ind w:left="709" w:hanging="709"/>
        <w:jc w:val="both"/>
        <w:outlineLvl w:val="4"/>
        <w:rPr>
          <w:rFonts w:ascii="Arial" w:hAnsi="Arial" w:cs="Arial"/>
          <w:b/>
          <w:bCs/>
        </w:rPr>
      </w:pPr>
    </w:p>
    <w:p w:rsidR="00EB691C" w:rsidRPr="00375FD4" w:rsidRDefault="0067574D" w:rsidP="00EB691C">
      <w:pPr>
        <w:keepNext/>
        <w:spacing w:before="0" w:after="0"/>
        <w:ind w:left="709" w:hanging="709"/>
        <w:jc w:val="both"/>
        <w:outlineLvl w:val="4"/>
        <w:rPr>
          <w:rFonts w:ascii="Arial" w:hAnsi="Arial" w:cs="Arial"/>
          <w:b/>
          <w:bCs/>
        </w:rPr>
      </w:pPr>
      <w:r>
        <w:rPr>
          <w:rFonts w:ascii="Arial" w:hAnsi="Arial" w:cs="Arial"/>
          <w:b/>
          <w:bCs/>
        </w:rPr>
        <w:t>Note 37</w:t>
      </w:r>
      <w:r w:rsidR="00EB691C">
        <w:rPr>
          <w:rFonts w:ascii="Arial" w:hAnsi="Arial" w:cs="Arial"/>
          <w:b/>
          <w:bCs/>
        </w:rPr>
        <w:t xml:space="preserve"> – Prior Year Adjustment</w:t>
      </w:r>
    </w:p>
    <w:p w:rsidR="006858F0" w:rsidRDefault="006858F0" w:rsidP="006858F0">
      <w:pPr>
        <w:spacing w:before="0" w:after="0"/>
        <w:rPr>
          <w:rFonts w:ascii="Arial" w:hAnsi="Arial" w:cs="Arial"/>
        </w:rPr>
      </w:pPr>
    </w:p>
    <w:p w:rsidR="00CD02B2" w:rsidRDefault="006858F0" w:rsidP="006858F0">
      <w:pPr>
        <w:spacing w:before="0" w:after="0"/>
        <w:rPr>
          <w:rFonts w:ascii="Arial" w:hAnsi="Arial" w:cs="Arial"/>
        </w:rPr>
      </w:pPr>
      <w:r w:rsidRPr="006858F0">
        <w:rPr>
          <w:rFonts w:ascii="Arial" w:hAnsi="Arial" w:cs="Arial"/>
        </w:rPr>
        <w:t xml:space="preserve">In order to ensure the 2018/19 figures are on a comparable basis to 2019/20, there has been a prior year adjustment to the detail held </w:t>
      </w:r>
      <w:r>
        <w:rPr>
          <w:rFonts w:ascii="Arial" w:hAnsi="Arial" w:cs="Arial"/>
        </w:rPr>
        <w:t>with</w:t>
      </w:r>
      <w:r w:rsidRPr="006858F0">
        <w:rPr>
          <w:rFonts w:ascii="Arial" w:hAnsi="Arial" w:cs="Arial"/>
        </w:rPr>
        <w:t>in the Balance Sheet</w:t>
      </w:r>
      <w:r>
        <w:rPr>
          <w:rFonts w:ascii="Arial" w:hAnsi="Arial" w:cs="Arial"/>
        </w:rPr>
        <w:t xml:space="preserve"> in relation to the split of PPP debt to other short and long term debt. </w:t>
      </w:r>
      <w:r w:rsidR="00CD02B2">
        <w:rPr>
          <w:rFonts w:ascii="Arial" w:hAnsi="Arial" w:cs="Arial"/>
        </w:rPr>
        <w:t>The Council has also now merged the net cashflows into one figure.</w:t>
      </w:r>
    </w:p>
    <w:p w:rsidR="00CD02B2" w:rsidRDefault="00CD02B2" w:rsidP="006858F0">
      <w:pPr>
        <w:spacing w:before="0" w:after="0"/>
        <w:rPr>
          <w:rFonts w:ascii="Arial" w:hAnsi="Arial" w:cs="Arial"/>
        </w:rPr>
      </w:pPr>
    </w:p>
    <w:p w:rsidR="006858F0" w:rsidRDefault="006858F0" w:rsidP="006858F0">
      <w:pPr>
        <w:spacing w:before="0" w:after="0"/>
        <w:rPr>
          <w:rFonts w:ascii="Arial" w:hAnsi="Arial" w:cs="Arial"/>
        </w:rPr>
      </w:pPr>
      <w:r>
        <w:rPr>
          <w:rFonts w:ascii="Arial" w:hAnsi="Arial" w:cs="Arial"/>
        </w:rPr>
        <w:t>The effects of th</w:t>
      </w:r>
      <w:r w:rsidR="0019023E">
        <w:rPr>
          <w:rFonts w:ascii="Arial" w:hAnsi="Arial" w:cs="Arial"/>
        </w:rPr>
        <w:t>e restatement on the Financial S</w:t>
      </w:r>
      <w:r>
        <w:rPr>
          <w:rFonts w:ascii="Arial" w:hAnsi="Arial" w:cs="Arial"/>
        </w:rPr>
        <w:t>tatements are as follows (only those lines have changed are shown):</w:t>
      </w:r>
    </w:p>
    <w:p w:rsidR="00CD02B2" w:rsidRDefault="00CD02B2"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6858F0">
      <w:pPr>
        <w:spacing w:before="0" w:after="0"/>
        <w:rPr>
          <w:rFonts w:ascii="Arial" w:hAnsi="Arial" w:cs="Arial"/>
        </w:rPr>
      </w:pPr>
    </w:p>
    <w:p w:rsidR="009574A6" w:rsidRDefault="009574A6" w:rsidP="006858F0">
      <w:pPr>
        <w:spacing w:before="0" w:after="0"/>
        <w:rPr>
          <w:rFonts w:ascii="Arial" w:hAnsi="Arial" w:cs="Arial"/>
        </w:rPr>
      </w:pPr>
    </w:p>
    <w:p w:rsidR="00001683" w:rsidRDefault="00001683" w:rsidP="006858F0">
      <w:pPr>
        <w:spacing w:before="0" w:after="0"/>
        <w:rPr>
          <w:rFonts w:ascii="Arial" w:hAnsi="Arial" w:cs="Arial"/>
        </w:rPr>
      </w:pPr>
    </w:p>
    <w:p w:rsidR="00001683" w:rsidRDefault="00001683" w:rsidP="00001683">
      <w:pPr>
        <w:spacing w:before="0" w:after="0"/>
        <w:jc w:val="both"/>
        <w:rPr>
          <w:rFonts w:ascii="Arial" w:hAnsi="Arial" w:cs="Arial"/>
          <w:b/>
          <w:sz w:val="24"/>
          <w:szCs w:val="24"/>
        </w:rPr>
      </w:pPr>
      <w:r w:rsidRPr="008960E0">
        <w:rPr>
          <w:rFonts w:ascii="Arial" w:hAnsi="Arial" w:cs="Arial"/>
          <w:b/>
          <w:sz w:val="24"/>
          <w:szCs w:val="24"/>
        </w:rPr>
        <w:t xml:space="preserve">General Accounting Policies </w:t>
      </w:r>
      <w:r>
        <w:rPr>
          <w:rFonts w:ascii="Arial" w:hAnsi="Arial" w:cs="Arial"/>
          <w:b/>
          <w:sz w:val="24"/>
          <w:szCs w:val="24"/>
        </w:rPr>
        <w:t xml:space="preserve">and Information </w:t>
      </w:r>
      <w:r w:rsidRPr="008960E0">
        <w:rPr>
          <w:rFonts w:ascii="Arial" w:hAnsi="Arial" w:cs="Arial"/>
          <w:b/>
          <w:sz w:val="24"/>
          <w:szCs w:val="24"/>
        </w:rPr>
        <w:t>(Cont’d)</w:t>
      </w:r>
    </w:p>
    <w:p w:rsidR="00001683" w:rsidRDefault="00001683" w:rsidP="006858F0">
      <w:pPr>
        <w:spacing w:before="0" w:after="0"/>
        <w:rPr>
          <w:rFonts w:ascii="Arial" w:hAnsi="Arial" w:cs="Arial"/>
        </w:rPr>
      </w:pPr>
    </w:p>
    <w:p w:rsidR="00001683" w:rsidRDefault="00125490" w:rsidP="00001683">
      <w:pPr>
        <w:keepNext/>
        <w:spacing w:before="0" w:after="0"/>
        <w:ind w:left="709" w:hanging="709"/>
        <w:jc w:val="both"/>
        <w:outlineLvl w:val="4"/>
        <w:rPr>
          <w:rFonts w:ascii="Arial" w:hAnsi="Arial" w:cs="Arial"/>
        </w:rPr>
      </w:pPr>
      <w:r>
        <w:rPr>
          <w:rFonts w:ascii="Arial" w:hAnsi="Arial" w:cs="Arial"/>
          <w:b/>
          <w:bCs/>
        </w:rPr>
        <w:t>Note 37</w:t>
      </w:r>
      <w:r w:rsidR="00001683">
        <w:rPr>
          <w:rFonts w:ascii="Arial" w:hAnsi="Arial" w:cs="Arial"/>
          <w:b/>
          <w:bCs/>
        </w:rPr>
        <w:t xml:space="preserve"> – Prior Year Adjustment (cont’d)</w:t>
      </w:r>
    </w:p>
    <w:p w:rsidR="00001683" w:rsidRDefault="00001683" w:rsidP="006858F0">
      <w:pPr>
        <w:spacing w:before="0" w:after="0"/>
        <w:rPr>
          <w:rFonts w:ascii="Arial" w:hAnsi="Arial" w:cs="Arial"/>
        </w:rPr>
      </w:pPr>
    </w:p>
    <w:p w:rsidR="00746DB7" w:rsidRPr="006858F0" w:rsidRDefault="00CD02B2" w:rsidP="006858F0">
      <w:pPr>
        <w:spacing w:before="0" w:after="0"/>
        <w:rPr>
          <w:rFonts w:ascii="Arial" w:hAnsi="Arial" w:cs="Arial"/>
        </w:rPr>
      </w:pPr>
      <w:r w:rsidRPr="00CD02B2">
        <w:rPr>
          <w:noProof/>
          <w:lang w:eastAsia="en-GB"/>
        </w:rPr>
        <w:drawing>
          <wp:inline distT="0" distB="0" distL="0" distR="0">
            <wp:extent cx="4458240" cy="1447800"/>
            <wp:effectExtent l="0" t="0" r="0" b="0"/>
            <wp:docPr id="143" name="Picture 143" descr="detail of changes to balance sheet in 2018/19" title="note 36 prior year adjus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460167" cy="1448426"/>
                    </a:xfrm>
                    <a:prstGeom prst="rect">
                      <a:avLst/>
                    </a:prstGeom>
                    <a:noFill/>
                    <a:ln>
                      <a:noFill/>
                    </a:ln>
                  </pic:spPr>
                </pic:pic>
              </a:graphicData>
            </a:graphic>
          </wp:inline>
        </w:drawing>
      </w:r>
      <w:r w:rsidR="00746DB7" w:rsidRPr="006858F0">
        <w:rPr>
          <w:rFonts w:ascii="Arial" w:hAnsi="Arial" w:cs="Arial"/>
        </w:rPr>
        <w:br w:type="page"/>
      </w:r>
    </w:p>
    <w:p w:rsidR="00990216" w:rsidRPr="000A3446" w:rsidRDefault="00990216" w:rsidP="00522D7C">
      <w:pPr>
        <w:spacing w:before="0" w:after="0"/>
        <w:jc w:val="both"/>
        <w:rPr>
          <w:rFonts w:ascii="Arial" w:hAnsi="Arial" w:cs="Arial"/>
          <w:b/>
          <w:sz w:val="24"/>
          <w:szCs w:val="24"/>
        </w:rPr>
      </w:pPr>
      <w:r w:rsidRPr="000A3446">
        <w:rPr>
          <w:rFonts w:ascii="Arial" w:hAnsi="Arial" w:cs="Arial"/>
          <w:b/>
          <w:sz w:val="24"/>
          <w:szCs w:val="24"/>
        </w:rPr>
        <w:lastRenderedPageBreak/>
        <w:t>Glossary of Terms</w:t>
      </w:r>
    </w:p>
    <w:p w:rsidR="00310B99" w:rsidRPr="00375FD4" w:rsidRDefault="00310B99" w:rsidP="00522D7C">
      <w:pPr>
        <w:jc w:val="both"/>
        <w:rPr>
          <w:rFonts w:ascii="Arial" w:hAnsi="Arial" w:cs="Arial"/>
        </w:rPr>
      </w:pPr>
    </w:p>
    <w:p w:rsidR="00990216" w:rsidRPr="00375FD4" w:rsidRDefault="00990216" w:rsidP="00CE41FF">
      <w:pPr>
        <w:tabs>
          <w:tab w:val="left" w:pos="-567"/>
          <w:tab w:val="left" w:pos="426"/>
          <w:tab w:val="left" w:pos="1134"/>
          <w:tab w:val="right" w:pos="5812"/>
          <w:tab w:val="right" w:pos="7797"/>
        </w:tabs>
        <w:spacing w:before="0" w:after="0"/>
        <w:rPr>
          <w:rFonts w:ascii="Arial" w:hAnsi="Arial" w:cs="Arial"/>
        </w:rPr>
      </w:pPr>
      <w:r w:rsidRPr="00375FD4">
        <w:rPr>
          <w:rFonts w:ascii="Arial" w:hAnsi="Arial" w:cs="Arial"/>
        </w:rPr>
        <w:t xml:space="preserve">While much of the terminology used in this report is self explanatory, the following additional definitions and interpretation of the terms used are provided for assistance.  The Glossary of Terms does not comprise part of the audited financial statements. </w:t>
      </w:r>
    </w:p>
    <w:p w:rsidR="00990216" w:rsidRPr="00375FD4" w:rsidRDefault="00990216" w:rsidP="0063454E">
      <w:pPr>
        <w:tabs>
          <w:tab w:val="left" w:pos="-567"/>
          <w:tab w:val="left" w:pos="426"/>
          <w:tab w:val="left" w:pos="1134"/>
          <w:tab w:val="right" w:pos="5812"/>
          <w:tab w:val="right" w:pos="7797"/>
        </w:tabs>
        <w:spacing w:before="0" w:after="0"/>
        <w:ind w:left="900" w:hanging="540"/>
        <w:rPr>
          <w:rFonts w:ascii="Arial" w:hAnsi="Arial" w:cs="Arial"/>
        </w:rPr>
      </w:pPr>
    </w:p>
    <w:p w:rsidR="00990216" w:rsidRPr="00375FD4" w:rsidRDefault="00990216"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1.</w:t>
      </w:r>
      <w:r w:rsidRPr="00375FD4">
        <w:rPr>
          <w:rFonts w:ascii="Arial" w:hAnsi="Arial" w:cs="Arial"/>
        </w:rPr>
        <w:tab/>
      </w:r>
      <w:r w:rsidRPr="00375FD4">
        <w:rPr>
          <w:rFonts w:ascii="Arial" w:hAnsi="Arial" w:cs="Arial"/>
        </w:rPr>
        <w:tab/>
      </w:r>
      <w:r w:rsidRPr="00375FD4">
        <w:rPr>
          <w:rFonts w:ascii="Arial" w:hAnsi="Arial" w:cs="Arial"/>
          <w:b/>
        </w:rPr>
        <w:t>Employee</w:t>
      </w:r>
      <w:r w:rsidR="00D556D8">
        <w:rPr>
          <w:rFonts w:ascii="Arial" w:hAnsi="Arial" w:cs="Arial"/>
          <w:b/>
        </w:rPr>
        <w:t xml:space="preserve"> benefit expenses</w:t>
      </w:r>
    </w:p>
    <w:p w:rsidR="00990216" w:rsidRPr="00375FD4" w:rsidRDefault="00990216" w:rsidP="0063454E">
      <w:pPr>
        <w:tabs>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t>This includes salaries, wages, overtime, bonus, enhancements, pensions, employer’s national insurance, travelling and subsistence expenses and other staff allowances.</w:t>
      </w:r>
    </w:p>
    <w:p w:rsidR="00990216" w:rsidRPr="00375FD4" w:rsidRDefault="00990216"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2.</w:t>
      </w:r>
      <w:r w:rsidRPr="00375FD4">
        <w:rPr>
          <w:rFonts w:ascii="Arial" w:hAnsi="Arial" w:cs="Arial"/>
        </w:rPr>
        <w:tab/>
      </w:r>
      <w:r w:rsidRPr="00375FD4">
        <w:rPr>
          <w:rFonts w:ascii="Arial" w:hAnsi="Arial" w:cs="Arial"/>
        </w:rPr>
        <w:tab/>
      </w:r>
      <w:r w:rsidR="00D556D8">
        <w:rPr>
          <w:rFonts w:ascii="Arial" w:hAnsi="Arial" w:cs="Arial"/>
          <w:b/>
        </w:rPr>
        <w:t>Other service expenses</w:t>
      </w:r>
    </w:p>
    <w:p w:rsidR="00D556D8" w:rsidRDefault="00990216"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This includes</w:t>
      </w:r>
      <w:r w:rsidR="00D556D8">
        <w:rPr>
          <w:rFonts w:ascii="Arial" w:hAnsi="Arial" w:cs="Arial"/>
        </w:rPr>
        <w:t>:</w:t>
      </w:r>
    </w:p>
    <w:p w:rsidR="00D556D8" w:rsidRDefault="00D556D8" w:rsidP="00EA6E47">
      <w:pPr>
        <w:pStyle w:val="ListParagraph"/>
        <w:numPr>
          <w:ilvl w:val="0"/>
          <w:numId w:val="38"/>
        </w:numPr>
        <w:tabs>
          <w:tab w:val="left" w:pos="-567"/>
          <w:tab w:val="left" w:pos="567"/>
          <w:tab w:val="left" w:pos="1134"/>
          <w:tab w:val="right" w:pos="5812"/>
          <w:tab w:val="right" w:pos="7797"/>
        </w:tabs>
        <w:spacing w:before="0" w:after="0"/>
        <w:ind w:left="1134" w:hanging="144"/>
        <w:rPr>
          <w:rFonts w:ascii="Arial" w:hAnsi="Arial" w:cs="Arial"/>
        </w:rPr>
      </w:pPr>
      <w:r w:rsidRPr="00D556D8">
        <w:rPr>
          <w:rFonts w:ascii="Arial" w:hAnsi="Arial" w:cs="Arial"/>
        </w:rPr>
        <w:t>property costs (e.g. rent, rates,</w:t>
      </w:r>
      <w:r w:rsidR="00990216" w:rsidRPr="00D556D8">
        <w:rPr>
          <w:rFonts w:ascii="Arial" w:hAnsi="Arial" w:cs="Arial"/>
        </w:rPr>
        <w:t xml:space="preserve"> insurance, repair</w:t>
      </w:r>
      <w:r w:rsidRPr="00D556D8">
        <w:rPr>
          <w:rFonts w:ascii="Arial" w:hAnsi="Arial" w:cs="Arial"/>
        </w:rPr>
        <w:t>s and maintenance</w:t>
      </w:r>
      <w:r w:rsidR="00990216" w:rsidRPr="00D556D8">
        <w:rPr>
          <w:rFonts w:ascii="Arial" w:hAnsi="Arial" w:cs="Arial"/>
        </w:rPr>
        <w:t>, upkeep o</w:t>
      </w:r>
      <w:r w:rsidRPr="00D556D8">
        <w:rPr>
          <w:rFonts w:ascii="Arial" w:hAnsi="Arial" w:cs="Arial"/>
        </w:rPr>
        <w:t xml:space="preserve">f grounds, heating and lighting); </w:t>
      </w:r>
    </w:p>
    <w:p w:rsidR="00D556D8" w:rsidRDefault="00D556D8" w:rsidP="00EA6E47">
      <w:pPr>
        <w:pStyle w:val="ListParagraph"/>
        <w:numPr>
          <w:ilvl w:val="0"/>
          <w:numId w:val="38"/>
        </w:numPr>
        <w:tabs>
          <w:tab w:val="left" w:pos="-567"/>
          <w:tab w:val="left" w:pos="567"/>
          <w:tab w:val="left" w:pos="1134"/>
          <w:tab w:val="right" w:pos="5812"/>
          <w:tab w:val="right" w:pos="7797"/>
        </w:tabs>
        <w:spacing w:before="0" w:after="0"/>
        <w:ind w:left="1134" w:hanging="144"/>
        <w:rPr>
          <w:rFonts w:ascii="Arial" w:hAnsi="Arial" w:cs="Arial"/>
        </w:rPr>
      </w:pPr>
      <w:r w:rsidRPr="00D556D8">
        <w:rPr>
          <w:rFonts w:ascii="Arial" w:hAnsi="Arial" w:cs="Arial"/>
        </w:rPr>
        <w:t xml:space="preserve">supplies and services (e.g </w:t>
      </w:r>
      <w:r w:rsidR="00990216" w:rsidRPr="00D556D8">
        <w:rPr>
          <w:rFonts w:ascii="Arial" w:hAnsi="Arial" w:cs="Arial"/>
        </w:rPr>
        <w:t>food, materials, books, unifor</w:t>
      </w:r>
      <w:r w:rsidRPr="00D556D8">
        <w:rPr>
          <w:rFonts w:ascii="Arial" w:hAnsi="Arial" w:cs="Arial"/>
        </w:rPr>
        <w:t>ms and protective clothing, purchase/</w:t>
      </w:r>
      <w:r w:rsidR="00990216" w:rsidRPr="00D556D8">
        <w:rPr>
          <w:rFonts w:ascii="Arial" w:hAnsi="Arial" w:cs="Arial"/>
        </w:rPr>
        <w:t xml:space="preserve"> maintenance of equipment</w:t>
      </w:r>
      <w:r w:rsidRPr="00D556D8">
        <w:rPr>
          <w:rFonts w:ascii="Arial" w:hAnsi="Arial" w:cs="Arial"/>
        </w:rPr>
        <w:t xml:space="preserve">); </w:t>
      </w:r>
    </w:p>
    <w:p w:rsidR="00D556D8" w:rsidRDefault="00D556D8" w:rsidP="00EA6E47">
      <w:pPr>
        <w:pStyle w:val="ListParagraph"/>
        <w:numPr>
          <w:ilvl w:val="0"/>
          <w:numId w:val="38"/>
        </w:numPr>
        <w:tabs>
          <w:tab w:val="left" w:pos="-567"/>
          <w:tab w:val="left" w:pos="567"/>
          <w:tab w:val="left" w:pos="1134"/>
          <w:tab w:val="right" w:pos="5812"/>
          <w:tab w:val="right" w:pos="7797"/>
        </w:tabs>
        <w:spacing w:before="0" w:after="0"/>
        <w:ind w:left="1134" w:hanging="144"/>
        <w:rPr>
          <w:rFonts w:ascii="Arial" w:hAnsi="Arial" w:cs="Arial"/>
        </w:rPr>
      </w:pPr>
      <w:r w:rsidRPr="00D556D8">
        <w:rPr>
          <w:rFonts w:ascii="Arial" w:hAnsi="Arial" w:cs="Arial"/>
        </w:rPr>
        <w:t xml:space="preserve">transport costs (e.g. </w:t>
      </w:r>
      <w:r w:rsidR="00990216" w:rsidRPr="00D556D8">
        <w:rPr>
          <w:rFonts w:ascii="Arial" w:hAnsi="Arial" w:cs="Arial"/>
        </w:rPr>
        <w:t>fuel, repairs and maintenance, tyres, licences, insurance and procurement of transport for school children</w:t>
      </w:r>
      <w:r w:rsidRPr="00D556D8">
        <w:rPr>
          <w:rFonts w:ascii="Arial" w:hAnsi="Arial" w:cs="Arial"/>
        </w:rPr>
        <w:t xml:space="preserve">); </w:t>
      </w:r>
    </w:p>
    <w:p w:rsidR="00D556D8" w:rsidRDefault="00D556D8" w:rsidP="00EA6E47">
      <w:pPr>
        <w:pStyle w:val="ListParagraph"/>
        <w:numPr>
          <w:ilvl w:val="0"/>
          <w:numId w:val="38"/>
        </w:numPr>
        <w:tabs>
          <w:tab w:val="left" w:pos="-567"/>
          <w:tab w:val="left" w:pos="567"/>
          <w:tab w:val="left" w:pos="1134"/>
          <w:tab w:val="right" w:pos="5812"/>
          <w:tab w:val="right" w:pos="7797"/>
        </w:tabs>
        <w:spacing w:before="0" w:after="0"/>
        <w:ind w:left="1134" w:hanging="144"/>
        <w:rPr>
          <w:rFonts w:ascii="Arial" w:hAnsi="Arial" w:cs="Arial"/>
        </w:rPr>
      </w:pPr>
      <w:r>
        <w:rPr>
          <w:rFonts w:ascii="Arial" w:hAnsi="Arial" w:cs="Arial"/>
        </w:rPr>
        <w:t>administration c</w:t>
      </w:r>
      <w:r w:rsidRPr="00D556D8">
        <w:rPr>
          <w:rFonts w:ascii="Arial" w:hAnsi="Arial" w:cs="Arial"/>
        </w:rPr>
        <w:t>osts</w:t>
      </w:r>
      <w:r>
        <w:rPr>
          <w:rFonts w:ascii="Arial" w:hAnsi="Arial" w:cs="Arial"/>
        </w:rPr>
        <w:t xml:space="preserve"> (e.g.</w:t>
      </w:r>
      <w:r w:rsidR="00990216" w:rsidRPr="00375FD4">
        <w:rPr>
          <w:rFonts w:ascii="Arial" w:hAnsi="Arial" w:cs="Arial"/>
        </w:rPr>
        <w:t xml:space="preserve"> printing and stationery, advertising, postages, telephone costs</w:t>
      </w:r>
      <w:r>
        <w:rPr>
          <w:rFonts w:ascii="Arial" w:hAnsi="Arial" w:cs="Arial"/>
        </w:rPr>
        <w:t>);</w:t>
      </w:r>
    </w:p>
    <w:p w:rsidR="00990216" w:rsidRPr="00A27C20" w:rsidRDefault="00990216" w:rsidP="00EA6E47">
      <w:pPr>
        <w:pStyle w:val="ListParagraph"/>
        <w:numPr>
          <w:ilvl w:val="0"/>
          <w:numId w:val="38"/>
        </w:numPr>
        <w:tabs>
          <w:tab w:val="left" w:pos="-567"/>
          <w:tab w:val="left" w:pos="567"/>
          <w:tab w:val="left" w:pos="1134"/>
          <w:tab w:val="right" w:pos="5812"/>
          <w:tab w:val="right" w:pos="7797"/>
        </w:tabs>
        <w:spacing w:before="0" w:after="0"/>
        <w:ind w:left="1134" w:hanging="144"/>
        <w:rPr>
          <w:rFonts w:ascii="Arial" w:hAnsi="Arial" w:cs="Arial"/>
        </w:rPr>
      </w:pPr>
      <w:r w:rsidRPr="00D556D8">
        <w:rPr>
          <w:rFonts w:ascii="Arial" w:hAnsi="Arial" w:cs="Arial"/>
        </w:rPr>
        <w:t>Payments to Other Bodies</w:t>
      </w:r>
      <w:r w:rsidR="00D556D8">
        <w:rPr>
          <w:rFonts w:ascii="Arial" w:hAnsi="Arial" w:cs="Arial"/>
        </w:rPr>
        <w:t xml:space="preserve"> (e.g.</w:t>
      </w:r>
      <w:r w:rsidRPr="00375FD4">
        <w:rPr>
          <w:rFonts w:ascii="Arial" w:hAnsi="Arial" w:cs="Arial"/>
        </w:rPr>
        <w:t xml:space="preserve"> grants</w:t>
      </w:r>
      <w:r w:rsidR="00D556D8">
        <w:rPr>
          <w:rFonts w:ascii="Arial" w:hAnsi="Arial" w:cs="Arial"/>
        </w:rPr>
        <w:t xml:space="preserve"> and payments</w:t>
      </w:r>
      <w:r w:rsidRPr="00375FD4">
        <w:rPr>
          <w:rFonts w:ascii="Arial" w:hAnsi="Arial" w:cs="Arial"/>
        </w:rPr>
        <w:t xml:space="preserve"> to</w:t>
      </w:r>
      <w:r w:rsidR="00D556D8">
        <w:rPr>
          <w:rFonts w:ascii="Arial" w:hAnsi="Arial" w:cs="Arial"/>
        </w:rPr>
        <w:t xml:space="preserve"> individuals, organisations</w:t>
      </w:r>
      <w:r w:rsidRPr="00375FD4">
        <w:rPr>
          <w:rFonts w:ascii="Arial" w:hAnsi="Arial" w:cs="Arial"/>
        </w:rPr>
        <w:t xml:space="preserve"> and agencies providing services comp</w:t>
      </w:r>
      <w:r w:rsidR="001C2895">
        <w:rPr>
          <w:rFonts w:ascii="Arial" w:hAnsi="Arial" w:cs="Arial"/>
        </w:rPr>
        <w:t>lementing or sup</w:t>
      </w:r>
      <w:r w:rsidR="00586525">
        <w:rPr>
          <w:rFonts w:ascii="Arial" w:hAnsi="Arial" w:cs="Arial"/>
        </w:rPr>
        <w:t>plementing the C</w:t>
      </w:r>
      <w:r w:rsidRPr="00375FD4">
        <w:rPr>
          <w:rFonts w:ascii="Arial" w:hAnsi="Arial" w:cs="Arial"/>
        </w:rPr>
        <w:t>ouncil’s work.</w:t>
      </w:r>
    </w:p>
    <w:p w:rsidR="00990216"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3</w:t>
      </w:r>
      <w:r w:rsidR="00990216" w:rsidRPr="00375FD4">
        <w:rPr>
          <w:rFonts w:ascii="Arial" w:hAnsi="Arial" w:cs="Arial"/>
          <w:b/>
        </w:rPr>
        <w:t>.</w:t>
      </w:r>
      <w:r w:rsidR="00990216" w:rsidRPr="00375FD4">
        <w:rPr>
          <w:rFonts w:ascii="Arial" w:hAnsi="Arial" w:cs="Arial"/>
        </w:rPr>
        <w:tab/>
      </w:r>
      <w:r w:rsidR="00990216" w:rsidRPr="00375FD4">
        <w:rPr>
          <w:rFonts w:ascii="Arial" w:hAnsi="Arial" w:cs="Arial"/>
        </w:rPr>
        <w:tab/>
      </w:r>
      <w:r w:rsidR="00990216" w:rsidRPr="00375FD4">
        <w:rPr>
          <w:rFonts w:ascii="Arial" w:hAnsi="Arial" w:cs="Arial"/>
          <w:b/>
        </w:rPr>
        <w:t>Specific Government Grants</w:t>
      </w:r>
    </w:p>
    <w:p w:rsidR="00990216" w:rsidRPr="00375FD4" w:rsidRDefault="00990216"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This includes grants received from Central Government in respect of a specific purpose or service, usually calculated as a predetermined percentage of the expenditure actually incurred e.g. National Priority Action Fund, Benefits Administration.</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4</w:t>
      </w:r>
      <w:r w:rsidR="0047030A" w:rsidRPr="00375FD4">
        <w:rPr>
          <w:rFonts w:ascii="Arial" w:hAnsi="Arial" w:cs="Arial"/>
          <w:b/>
        </w:rPr>
        <w:t>.</w:t>
      </w:r>
      <w:r w:rsidR="00D556D8">
        <w:rPr>
          <w:rFonts w:ascii="Arial" w:hAnsi="Arial" w:cs="Arial"/>
          <w:b/>
        </w:rPr>
        <w:tab/>
      </w:r>
      <w:r w:rsidR="0047030A" w:rsidRPr="00375FD4">
        <w:rPr>
          <w:rFonts w:ascii="Arial" w:hAnsi="Arial" w:cs="Arial"/>
        </w:rPr>
        <w:tab/>
      </w:r>
      <w:r w:rsidR="0047030A" w:rsidRPr="00375FD4">
        <w:rPr>
          <w:rFonts w:ascii="Arial" w:hAnsi="Arial" w:cs="Arial"/>
          <w:b/>
        </w:rPr>
        <w:t>General Income</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This includes the charges to persons and bo</w:t>
      </w:r>
      <w:r w:rsidR="00586525">
        <w:rPr>
          <w:rFonts w:ascii="Arial" w:hAnsi="Arial" w:cs="Arial"/>
        </w:rPr>
        <w:t>dies for the direct use of</w:t>
      </w:r>
      <w:r w:rsidR="001C2895">
        <w:rPr>
          <w:rFonts w:ascii="Arial" w:hAnsi="Arial" w:cs="Arial"/>
        </w:rPr>
        <w:t xml:space="preserve"> c</w:t>
      </w:r>
      <w:r w:rsidR="00586525">
        <w:rPr>
          <w:rFonts w:ascii="Arial" w:hAnsi="Arial" w:cs="Arial"/>
        </w:rPr>
        <w:t>ouncil</w:t>
      </w:r>
      <w:r w:rsidRPr="00375FD4">
        <w:rPr>
          <w:rFonts w:ascii="Arial" w:hAnsi="Arial" w:cs="Arial"/>
        </w:rPr>
        <w:t xml:space="preserve"> services.</w:t>
      </w:r>
    </w:p>
    <w:p w:rsidR="0047030A" w:rsidRPr="00375FD4" w:rsidRDefault="00A27C20" w:rsidP="00522D7C">
      <w:pPr>
        <w:tabs>
          <w:tab w:val="left" w:pos="-567"/>
          <w:tab w:val="left" w:pos="567"/>
          <w:tab w:val="left" w:pos="1134"/>
          <w:tab w:val="right" w:pos="5812"/>
          <w:tab w:val="right" w:pos="7797"/>
        </w:tabs>
        <w:spacing w:before="0" w:after="0"/>
        <w:ind w:left="900" w:hanging="540"/>
        <w:jc w:val="both"/>
        <w:rPr>
          <w:rFonts w:ascii="Arial" w:hAnsi="Arial" w:cs="Arial"/>
        </w:rPr>
      </w:pPr>
      <w:r>
        <w:rPr>
          <w:rFonts w:ascii="Arial" w:hAnsi="Arial" w:cs="Arial"/>
          <w:b/>
        </w:rPr>
        <w:t>5</w:t>
      </w:r>
      <w:r w:rsidR="0047030A" w:rsidRPr="00375FD4">
        <w:rPr>
          <w:rFonts w:ascii="Arial" w:hAnsi="Arial" w:cs="Arial"/>
          <w:b/>
        </w:rPr>
        <w:t>.</w:t>
      </w:r>
      <w:r w:rsidR="0047030A" w:rsidRPr="00375FD4">
        <w:rPr>
          <w:rFonts w:ascii="Arial" w:hAnsi="Arial" w:cs="Arial"/>
        </w:rPr>
        <w:tab/>
      </w:r>
      <w:r w:rsidR="00D556D8">
        <w:rPr>
          <w:rFonts w:ascii="Arial" w:hAnsi="Arial" w:cs="Arial"/>
        </w:rPr>
        <w:tab/>
      </w:r>
      <w:r w:rsidR="0047030A" w:rsidRPr="00375FD4">
        <w:rPr>
          <w:rFonts w:ascii="Arial" w:hAnsi="Arial" w:cs="Arial"/>
          <w:b/>
        </w:rPr>
        <w:t>Capital Expenditure</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This is expenditure incurred in creating, acquiring or improving assets where the expenditure is normally financed by borrowing over a period of years, finance leases, or utilising the income from the sale of existing assets.</w:t>
      </w:r>
    </w:p>
    <w:p w:rsidR="0047030A" w:rsidRPr="00D556D8" w:rsidRDefault="0047030A" w:rsidP="00EA6E47">
      <w:pPr>
        <w:pStyle w:val="ListParagraph"/>
        <w:numPr>
          <w:ilvl w:val="0"/>
          <w:numId w:val="41"/>
        </w:numPr>
        <w:tabs>
          <w:tab w:val="left" w:pos="-567"/>
          <w:tab w:val="left" w:pos="851"/>
          <w:tab w:val="left" w:pos="1134"/>
          <w:tab w:val="right" w:pos="5812"/>
          <w:tab w:val="right" w:pos="7797"/>
        </w:tabs>
        <w:spacing w:before="0" w:after="0"/>
        <w:ind w:left="993" w:hanging="633"/>
        <w:rPr>
          <w:rFonts w:ascii="Arial" w:hAnsi="Arial" w:cs="Arial"/>
          <w:b/>
        </w:rPr>
      </w:pPr>
      <w:r w:rsidRPr="00D556D8">
        <w:rPr>
          <w:rFonts w:ascii="Arial" w:hAnsi="Arial" w:cs="Arial"/>
          <w:b/>
        </w:rPr>
        <w:t>Capital Financed from Current Revenue</w:t>
      </w:r>
    </w:p>
    <w:p w:rsidR="0047030A" w:rsidRPr="0047030A"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This is expenditure incurred in creating, acquiring or improving assets where that expenditure is charged directly to the revenue account.</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7</w:t>
      </w:r>
      <w:r w:rsidR="0047030A" w:rsidRPr="00375FD4">
        <w:rPr>
          <w:rFonts w:ascii="Arial" w:hAnsi="Arial" w:cs="Arial"/>
          <w:b/>
        </w:rPr>
        <w:t>.</w:t>
      </w:r>
      <w:r w:rsidR="0047030A" w:rsidRPr="00375FD4">
        <w:rPr>
          <w:rFonts w:ascii="Arial" w:hAnsi="Arial" w:cs="Arial"/>
        </w:rPr>
        <w:tab/>
      </w:r>
      <w:r w:rsidR="00D556D8">
        <w:rPr>
          <w:rFonts w:ascii="Arial" w:hAnsi="Arial" w:cs="Arial"/>
        </w:rPr>
        <w:tab/>
      </w:r>
      <w:r w:rsidR="0047030A" w:rsidRPr="00375FD4">
        <w:rPr>
          <w:rFonts w:ascii="Arial" w:hAnsi="Arial" w:cs="Arial"/>
          <w:b/>
        </w:rPr>
        <w:t>Deferred Asset</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 xml:space="preserve">The deferred asset represents the net value of the premium </w:t>
      </w:r>
      <w:r w:rsidR="00586525">
        <w:rPr>
          <w:rFonts w:ascii="Arial" w:hAnsi="Arial" w:cs="Arial"/>
        </w:rPr>
        <w:t>paid/discounts received by the C</w:t>
      </w:r>
      <w:r w:rsidRPr="00375FD4">
        <w:rPr>
          <w:rFonts w:ascii="Arial" w:hAnsi="Arial" w:cs="Arial"/>
        </w:rPr>
        <w:t>ouncil on the early repayment of external long term loans.</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8</w:t>
      </w:r>
      <w:r w:rsidR="0047030A" w:rsidRPr="00375FD4">
        <w:rPr>
          <w:rFonts w:ascii="Arial" w:hAnsi="Arial" w:cs="Arial"/>
          <w:b/>
        </w:rPr>
        <w:t>.</w:t>
      </w:r>
      <w:r w:rsidR="0047030A" w:rsidRPr="00375FD4">
        <w:rPr>
          <w:rFonts w:ascii="Arial" w:hAnsi="Arial" w:cs="Arial"/>
        </w:rPr>
        <w:tab/>
      </w:r>
      <w:r w:rsidR="00D556D8">
        <w:rPr>
          <w:rFonts w:ascii="Arial" w:hAnsi="Arial" w:cs="Arial"/>
        </w:rPr>
        <w:tab/>
      </w:r>
      <w:r w:rsidR="0047030A" w:rsidRPr="00375FD4">
        <w:rPr>
          <w:rFonts w:ascii="Arial" w:hAnsi="Arial" w:cs="Arial"/>
          <w:b/>
        </w:rPr>
        <w:t>Useable Capital Receipts Reserve</w:t>
      </w:r>
    </w:p>
    <w:p w:rsidR="0047030A" w:rsidRPr="0047030A"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The Useable Capital Receipts Reserve represents the capital receipts available to finance capital expenditure in future years, after setting aside the statutory amounts for the repayment of external loans.</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9</w:t>
      </w:r>
      <w:r w:rsidR="0047030A" w:rsidRPr="00375FD4">
        <w:rPr>
          <w:rFonts w:ascii="Arial" w:hAnsi="Arial" w:cs="Arial"/>
          <w:b/>
        </w:rPr>
        <w:t>.</w:t>
      </w:r>
      <w:r>
        <w:rPr>
          <w:rFonts w:ascii="Arial" w:hAnsi="Arial" w:cs="Arial"/>
          <w:b/>
        </w:rPr>
        <w:tab/>
      </w:r>
      <w:r w:rsidR="0047030A" w:rsidRPr="00375FD4">
        <w:rPr>
          <w:rFonts w:ascii="Arial" w:hAnsi="Arial" w:cs="Arial"/>
        </w:rPr>
        <w:tab/>
      </w:r>
      <w:r w:rsidR="0047030A" w:rsidRPr="00375FD4">
        <w:rPr>
          <w:rFonts w:ascii="Arial" w:hAnsi="Arial" w:cs="Arial"/>
          <w:b/>
        </w:rPr>
        <w:t>Pension Interest Cost</w:t>
      </w:r>
    </w:p>
    <w:p w:rsidR="0047030A" w:rsidRPr="0047030A"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The expected increase during the period in the present value of the scheme liabilities because the benefits ar</w:t>
      </w:r>
      <w:r>
        <w:rPr>
          <w:rFonts w:ascii="Arial" w:hAnsi="Arial" w:cs="Arial"/>
        </w:rPr>
        <w:t>e one year closer to settlement</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b/>
        </w:rPr>
      </w:pPr>
      <w:r>
        <w:rPr>
          <w:rFonts w:ascii="Arial" w:hAnsi="Arial" w:cs="Arial"/>
          <w:b/>
        </w:rPr>
        <w:t>10</w:t>
      </w:r>
      <w:r w:rsidR="0047030A" w:rsidRPr="00375FD4">
        <w:rPr>
          <w:rFonts w:ascii="Arial" w:hAnsi="Arial" w:cs="Arial"/>
          <w:b/>
        </w:rPr>
        <w:t>.</w:t>
      </w:r>
      <w:r w:rsidR="0047030A" w:rsidRPr="00375FD4">
        <w:rPr>
          <w:rFonts w:ascii="Arial" w:hAnsi="Arial" w:cs="Arial"/>
        </w:rPr>
        <w:tab/>
      </w:r>
      <w:r w:rsidR="0047030A" w:rsidRPr="00375FD4">
        <w:rPr>
          <w:rFonts w:ascii="Arial" w:hAnsi="Arial" w:cs="Arial"/>
          <w:b/>
        </w:rPr>
        <w:t>Expected Return of Pension Assets</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ab/>
      </w:r>
      <w:r w:rsidRPr="00375FD4">
        <w:rPr>
          <w:rFonts w:ascii="Arial" w:hAnsi="Arial" w:cs="Arial"/>
          <w:b/>
        </w:rPr>
        <w:tab/>
      </w:r>
      <w:r w:rsidRPr="00375FD4">
        <w:rPr>
          <w:rFonts w:ascii="Arial" w:hAnsi="Arial" w:cs="Arial"/>
        </w:rPr>
        <w:t>The average rate of return expected over the remaining life of the related obligation on the actual assets held.</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11</w:t>
      </w:r>
      <w:r w:rsidR="0047030A" w:rsidRPr="00375FD4">
        <w:rPr>
          <w:rFonts w:ascii="Arial" w:hAnsi="Arial" w:cs="Arial"/>
          <w:b/>
        </w:rPr>
        <w:t>.</w:t>
      </w:r>
      <w:r w:rsidR="0047030A" w:rsidRPr="00375FD4">
        <w:rPr>
          <w:rFonts w:ascii="Arial" w:hAnsi="Arial" w:cs="Arial"/>
        </w:rPr>
        <w:tab/>
      </w:r>
      <w:r w:rsidR="0047030A" w:rsidRPr="00375FD4">
        <w:rPr>
          <w:rFonts w:ascii="Arial" w:hAnsi="Arial" w:cs="Arial"/>
          <w:b/>
        </w:rPr>
        <w:t>CIPFA</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Chartered Institute of Public Finance and Accountancy</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1</w:t>
      </w:r>
      <w:r w:rsidR="00A27C20">
        <w:rPr>
          <w:rFonts w:ascii="Arial" w:hAnsi="Arial" w:cs="Arial"/>
          <w:b/>
        </w:rPr>
        <w:t>2</w:t>
      </w:r>
      <w:r w:rsidRPr="00375FD4">
        <w:rPr>
          <w:rFonts w:ascii="Arial" w:hAnsi="Arial" w:cs="Arial"/>
          <w:b/>
        </w:rPr>
        <w:t>.</w:t>
      </w:r>
      <w:r w:rsidRPr="00375FD4">
        <w:rPr>
          <w:rFonts w:ascii="Arial" w:hAnsi="Arial" w:cs="Arial"/>
        </w:rPr>
        <w:tab/>
      </w:r>
      <w:r w:rsidRPr="00375FD4">
        <w:rPr>
          <w:rFonts w:ascii="Arial" w:hAnsi="Arial" w:cs="Arial"/>
          <w:b/>
        </w:rPr>
        <w:t>LASAAC</w:t>
      </w:r>
    </w:p>
    <w:p w:rsidR="0047030A" w:rsidRPr="00375FD4" w:rsidRDefault="0047030A" w:rsidP="0063454E">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 xml:space="preserve">Local </w:t>
      </w:r>
      <w:r>
        <w:rPr>
          <w:rFonts w:ascii="Arial" w:hAnsi="Arial" w:cs="Arial"/>
        </w:rPr>
        <w:t>Council</w:t>
      </w:r>
      <w:r w:rsidRPr="00375FD4">
        <w:rPr>
          <w:rFonts w:ascii="Arial" w:hAnsi="Arial" w:cs="Arial"/>
        </w:rPr>
        <w:t xml:space="preserve"> (Scotland) Accounts Advisory Committee</w:t>
      </w:r>
    </w:p>
    <w:p w:rsidR="0047030A" w:rsidRPr="00375FD4" w:rsidRDefault="00A27C20" w:rsidP="0063454E">
      <w:pPr>
        <w:tabs>
          <w:tab w:val="left" w:pos="-567"/>
          <w:tab w:val="left" w:pos="567"/>
          <w:tab w:val="left" w:pos="1134"/>
          <w:tab w:val="right" w:pos="5812"/>
          <w:tab w:val="right" w:pos="7797"/>
        </w:tabs>
        <w:spacing w:before="0" w:after="0"/>
        <w:ind w:left="900" w:hanging="540"/>
        <w:rPr>
          <w:rFonts w:ascii="Arial" w:hAnsi="Arial" w:cs="Arial"/>
        </w:rPr>
      </w:pPr>
      <w:r>
        <w:rPr>
          <w:rFonts w:ascii="Arial" w:hAnsi="Arial" w:cs="Arial"/>
          <w:b/>
        </w:rPr>
        <w:t>13</w:t>
      </w:r>
      <w:r w:rsidR="0047030A" w:rsidRPr="00375FD4">
        <w:rPr>
          <w:rFonts w:ascii="Arial" w:hAnsi="Arial" w:cs="Arial"/>
          <w:b/>
        </w:rPr>
        <w:t>.</w:t>
      </w:r>
      <w:r w:rsidR="0047030A" w:rsidRPr="00375FD4">
        <w:rPr>
          <w:rFonts w:ascii="Arial" w:hAnsi="Arial" w:cs="Arial"/>
        </w:rPr>
        <w:tab/>
      </w:r>
      <w:r w:rsidR="0047030A" w:rsidRPr="00375FD4">
        <w:rPr>
          <w:rFonts w:ascii="Arial" w:hAnsi="Arial" w:cs="Arial"/>
          <w:b/>
        </w:rPr>
        <w:t>Budget</w:t>
      </w:r>
    </w:p>
    <w:p w:rsidR="00D556D8" w:rsidRPr="00A27C20" w:rsidRDefault="0047030A" w:rsidP="00A27C20">
      <w:pPr>
        <w:tabs>
          <w:tab w:val="left" w:pos="-567"/>
          <w:tab w:val="left" w:pos="567"/>
          <w:tab w:val="left" w:pos="1134"/>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 xml:space="preserve">The original revenue budget as set by Members at </w:t>
      </w:r>
      <w:r w:rsidR="00C624D9">
        <w:rPr>
          <w:rFonts w:ascii="Arial" w:hAnsi="Arial" w:cs="Arial"/>
        </w:rPr>
        <w:t xml:space="preserve">an </w:t>
      </w:r>
      <w:r w:rsidR="00586525">
        <w:rPr>
          <w:rFonts w:ascii="Arial" w:hAnsi="Arial" w:cs="Arial"/>
        </w:rPr>
        <w:t>appropriate C</w:t>
      </w:r>
      <w:r w:rsidR="00A27C20">
        <w:rPr>
          <w:rFonts w:ascii="Arial" w:hAnsi="Arial" w:cs="Arial"/>
        </w:rPr>
        <w:t>ouncil meeting.</w:t>
      </w:r>
    </w:p>
    <w:p w:rsidR="00A27C20" w:rsidRPr="00375FD4" w:rsidRDefault="00A27C20" w:rsidP="00A27C20">
      <w:pPr>
        <w:tabs>
          <w:tab w:val="left" w:pos="-567"/>
          <w:tab w:val="left" w:pos="1134"/>
          <w:tab w:val="right" w:pos="5812"/>
          <w:tab w:val="right" w:pos="7797"/>
        </w:tabs>
        <w:spacing w:before="0" w:after="0"/>
        <w:ind w:left="900" w:hanging="540"/>
        <w:jc w:val="both"/>
        <w:rPr>
          <w:rFonts w:ascii="Arial" w:hAnsi="Arial" w:cs="Arial"/>
          <w:b/>
        </w:rPr>
      </w:pPr>
      <w:r>
        <w:rPr>
          <w:rFonts w:ascii="Arial" w:hAnsi="Arial" w:cs="Arial"/>
          <w:b/>
        </w:rPr>
        <w:t>14</w:t>
      </w:r>
      <w:r w:rsidRPr="00375FD4">
        <w:rPr>
          <w:rFonts w:ascii="Arial" w:hAnsi="Arial" w:cs="Arial"/>
          <w:b/>
        </w:rPr>
        <w:t>.</w:t>
      </w:r>
      <w:r w:rsidRPr="00375FD4">
        <w:rPr>
          <w:rFonts w:ascii="Arial" w:hAnsi="Arial" w:cs="Arial"/>
          <w:b/>
          <w:bCs/>
        </w:rPr>
        <w:tab/>
        <w:t>Intangible Assets</w:t>
      </w:r>
    </w:p>
    <w:p w:rsidR="00A27C20" w:rsidRPr="0047030A" w:rsidRDefault="00A27C20" w:rsidP="00A27C20">
      <w:pPr>
        <w:tabs>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ab/>
      </w:r>
      <w:r w:rsidRPr="00375FD4">
        <w:rPr>
          <w:rFonts w:ascii="Arial" w:hAnsi="Arial" w:cs="Arial"/>
        </w:rPr>
        <w:t>Expenditure on assets such as software licences that do not have physical substance but are iden</w:t>
      </w:r>
      <w:r w:rsidR="00586525">
        <w:rPr>
          <w:rFonts w:ascii="Arial" w:hAnsi="Arial" w:cs="Arial"/>
        </w:rPr>
        <w:t>tifiable and controlled by the C</w:t>
      </w:r>
      <w:r w:rsidRPr="00375FD4">
        <w:rPr>
          <w:rFonts w:ascii="Arial" w:hAnsi="Arial" w:cs="Arial"/>
        </w:rPr>
        <w:t>ouncil.</w:t>
      </w:r>
    </w:p>
    <w:p w:rsidR="00A27C20" w:rsidRPr="00375FD4" w:rsidRDefault="00A27C20" w:rsidP="00A27C20">
      <w:pPr>
        <w:tabs>
          <w:tab w:val="left" w:pos="-567"/>
          <w:tab w:val="right" w:pos="5812"/>
          <w:tab w:val="right" w:pos="7797"/>
        </w:tabs>
        <w:spacing w:before="0" w:after="0"/>
        <w:ind w:left="900" w:hanging="540"/>
        <w:rPr>
          <w:rFonts w:ascii="Arial" w:hAnsi="Arial" w:cs="Arial"/>
          <w:bCs/>
        </w:rPr>
      </w:pPr>
      <w:r>
        <w:rPr>
          <w:rFonts w:ascii="Arial" w:hAnsi="Arial" w:cs="Arial"/>
          <w:b/>
          <w:bCs/>
        </w:rPr>
        <w:t>15</w:t>
      </w:r>
      <w:r w:rsidRPr="00375FD4">
        <w:rPr>
          <w:rFonts w:ascii="Arial" w:hAnsi="Arial" w:cs="Arial"/>
          <w:b/>
          <w:bCs/>
        </w:rPr>
        <w:t>.</w:t>
      </w:r>
      <w:r w:rsidRPr="00375FD4">
        <w:rPr>
          <w:rFonts w:ascii="Arial" w:hAnsi="Arial" w:cs="Arial"/>
          <w:b/>
          <w:bCs/>
        </w:rPr>
        <w:tab/>
        <w:t>Revaluation Reserve</w:t>
      </w:r>
    </w:p>
    <w:p w:rsidR="00A977E1" w:rsidRDefault="00A27C20" w:rsidP="00273FE9">
      <w:pPr>
        <w:tabs>
          <w:tab w:val="left" w:pos="-567"/>
          <w:tab w:val="left" w:pos="1134"/>
          <w:tab w:val="right" w:pos="5812"/>
          <w:tab w:val="right" w:pos="7797"/>
        </w:tabs>
        <w:spacing w:before="0" w:after="0"/>
        <w:ind w:left="900" w:hanging="540"/>
        <w:rPr>
          <w:rFonts w:ascii="Arial" w:hAnsi="Arial" w:cs="Arial"/>
          <w:b/>
        </w:rPr>
      </w:pPr>
      <w:r w:rsidRPr="00375FD4">
        <w:rPr>
          <w:rFonts w:ascii="Arial" w:hAnsi="Arial" w:cs="Arial"/>
          <w:bCs/>
        </w:rPr>
        <w:tab/>
        <w:t>This fund is a store of gains on the revaluations of fixed assets.   It is a reserve held for technical accounting purposes and is not available for distribution.</w:t>
      </w:r>
    </w:p>
    <w:p w:rsidR="00A977E1" w:rsidRDefault="00A977E1" w:rsidP="00522D7C">
      <w:pPr>
        <w:tabs>
          <w:tab w:val="left" w:pos="-567"/>
          <w:tab w:val="left" w:pos="1134"/>
          <w:tab w:val="right" w:pos="5812"/>
          <w:tab w:val="right" w:pos="7797"/>
        </w:tabs>
        <w:spacing w:before="0" w:after="0"/>
        <w:ind w:left="900" w:hanging="540"/>
        <w:jc w:val="both"/>
        <w:rPr>
          <w:rFonts w:ascii="Arial" w:hAnsi="Arial" w:cs="Arial"/>
          <w:b/>
        </w:rPr>
      </w:pPr>
    </w:p>
    <w:p w:rsidR="00A977E1" w:rsidRDefault="00A977E1" w:rsidP="00522D7C">
      <w:pPr>
        <w:tabs>
          <w:tab w:val="left" w:pos="-567"/>
          <w:tab w:val="left" w:pos="1134"/>
          <w:tab w:val="right" w:pos="5812"/>
          <w:tab w:val="right" w:pos="7797"/>
        </w:tabs>
        <w:spacing w:before="0" w:after="0"/>
        <w:ind w:left="900" w:hanging="540"/>
        <w:jc w:val="both"/>
        <w:rPr>
          <w:rFonts w:ascii="Arial" w:hAnsi="Arial" w:cs="Arial"/>
          <w:b/>
        </w:rPr>
      </w:pPr>
    </w:p>
    <w:p w:rsidR="00D556D8" w:rsidRPr="000A3446" w:rsidRDefault="00D556D8" w:rsidP="00522D7C">
      <w:pPr>
        <w:spacing w:before="0" w:after="0"/>
        <w:jc w:val="both"/>
        <w:rPr>
          <w:rFonts w:ascii="Arial" w:hAnsi="Arial" w:cs="Arial"/>
          <w:b/>
          <w:sz w:val="24"/>
          <w:szCs w:val="24"/>
        </w:rPr>
      </w:pPr>
      <w:r w:rsidRPr="000A3446">
        <w:rPr>
          <w:rFonts w:ascii="Arial" w:hAnsi="Arial" w:cs="Arial"/>
          <w:b/>
          <w:sz w:val="24"/>
          <w:szCs w:val="24"/>
        </w:rPr>
        <w:lastRenderedPageBreak/>
        <w:t>Glossary of Terms</w:t>
      </w:r>
      <w:r>
        <w:rPr>
          <w:rFonts w:ascii="Arial" w:hAnsi="Arial" w:cs="Arial"/>
          <w:b/>
          <w:sz w:val="24"/>
          <w:szCs w:val="24"/>
        </w:rPr>
        <w:t xml:space="preserve"> (Cont’d)</w:t>
      </w:r>
    </w:p>
    <w:p w:rsidR="0047030A" w:rsidRPr="0047030A" w:rsidRDefault="0047030A" w:rsidP="00A27C20">
      <w:pPr>
        <w:tabs>
          <w:tab w:val="left" w:pos="-567"/>
          <w:tab w:val="right" w:pos="5812"/>
          <w:tab w:val="right" w:pos="7797"/>
        </w:tabs>
        <w:spacing w:before="0" w:after="0"/>
        <w:rPr>
          <w:rFonts w:ascii="Arial" w:hAnsi="Arial" w:cs="Arial"/>
          <w:bCs/>
        </w:rPr>
      </w:pPr>
    </w:p>
    <w:p w:rsidR="0047030A" w:rsidRPr="00375FD4" w:rsidRDefault="00A27C20" w:rsidP="0063454E">
      <w:pPr>
        <w:tabs>
          <w:tab w:val="left" w:pos="-567"/>
          <w:tab w:val="right" w:pos="5812"/>
          <w:tab w:val="right" w:pos="7797"/>
        </w:tabs>
        <w:spacing w:before="0" w:after="0"/>
        <w:ind w:left="900" w:hanging="540"/>
        <w:rPr>
          <w:rFonts w:ascii="Arial" w:hAnsi="Arial" w:cs="Arial"/>
          <w:bCs/>
        </w:rPr>
      </w:pPr>
      <w:r>
        <w:rPr>
          <w:rFonts w:ascii="Arial" w:hAnsi="Arial" w:cs="Arial"/>
          <w:b/>
          <w:bCs/>
        </w:rPr>
        <w:t>16</w:t>
      </w:r>
      <w:r w:rsidR="0047030A" w:rsidRPr="00375FD4">
        <w:rPr>
          <w:rFonts w:ascii="Arial" w:hAnsi="Arial" w:cs="Arial"/>
          <w:b/>
          <w:bCs/>
        </w:rPr>
        <w:t>.</w:t>
      </w:r>
      <w:r w:rsidR="0047030A" w:rsidRPr="00375FD4">
        <w:rPr>
          <w:rFonts w:ascii="Arial" w:hAnsi="Arial" w:cs="Arial"/>
          <w:b/>
          <w:bCs/>
        </w:rPr>
        <w:tab/>
        <w:t>Capital Adjustment Account</w:t>
      </w:r>
      <w:r w:rsidR="00273FE9">
        <w:rPr>
          <w:rFonts w:ascii="Arial" w:hAnsi="Arial" w:cs="Arial"/>
          <w:b/>
          <w:bCs/>
        </w:rPr>
        <w:t xml:space="preserve"> (CAA)</w:t>
      </w:r>
    </w:p>
    <w:p w:rsidR="0047030A" w:rsidRPr="0047030A" w:rsidRDefault="0047030A" w:rsidP="0063454E">
      <w:pPr>
        <w:tabs>
          <w:tab w:val="left" w:pos="-567"/>
          <w:tab w:val="right" w:pos="5812"/>
          <w:tab w:val="right" w:pos="7797"/>
        </w:tabs>
        <w:spacing w:before="0" w:after="0"/>
        <w:ind w:left="900" w:hanging="540"/>
        <w:rPr>
          <w:rFonts w:ascii="Arial" w:hAnsi="Arial" w:cs="Arial"/>
          <w:bCs/>
        </w:rPr>
      </w:pPr>
      <w:r w:rsidRPr="00375FD4">
        <w:rPr>
          <w:rFonts w:ascii="Arial" w:hAnsi="Arial" w:cs="Arial"/>
          <w:bCs/>
        </w:rPr>
        <w:tab/>
        <w:t>This fund is a store of capital resources set aside to meet past expenditure.  It is an account held for technical accounting purposes and is not available for distribution.</w:t>
      </w:r>
    </w:p>
    <w:p w:rsidR="0047030A" w:rsidRPr="00375FD4" w:rsidRDefault="00A27C20" w:rsidP="0063454E">
      <w:pPr>
        <w:tabs>
          <w:tab w:val="left" w:pos="-567"/>
          <w:tab w:val="right" w:pos="5812"/>
          <w:tab w:val="right" w:pos="7797"/>
        </w:tabs>
        <w:spacing w:before="0" w:after="0"/>
        <w:ind w:left="900" w:hanging="540"/>
        <w:rPr>
          <w:rFonts w:ascii="Arial" w:hAnsi="Arial" w:cs="Arial"/>
          <w:bCs/>
        </w:rPr>
      </w:pPr>
      <w:r>
        <w:rPr>
          <w:rFonts w:ascii="Arial" w:hAnsi="Arial" w:cs="Arial"/>
          <w:b/>
          <w:bCs/>
        </w:rPr>
        <w:t>17</w:t>
      </w:r>
      <w:r w:rsidR="0047030A" w:rsidRPr="00375FD4">
        <w:rPr>
          <w:rFonts w:ascii="Arial" w:hAnsi="Arial" w:cs="Arial"/>
          <w:b/>
          <w:bCs/>
        </w:rPr>
        <w:t>.</w:t>
      </w:r>
      <w:r w:rsidR="0047030A" w:rsidRPr="00375FD4">
        <w:rPr>
          <w:rFonts w:ascii="Arial" w:hAnsi="Arial" w:cs="Arial"/>
          <w:b/>
          <w:bCs/>
        </w:rPr>
        <w:tab/>
        <w:t>Financial Instrument Adjustment Account</w:t>
      </w:r>
      <w:r w:rsidR="00273FE9">
        <w:rPr>
          <w:rFonts w:ascii="Arial" w:hAnsi="Arial" w:cs="Arial"/>
          <w:b/>
          <w:bCs/>
        </w:rPr>
        <w:t xml:space="preserve"> (FIAA)</w:t>
      </w:r>
    </w:p>
    <w:p w:rsidR="0047030A" w:rsidRPr="0047030A" w:rsidRDefault="0047030A" w:rsidP="0063454E">
      <w:pPr>
        <w:tabs>
          <w:tab w:val="left" w:pos="-567"/>
          <w:tab w:val="right" w:pos="5812"/>
          <w:tab w:val="right" w:pos="7797"/>
        </w:tabs>
        <w:spacing w:before="0" w:after="0"/>
        <w:ind w:left="900" w:hanging="540"/>
        <w:rPr>
          <w:rFonts w:ascii="Arial" w:hAnsi="Arial" w:cs="Arial"/>
          <w:bCs/>
        </w:rPr>
      </w:pPr>
      <w:r w:rsidRPr="00375FD4">
        <w:rPr>
          <w:rFonts w:ascii="Arial" w:hAnsi="Arial" w:cs="Arial"/>
          <w:bCs/>
        </w:rPr>
        <w:tab/>
        <w:t>This account is used to balance for differences in statutory requirements and proper accounting practices for borrowing and lending.  It is an account held for technical accounting purposes and is not available for distribution.</w:t>
      </w:r>
    </w:p>
    <w:p w:rsidR="0047030A" w:rsidRPr="00375FD4" w:rsidRDefault="00A27C20" w:rsidP="0063454E">
      <w:pPr>
        <w:tabs>
          <w:tab w:val="left" w:pos="-567"/>
          <w:tab w:val="right" w:pos="5812"/>
          <w:tab w:val="right" w:pos="7797"/>
        </w:tabs>
        <w:spacing w:before="0" w:after="0"/>
        <w:ind w:left="900" w:hanging="540"/>
        <w:rPr>
          <w:rFonts w:ascii="Arial" w:hAnsi="Arial" w:cs="Arial"/>
          <w:b/>
        </w:rPr>
      </w:pPr>
      <w:r>
        <w:rPr>
          <w:rFonts w:ascii="Arial" w:hAnsi="Arial" w:cs="Arial"/>
          <w:b/>
          <w:bCs/>
        </w:rPr>
        <w:t>18</w:t>
      </w:r>
      <w:r w:rsidR="0047030A" w:rsidRPr="00375FD4">
        <w:rPr>
          <w:rFonts w:ascii="Arial" w:hAnsi="Arial" w:cs="Arial"/>
          <w:b/>
          <w:bCs/>
        </w:rPr>
        <w:t xml:space="preserve">.  </w:t>
      </w:r>
      <w:r w:rsidR="0047030A" w:rsidRPr="00375FD4">
        <w:rPr>
          <w:rFonts w:ascii="Arial" w:hAnsi="Arial" w:cs="Arial"/>
          <w:b/>
          <w:bCs/>
        </w:rPr>
        <w:tab/>
        <w:t>Associate Body</w:t>
      </w:r>
    </w:p>
    <w:p w:rsidR="0047030A" w:rsidRPr="00375FD4" w:rsidRDefault="0047030A" w:rsidP="0063454E">
      <w:pPr>
        <w:tabs>
          <w:tab w:val="left" w:pos="-567"/>
          <w:tab w:val="left" w:pos="1134"/>
          <w:tab w:val="right" w:pos="5812"/>
          <w:tab w:val="right" w:pos="7797"/>
        </w:tabs>
        <w:spacing w:before="0" w:after="0"/>
        <w:ind w:left="900" w:hanging="540"/>
        <w:rPr>
          <w:rFonts w:ascii="Arial" w:hAnsi="Arial" w:cs="Arial"/>
        </w:rPr>
      </w:pPr>
      <w:r w:rsidRPr="00375FD4">
        <w:rPr>
          <w:rFonts w:ascii="Arial" w:hAnsi="Arial" w:cs="Arial"/>
          <w:b/>
        </w:rPr>
        <w:tab/>
      </w:r>
      <w:r w:rsidRPr="00375FD4">
        <w:rPr>
          <w:rFonts w:ascii="Arial" w:hAnsi="Arial" w:cs="Arial"/>
        </w:rPr>
        <w:t>An entity other than a subsidiary o</w:t>
      </w:r>
      <w:r w:rsidR="002E7DAC">
        <w:rPr>
          <w:rFonts w:ascii="Arial" w:hAnsi="Arial" w:cs="Arial"/>
        </w:rPr>
        <w:t>r a joint venture in which the c</w:t>
      </w:r>
      <w:r w:rsidRPr="00375FD4">
        <w:rPr>
          <w:rFonts w:ascii="Arial" w:hAnsi="Arial" w:cs="Arial"/>
        </w:rPr>
        <w:t>ouncil has an interest and over who’s operat</w:t>
      </w:r>
      <w:r w:rsidR="002E7DAC">
        <w:rPr>
          <w:rFonts w:ascii="Arial" w:hAnsi="Arial" w:cs="Arial"/>
        </w:rPr>
        <w:t>ing and financial policies the c</w:t>
      </w:r>
      <w:r w:rsidRPr="00375FD4">
        <w:rPr>
          <w:rFonts w:ascii="Arial" w:hAnsi="Arial" w:cs="Arial"/>
        </w:rPr>
        <w:t>ouncil is able to exercise significant influence.</w:t>
      </w:r>
    </w:p>
    <w:p w:rsidR="0047030A" w:rsidRPr="00375FD4" w:rsidRDefault="00A27C20" w:rsidP="0063454E">
      <w:pPr>
        <w:tabs>
          <w:tab w:val="left" w:pos="-567"/>
          <w:tab w:val="left" w:pos="1134"/>
          <w:tab w:val="right" w:pos="5812"/>
          <w:tab w:val="right" w:pos="7797"/>
        </w:tabs>
        <w:spacing w:before="0" w:after="0"/>
        <w:ind w:left="900" w:hanging="540"/>
        <w:rPr>
          <w:rFonts w:ascii="Arial" w:hAnsi="Arial" w:cs="Arial"/>
        </w:rPr>
      </w:pPr>
      <w:r>
        <w:rPr>
          <w:rFonts w:ascii="Arial" w:hAnsi="Arial" w:cs="Arial"/>
          <w:b/>
        </w:rPr>
        <w:t>19</w:t>
      </w:r>
      <w:r w:rsidR="0047030A" w:rsidRPr="00375FD4">
        <w:rPr>
          <w:rFonts w:ascii="Arial" w:hAnsi="Arial" w:cs="Arial"/>
          <w:b/>
        </w:rPr>
        <w:t>.</w:t>
      </w:r>
      <w:r w:rsidR="0047030A" w:rsidRPr="00375FD4">
        <w:rPr>
          <w:rFonts w:ascii="Arial" w:hAnsi="Arial" w:cs="Arial"/>
          <w:b/>
        </w:rPr>
        <w:tab/>
        <w:t>Entity</w:t>
      </w:r>
    </w:p>
    <w:p w:rsidR="0047030A" w:rsidRPr="00375FD4" w:rsidRDefault="0047030A" w:rsidP="0063454E">
      <w:pPr>
        <w:tabs>
          <w:tab w:val="left" w:pos="-567"/>
          <w:tab w:val="left" w:pos="450"/>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A body that is delivering a service or carrying on a business.  It should have a separate legal personality and is legally obliged to prepare its own financial statements.</w:t>
      </w:r>
    </w:p>
    <w:p w:rsidR="0047030A" w:rsidRPr="00375FD4" w:rsidRDefault="00A27C20" w:rsidP="0063454E">
      <w:pPr>
        <w:tabs>
          <w:tab w:val="left" w:pos="-567"/>
          <w:tab w:val="left" w:pos="450"/>
          <w:tab w:val="right" w:pos="5812"/>
          <w:tab w:val="right" w:pos="7797"/>
        </w:tabs>
        <w:spacing w:before="0" w:after="0"/>
        <w:ind w:left="900" w:hanging="540"/>
        <w:rPr>
          <w:rFonts w:ascii="Arial" w:hAnsi="Arial" w:cs="Arial"/>
        </w:rPr>
      </w:pPr>
      <w:r>
        <w:rPr>
          <w:rFonts w:ascii="Arial" w:hAnsi="Arial" w:cs="Arial"/>
          <w:b/>
        </w:rPr>
        <w:t>20</w:t>
      </w:r>
      <w:r w:rsidR="0047030A" w:rsidRPr="00375FD4">
        <w:rPr>
          <w:rFonts w:ascii="Arial" w:hAnsi="Arial" w:cs="Arial"/>
          <w:b/>
        </w:rPr>
        <w:t>.</w:t>
      </w:r>
      <w:r w:rsidR="0047030A" w:rsidRPr="00375FD4">
        <w:rPr>
          <w:rFonts w:ascii="Arial" w:hAnsi="Arial" w:cs="Arial"/>
          <w:b/>
        </w:rPr>
        <w:tab/>
        <w:t>Statutory Additions</w:t>
      </w:r>
    </w:p>
    <w:p w:rsidR="0047030A" w:rsidRPr="00375FD4" w:rsidRDefault="0047030A" w:rsidP="0063454E">
      <w:pPr>
        <w:tabs>
          <w:tab w:val="left" w:pos="-567"/>
          <w:tab w:val="left" w:pos="450"/>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Additional charges levied for late payment of council tax and non domestic rates.</w:t>
      </w:r>
    </w:p>
    <w:p w:rsidR="0047030A" w:rsidRPr="00375FD4" w:rsidRDefault="00A27C20" w:rsidP="0063454E">
      <w:pPr>
        <w:tabs>
          <w:tab w:val="left" w:pos="-567"/>
          <w:tab w:val="left" w:pos="450"/>
          <w:tab w:val="right" w:pos="5812"/>
          <w:tab w:val="right" w:pos="7797"/>
        </w:tabs>
        <w:spacing w:before="0" w:after="0"/>
        <w:ind w:left="900" w:hanging="540"/>
        <w:rPr>
          <w:rFonts w:ascii="Arial" w:hAnsi="Arial" w:cs="Arial"/>
        </w:rPr>
      </w:pPr>
      <w:r>
        <w:rPr>
          <w:rFonts w:ascii="Arial" w:hAnsi="Arial" w:cs="Arial"/>
          <w:b/>
        </w:rPr>
        <w:t>21</w:t>
      </w:r>
      <w:r w:rsidR="0047030A" w:rsidRPr="00375FD4">
        <w:rPr>
          <w:rFonts w:ascii="Arial" w:hAnsi="Arial" w:cs="Arial"/>
          <w:b/>
        </w:rPr>
        <w:t>.</w:t>
      </w:r>
      <w:r w:rsidR="0047030A" w:rsidRPr="00375FD4">
        <w:rPr>
          <w:rFonts w:ascii="Arial" w:hAnsi="Arial" w:cs="Arial"/>
          <w:b/>
        </w:rPr>
        <w:tab/>
        <w:t>Capital Items Replacement Fund</w:t>
      </w:r>
    </w:p>
    <w:p w:rsidR="0047030A" w:rsidRPr="0047030A" w:rsidRDefault="0047030A" w:rsidP="0063454E">
      <w:pPr>
        <w:tabs>
          <w:tab w:val="left" w:pos="-567"/>
          <w:tab w:val="left" w:pos="450"/>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Reserve earmarked for spe</w:t>
      </w:r>
      <w:r>
        <w:rPr>
          <w:rFonts w:ascii="Arial" w:hAnsi="Arial" w:cs="Arial"/>
        </w:rPr>
        <w:t>cific purposes within Education</w:t>
      </w:r>
    </w:p>
    <w:p w:rsidR="0047030A" w:rsidRPr="00375FD4" w:rsidRDefault="00A27C20" w:rsidP="0063454E">
      <w:pPr>
        <w:tabs>
          <w:tab w:val="left" w:pos="-567"/>
          <w:tab w:val="left" w:pos="450"/>
          <w:tab w:val="right" w:pos="5812"/>
          <w:tab w:val="right" w:pos="7797"/>
        </w:tabs>
        <w:spacing w:before="0" w:after="0"/>
        <w:ind w:left="900" w:hanging="540"/>
        <w:rPr>
          <w:rFonts w:ascii="Arial" w:hAnsi="Arial" w:cs="Arial"/>
        </w:rPr>
      </w:pPr>
      <w:r>
        <w:rPr>
          <w:rFonts w:ascii="Arial" w:hAnsi="Arial" w:cs="Arial"/>
          <w:b/>
        </w:rPr>
        <w:t>22</w:t>
      </w:r>
      <w:r w:rsidR="0047030A" w:rsidRPr="00375FD4">
        <w:rPr>
          <w:rFonts w:ascii="Arial" w:hAnsi="Arial" w:cs="Arial"/>
          <w:b/>
        </w:rPr>
        <w:t>.</w:t>
      </w:r>
      <w:r w:rsidR="0047030A" w:rsidRPr="00375FD4">
        <w:rPr>
          <w:rFonts w:ascii="Arial" w:hAnsi="Arial" w:cs="Arial"/>
          <w:b/>
        </w:rPr>
        <w:tab/>
        <w:t>Available for Sale Reserve</w:t>
      </w:r>
    </w:p>
    <w:p w:rsidR="0047030A" w:rsidRPr="0047030A" w:rsidRDefault="0047030A" w:rsidP="0063454E">
      <w:pPr>
        <w:tabs>
          <w:tab w:val="left" w:pos="-567"/>
          <w:tab w:val="left" w:pos="450"/>
          <w:tab w:val="right" w:pos="5812"/>
          <w:tab w:val="right" w:pos="7797"/>
        </w:tabs>
        <w:spacing w:before="0" w:after="0"/>
        <w:ind w:left="900" w:hanging="540"/>
        <w:rPr>
          <w:rFonts w:ascii="Arial" w:hAnsi="Arial" w:cs="Arial"/>
        </w:rPr>
      </w:pPr>
      <w:r w:rsidRPr="00375FD4">
        <w:rPr>
          <w:rFonts w:ascii="Arial" w:hAnsi="Arial" w:cs="Arial"/>
        </w:rPr>
        <w:tab/>
      </w:r>
      <w:r w:rsidRPr="00375FD4">
        <w:rPr>
          <w:rFonts w:ascii="Arial" w:hAnsi="Arial" w:cs="Arial"/>
        </w:rPr>
        <w:tab/>
        <w:t>Assets that have a quoted market price and/or do not have fixed or determinable payments.</w:t>
      </w:r>
    </w:p>
    <w:p w:rsidR="0047030A" w:rsidRPr="00375FD4" w:rsidRDefault="00A27C20" w:rsidP="0063454E">
      <w:pPr>
        <w:tabs>
          <w:tab w:val="left" w:pos="-567"/>
          <w:tab w:val="left" w:pos="450"/>
          <w:tab w:val="right" w:pos="5812"/>
          <w:tab w:val="right" w:pos="7797"/>
        </w:tabs>
        <w:spacing w:before="0" w:after="0"/>
        <w:ind w:left="900" w:hanging="540"/>
        <w:rPr>
          <w:rFonts w:ascii="Arial" w:hAnsi="Arial" w:cs="Arial"/>
        </w:rPr>
      </w:pPr>
      <w:r>
        <w:rPr>
          <w:rFonts w:ascii="Arial" w:hAnsi="Arial" w:cs="Arial"/>
          <w:b/>
        </w:rPr>
        <w:t>23</w:t>
      </w:r>
      <w:r w:rsidR="0047030A" w:rsidRPr="00375FD4">
        <w:rPr>
          <w:rFonts w:ascii="Arial" w:hAnsi="Arial" w:cs="Arial"/>
          <w:b/>
        </w:rPr>
        <w:t>.</w:t>
      </w:r>
      <w:r w:rsidR="0047030A" w:rsidRPr="00375FD4">
        <w:rPr>
          <w:rFonts w:ascii="Arial" w:hAnsi="Arial" w:cs="Arial"/>
          <w:b/>
        </w:rPr>
        <w:tab/>
        <w:t>Current Service Costs (Pension)</w:t>
      </w:r>
    </w:p>
    <w:p w:rsidR="0047030A" w:rsidRPr="0047030A"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rPr>
        <w:tab/>
        <w:t>This relates to the real cost of benefit entitlement earned by employees.</w:t>
      </w:r>
    </w:p>
    <w:p w:rsidR="0047030A" w:rsidRPr="00375FD4" w:rsidRDefault="00A27C20" w:rsidP="0063454E">
      <w:pPr>
        <w:tabs>
          <w:tab w:val="left" w:pos="-567"/>
          <w:tab w:val="right" w:pos="5812"/>
          <w:tab w:val="right" w:pos="7797"/>
        </w:tabs>
        <w:spacing w:before="0" w:after="0"/>
        <w:ind w:left="900" w:hanging="540"/>
        <w:rPr>
          <w:rFonts w:ascii="Arial" w:hAnsi="Arial" w:cs="Arial"/>
        </w:rPr>
      </w:pPr>
      <w:r>
        <w:rPr>
          <w:rFonts w:ascii="Arial" w:hAnsi="Arial" w:cs="Arial"/>
          <w:b/>
        </w:rPr>
        <w:t>24</w:t>
      </w:r>
      <w:r w:rsidR="0047030A" w:rsidRPr="00375FD4">
        <w:rPr>
          <w:rFonts w:ascii="Arial" w:hAnsi="Arial" w:cs="Arial"/>
          <w:b/>
        </w:rPr>
        <w:t>.</w:t>
      </w:r>
      <w:r w:rsidR="0047030A" w:rsidRPr="00375FD4">
        <w:rPr>
          <w:rFonts w:ascii="Arial" w:hAnsi="Arial" w:cs="Arial"/>
          <w:b/>
        </w:rPr>
        <w:tab/>
        <w:t>Past Service Costs/Gains (Pension)</w:t>
      </w:r>
    </w:p>
    <w:p w:rsidR="0047030A" w:rsidRPr="00375FD4"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rPr>
        <w:tab/>
        <w:t>This relates to posts/gains from years prior to the current year and arise from decisions made in year.</w:t>
      </w:r>
      <w:r w:rsidR="00DC0A4C">
        <w:rPr>
          <w:rFonts w:ascii="Arial" w:hAnsi="Arial" w:cs="Arial"/>
        </w:rPr>
        <w:t xml:space="preserve">   T</w:t>
      </w:r>
      <w:r w:rsidRPr="00375FD4">
        <w:rPr>
          <w:rFonts w:ascii="Arial" w:hAnsi="Arial" w:cs="Arial"/>
        </w:rPr>
        <w:t>his relates to the capitalised cost of early retirals on efficiency grounds.</w:t>
      </w:r>
    </w:p>
    <w:p w:rsidR="0047030A" w:rsidRPr="00375FD4" w:rsidRDefault="00A27C20" w:rsidP="0063454E">
      <w:pPr>
        <w:tabs>
          <w:tab w:val="left" w:pos="-567"/>
          <w:tab w:val="right" w:pos="5812"/>
          <w:tab w:val="right" w:pos="7797"/>
        </w:tabs>
        <w:spacing w:before="0" w:after="0"/>
        <w:ind w:left="900" w:hanging="540"/>
        <w:rPr>
          <w:rFonts w:ascii="Arial" w:hAnsi="Arial" w:cs="Arial"/>
        </w:rPr>
      </w:pPr>
      <w:r>
        <w:rPr>
          <w:rFonts w:ascii="Arial" w:hAnsi="Arial" w:cs="Arial"/>
          <w:b/>
        </w:rPr>
        <w:t>25</w:t>
      </w:r>
      <w:r w:rsidR="0047030A" w:rsidRPr="00375FD4">
        <w:rPr>
          <w:rFonts w:ascii="Arial" w:hAnsi="Arial" w:cs="Arial"/>
          <w:b/>
        </w:rPr>
        <w:t>.</w:t>
      </w:r>
      <w:r w:rsidR="0047030A" w:rsidRPr="00375FD4">
        <w:rPr>
          <w:rFonts w:ascii="Arial" w:hAnsi="Arial" w:cs="Arial"/>
          <w:b/>
        </w:rPr>
        <w:tab/>
        <w:t>Curtailments (Pension)</w:t>
      </w:r>
    </w:p>
    <w:p w:rsidR="0047030A" w:rsidRPr="00375FD4"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rPr>
        <w:tab/>
        <w:t xml:space="preserve">Used to reduce the number of expected years of future </w:t>
      </w:r>
      <w:r>
        <w:rPr>
          <w:rFonts w:ascii="Arial" w:hAnsi="Arial" w:cs="Arial"/>
        </w:rPr>
        <w:t>service for employees.   I</w:t>
      </w:r>
      <w:r w:rsidR="00A27D25">
        <w:rPr>
          <w:rFonts w:ascii="Arial" w:hAnsi="Arial" w:cs="Arial"/>
        </w:rPr>
        <w:t>n 2019/20</w:t>
      </w:r>
      <w:r w:rsidRPr="00375FD4">
        <w:rPr>
          <w:rFonts w:ascii="Arial" w:hAnsi="Arial" w:cs="Arial"/>
        </w:rPr>
        <w:t xml:space="preserve"> this relates to the capitalised cost of early retirals on efficiency grounds.</w:t>
      </w:r>
      <w:r w:rsidRPr="00375FD4">
        <w:rPr>
          <w:rFonts w:ascii="Arial" w:hAnsi="Arial" w:cs="Arial"/>
        </w:rPr>
        <w:tab/>
      </w:r>
      <w:r w:rsidRPr="00375FD4">
        <w:rPr>
          <w:rFonts w:ascii="Arial" w:hAnsi="Arial" w:cs="Arial"/>
        </w:rPr>
        <w:tab/>
      </w:r>
      <w:r w:rsidRPr="00375FD4">
        <w:rPr>
          <w:rFonts w:ascii="Arial" w:hAnsi="Arial" w:cs="Arial"/>
        </w:rPr>
        <w:tab/>
      </w:r>
    </w:p>
    <w:p w:rsidR="0047030A" w:rsidRPr="00375FD4" w:rsidRDefault="00A27C20" w:rsidP="0063454E">
      <w:pPr>
        <w:tabs>
          <w:tab w:val="left" w:pos="-567"/>
          <w:tab w:val="right" w:pos="5812"/>
          <w:tab w:val="right" w:pos="7797"/>
        </w:tabs>
        <w:spacing w:before="0" w:after="0"/>
        <w:ind w:left="900" w:hanging="540"/>
        <w:rPr>
          <w:rFonts w:ascii="Arial" w:hAnsi="Arial" w:cs="Arial"/>
        </w:rPr>
      </w:pPr>
      <w:r>
        <w:rPr>
          <w:rFonts w:ascii="Arial" w:hAnsi="Arial" w:cs="Arial"/>
          <w:b/>
        </w:rPr>
        <w:t>26</w:t>
      </w:r>
      <w:r w:rsidR="0047030A" w:rsidRPr="00375FD4">
        <w:rPr>
          <w:rFonts w:ascii="Arial" w:hAnsi="Arial" w:cs="Arial"/>
          <w:b/>
        </w:rPr>
        <w:t>.</w:t>
      </w:r>
      <w:r w:rsidR="0047030A" w:rsidRPr="00375FD4">
        <w:rPr>
          <w:rFonts w:ascii="Arial" w:hAnsi="Arial" w:cs="Arial"/>
          <w:b/>
        </w:rPr>
        <w:tab/>
        <w:t>Interest Cost (Pensions)</w:t>
      </w:r>
    </w:p>
    <w:p w:rsidR="0047030A" w:rsidRPr="00375FD4"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rPr>
        <w:tab/>
        <w:t>The amount needed to unwind the discount applied in calculating current service cost.</w:t>
      </w:r>
    </w:p>
    <w:p w:rsidR="0047030A" w:rsidRPr="00375FD4" w:rsidRDefault="00A27C20" w:rsidP="0063454E">
      <w:pPr>
        <w:tabs>
          <w:tab w:val="left" w:pos="-567"/>
          <w:tab w:val="right" w:pos="5812"/>
          <w:tab w:val="right" w:pos="7797"/>
        </w:tabs>
        <w:spacing w:before="0" w:after="0"/>
        <w:ind w:left="900" w:hanging="540"/>
        <w:rPr>
          <w:rFonts w:ascii="Arial" w:hAnsi="Arial" w:cs="Arial"/>
          <w:b/>
        </w:rPr>
      </w:pPr>
      <w:r>
        <w:rPr>
          <w:rFonts w:ascii="Arial" w:hAnsi="Arial" w:cs="Arial"/>
          <w:b/>
        </w:rPr>
        <w:t>27</w:t>
      </w:r>
      <w:r w:rsidR="0047030A" w:rsidRPr="00375FD4">
        <w:rPr>
          <w:rFonts w:ascii="Arial" w:hAnsi="Arial" w:cs="Arial"/>
          <w:b/>
        </w:rPr>
        <w:t>.</w:t>
      </w:r>
      <w:r w:rsidR="0047030A" w:rsidRPr="00375FD4">
        <w:rPr>
          <w:rFonts w:ascii="Arial" w:hAnsi="Arial" w:cs="Arial"/>
          <w:b/>
        </w:rPr>
        <w:tab/>
        <w:t>Expected Return on Assets (Pensions)</w:t>
      </w:r>
    </w:p>
    <w:p w:rsidR="0047030A" w:rsidRPr="00375FD4"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b/>
        </w:rPr>
        <w:tab/>
      </w:r>
      <w:r w:rsidRPr="00375FD4">
        <w:rPr>
          <w:rFonts w:ascii="Arial" w:hAnsi="Arial" w:cs="Arial"/>
        </w:rPr>
        <w:t>A measure of the return on the investment assets held by the scheme for the year.</w:t>
      </w:r>
    </w:p>
    <w:p w:rsidR="0047030A" w:rsidRPr="0047030A" w:rsidRDefault="00A27C20" w:rsidP="0063454E">
      <w:pPr>
        <w:tabs>
          <w:tab w:val="left" w:pos="-567"/>
          <w:tab w:val="right" w:pos="5812"/>
          <w:tab w:val="right" w:pos="7797"/>
        </w:tabs>
        <w:spacing w:before="0" w:after="0"/>
        <w:ind w:left="900" w:hanging="540"/>
        <w:rPr>
          <w:rFonts w:ascii="Arial" w:hAnsi="Arial" w:cs="Arial"/>
          <w:b/>
        </w:rPr>
      </w:pPr>
      <w:r>
        <w:rPr>
          <w:rFonts w:ascii="Arial" w:hAnsi="Arial" w:cs="Arial"/>
          <w:b/>
        </w:rPr>
        <w:t>28</w:t>
      </w:r>
      <w:r w:rsidR="0047030A" w:rsidRPr="00375FD4">
        <w:rPr>
          <w:rFonts w:ascii="Arial" w:hAnsi="Arial" w:cs="Arial"/>
          <w:b/>
        </w:rPr>
        <w:t>.</w:t>
      </w:r>
      <w:r w:rsidR="0047030A" w:rsidRPr="00375FD4">
        <w:rPr>
          <w:rFonts w:ascii="Arial" w:hAnsi="Arial" w:cs="Arial"/>
          <w:b/>
        </w:rPr>
        <w:tab/>
        <w:t>Public Private Partnership (PPP)/Public Finance Initiative (PFI)</w:t>
      </w:r>
    </w:p>
    <w:p w:rsidR="0047030A" w:rsidRPr="00375FD4" w:rsidRDefault="002E7DAC" w:rsidP="0063454E">
      <w:pPr>
        <w:tabs>
          <w:tab w:val="left" w:pos="-567"/>
          <w:tab w:val="right" w:pos="5812"/>
          <w:tab w:val="right" w:pos="7797"/>
        </w:tabs>
        <w:spacing w:before="0" w:after="0"/>
        <w:ind w:left="900" w:hanging="540"/>
        <w:rPr>
          <w:rFonts w:ascii="Arial" w:hAnsi="Arial" w:cs="Arial"/>
        </w:rPr>
      </w:pPr>
      <w:r>
        <w:rPr>
          <w:rFonts w:ascii="Arial" w:hAnsi="Arial" w:cs="Arial"/>
        </w:rPr>
        <w:tab/>
        <w:t>A contract between the c</w:t>
      </w:r>
      <w:r w:rsidR="0047030A" w:rsidRPr="00375FD4">
        <w:rPr>
          <w:rFonts w:ascii="Arial" w:hAnsi="Arial" w:cs="Arial"/>
        </w:rPr>
        <w:t>ouncil and a private organisation for the provision of new Educational buildings maintenance and related facilities.</w:t>
      </w:r>
    </w:p>
    <w:p w:rsidR="0047030A" w:rsidRPr="0047030A" w:rsidRDefault="00A27C20" w:rsidP="00522D7C">
      <w:pPr>
        <w:tabs>
          <w:tab w:val="left" w:pos="-567"/>
          <w:tab w:val="right" w:pos="7920"/>
        </w:tabs>
        <w:spacing w:before="0" w:after="0"/>
        <w:ind w:left="900" w:hanging="540"/>
        <w:jc w:val="both"/>
        <w:rPr>
          <w:rFonts w:ascii="Arial" w:hAnsi="Arial" w:cs="Arial"/>
          <w:b/>
        </w:rPr>
      </w:pPr>
      <w:r>
        <w:rPr>
          <w:rFonts w:ascii="Arial" w:hAnsi="Arial" w:cs="Arial"/>
          <w:b/>
        </w:rPr>
        <w:t>29</w:t>
      </w:r>
      <w:r w:rsidR="0047030A" w:rsidRPr="00375FD4">
        <w:rPr>
          <w:rFonts w:ascii="Arial" w:hAnsi="Arial" w:cs="Arial"/>
          <w:b/>
        </w:rPr>
        <w:t>.</w:t>
      </w:r>
      <w:r w:rsidR="0047030A" w:rsidRPr="00375FD4">
        <w:rPr>
          <w:rFonts w:ascii="Arial" w:hAnsi="Arial" w:cs="Arial"/>
        </w:rPr>
        <w:tab/>
      </w:r>
      <w:r w:rsidR="0047030A" w:rsidRPr="00375FD4">
        <w:rPr>
          <w:rFonts w:ascii="Arial" w:hAnsi="Arial" w:cs="Arial"/>
          <w:b/>
        </w:rPr>
        <w:t>Available for Sale Assets</w:t>
      </w:r>
    </w:p>
    <w:p w:rsidR="0047030A" w:rsidRPr="00375FD4" w:rsidRDefault="0047030A" w:rsidP="0063454E">
      <w:pPr>
        <w:tabs>
          <w:tab w:val="left" w:pos="-567"/>
          <w:tab w:val="right" w:pos="5812"/>
          <w:tab w:val="right" w:pos="7797"/>
        </w:tabs>
        <w:spacing w:before="0" w:after="0"/>
        <w:ind w:left="900" w:hanging="540"/>
        <w:rPr>
          <w:rFonts w:ascii="Arial" w:hAnsi="Arial" w:cs="Arial"/>
        </w:rPr>
      </w:pPr>
      <w:r w:rsidRPr="00375FD4">
        <w:rPr>
          <w:rFonts w:ascii="Arial" w:hAnsi="Arial" w:cs="Arial"/>
        </w:rPr>
        <w:tab/>
        <w:t>These assets are in relation to Financial Instruments and include:</w:t>
      </w:r>
    </w:p>
    <w:p w:rsidR="0047030A" w:rsidRPr="00375FD4" w:rsidRDefault="0047030A" w:rsidP="00EA6E47">
      <w:pPr>
        <w:numPr>
          <w:ilvl w:val="0"/>
          <w:numId w:val="24"/>
        </w:numPr>
        <w:tabs>
          <w:tab w:val="clear" w:pos="1276"/>
        </w:tabs>
        <w:spacing w:before="0" w:after="0"/>
        <w:ind w:left="1260" w:hanging="270"/>
        <w:rPr>
          <w:rFonts w:ascii="Arial" w:hAnsi="Arial" w:cs="Arial"/>
        </w:rPr>
      </w:pPr>
      <w:r w:rsidRPr="00375FD4">
        <w:rPr>
          <w:rFonts w:ascii="Arial" w:hAnsi="Arial" w:cs="Arial"/>
        </w:rPr>
        <w:t>Equity investments; and</w:t>
      </w:r>
    </w:p>
    <w:p w:rsidR="0047030A" w:rsidRPr="0047030A" w:rsidRDefault="0047030A" w:rsidP="00EA6E47">
      <w:pPr>
        <w:numPr>
          <w:ilvl w:val="0"/>
          <w:numId w:val="24"/>
        </w:numPr>
        <w:tabs>
          <w:tab w:val="clear" w:pos="1276"/>
        </w:tabs>
        <w:spacing w:before="0" w:after="0"/>
        <w:ind w:left="1260" w:hanging="270"/>
        <w:rPr>
          <w:rFonts w:ascii="Arial" w:hAnsi="Arial" w:cs="Arial"/>
        </w:rPr>
      </w:pPr>
      <w:r w:rsidRPr="00375FD4">
        <w:rPr>
          <w:rFonts w:ascii="Arial" w:hAnsi="Arial" w:cs="Arial"/>
        </w:rPr>
        <w:t>Other investments traded in an active market.</w:t>
      </w:r>
      <w:r w:rsidRPr="0047030A">
        <w:rPr>
          <w:rFonts w:ascii="Arial" w:hAnsi="Arial" w:cs="Arial"/>
        </w:rPr>
        <w:t xml:space="preserve"> </w:t>
      </w:r>
    </w:p>
    <w:p w:rsidR="0047030A" w:rsidRPr="00A27C20" w:rsidRDefault="00A27C20" w:rsidP="00A27C20">
      <w:pPr>
        <w:tabs>
          <w:tab w:val="left" w:pos="-567"/>
          <w:tab w:val="right" w:pos="7920"/>
        </w:tabs>
        <w:spacing w:before="0" w:after="0"/>
        <w:ind w:left="900" w:hanging="540"/>
        <w:jc w:val="both"/>
        <w:rPr>
          <w:rFonts w:ascii="Arial" w:hAnsi="Arial" w:cs="Arial"/>
          <w:b/>
        </w:rPr>
      </w:pPr>
      <w:r>
        <w:rPr>
          <w:rFonts w:ascii="Arial" w:hAnsi="Arial" w:cs="Arial"/>
          <w:b/>
        </w:rPr>
        <w:t>30.</w:t>
      </w:r>
      <w:r>
        <w:rPr>
          <w:rFonts w:ascii="Arial" w:hAnsi="Arial" w:cs="Arial"/>
          <w:b/>
        </w:rPr>
        <w:tab/>
      </w:r>
      <w:r w:rsidR="0047030A" w:rsidRPr="00A27C20">
        <w:rPr>
          <w:rFonts w:ascii="Arial" w:hAnsi="Arial" w:cs="Arial"/>
          <w:b/>
        </w:rPr>
        <w:t>Heritage Assets</w:t>
      </w:r>
    </w:p>
    <w:p w:rsidR="0047030A" w:rsidRPr="00375FD4" w:rsidRDefault="0047030A" w:rsidP="0063454E">
      <w:pPr>
        <w:spacing w:before="0" w:after="0"/>
        <w:ind w:left="900" w:hanging="540"/>
        <w:rPr>
          <w:rFonts w:ascii="Arial" w:hAnsi="Arial" w:cs="Arial"/>
        </w:rPr>
      </w:pPr>
      <w:r w:rsidRPr="00375FD4">
        <w:rPr>
          <w:rFonts w:ascii="Arial" w:hAnsi="Arial" w:cs="Arial"/>
        </w:rPr>
        <w:tab/>
        <w:t>An asset with historical, artistic, scientific, technological, geophysical or environmental qualities which is held for its contribution to knowledge and culture.</w:t>
      </w:r>
    </w:p>
    <w:p w:rsidR="0047030A" w:rsidRPr="00A27C20" w:rsidRDefault="0047030A" w:rsidP="00EA6E47">
      <w:pPr>
        <w:pStyle w:val="ListParagraph"/>
        <w:numPr>
          <w:ilvl w:val="0"/>
          <w:numId w:val="48"/>
        </w:numPr>
        <w:spacing w:before="0" w:after="0"/>
        <w:ind w:left="851" w:hanging="491"/>
        <w:rPr>
          <w:rFonts w:ascii="Arial" w:hAnsi="Arial" w:cs="Arial"/>
        </w:rPr>
      </w:pPr>
      <w:r w:rsidRPr="00A27C20">
        <w:rPr>
          <w:rFonts w:ascii="Arial" w:hAnsi="Arial" w:cs="Arial"/>
          <w:b/>
        </w:rPr>
        <w:t>PPE</w:t>
      </w:r>
    </w:p>
    <w:p w:rsidR="003024F2" w:rsidRDefault="0047030A" w:rsidP="0075055D">
      <w:pPr>
        <w:spacing w:before="0" w:after="0"/>
        <w:ind w:left="900" w:hanging="540"/>
        <w:rPr>
          <w:rFonts w:ascii="Arial" w:hAnsi="Arial" w:cs="Arial"/>
        </w:rPr>
      </w:pPr>
      <w:r w:rsidRPr="00375FD4">
        <w:rPr>
          <w:rFonts w:ascii="Arial" w:hAnsi="Arial" w:cs="Arial"/>
        </w:rPr>
        <w:tab/>
        <w:t>Property, Plant and Equipment.</w:t>
      </w:r>
    </w:p>
    <w:p w:rsidR="00EA6E47" w:rsidRPr="00EA6E47" w:rsidRDefault="00EA6E47" w:rsidP="00FA043F">
      <w:pPr>
        <w:spacing w:before="160" w:after="0"/>
        <w:rPr>
          <w:rFonts w:ascii="Arial" w:hAnsi="Arial"/>
          <w:sz w:val="22"/>
          <w:szCs w:val="22"/>
        </w:rPr>
      </w:pPr>
    </w:p>
    <w:p w:rsidR="0029269F" w:rsidRDefault="0029269F" w:rsidP="0075055D">
      <w:pPr>
        <w:spacing w:before="0" w:after="0"/>
        <w:ind w:left="900" w:hanging="540"/>
        <w:rPr>
          <w:rFonts w:ascii="Arial" w:hAnsi="Arial" w:cs="Arial"/>
          <w:b/>
        </w:rPr>
        <w:sectPr w:rsidR="0029269F">
          <w:headerReference w:type="default" r:id="rId138"/>
          <w:pgSz w:w="11906" w:h="16838"/>
          <w:pgMar w:top="1440" w:right="1440" w:bottom="1440" w:left="1440" w:header="708" w:footer="708" w:gutter="0"/>
          <w:cols w:space="708"/>
          <w:docGrid w:linePitch="360"/>
        </w:sectPr>
      </w:pPr>
    </w:p>
    <w:p w:rsidR="0029269F" w:rsidRPr="0029269F" w:rsidRDefault="0029269F" w:rsidP="0029269F">
      <w:pPr>
        <w:spacing w:before="0" w:after="240" w:line="259" w:lineRule="auto"/>
        <w:rPr>
          <w:rFonts w:ascii="Arial" w:eastAsia="Calibri" w:hAnsi="Arial" w:cs="Arial"/>
          <w:sz w:val="22"/>
          <w:szCs w:val="22"/>
        </w:rPr>
      </w:pPr>
      <w:r w:rsidRPr="0029269F">
        <w:rPr>
          <w:rFonts w:ascii="Arial" w:eastAsia="Calibri" w:hAnsi="Arial" w:cs="Arial"/>
          <w:b/>
          <w:bCs/>
          <w:sz w:val="22"/>
          <w:szCs w:val="22"/>
        </w:rPr>
        <w:lastRenderedPageBreak/>
        <w:t xml:space="preserve">Independent auditor’s report to the members of West Dunbartonshire Council and the Accounts Commission </w:t>
      </w:r>
    </w:p>
    <w:p w:rsidR="0029269F" w:rsidRPr="0029269F" w:rsidRDefault="0029269F" w:rsidP="0029269F">
      <w:pPr>
        <w:spacing w:before="240" w:after="120" w:line="259" w:lineRule="auto"/>
        <w:rPr>
          <w:rFonts w:ascii="Arial" w:hAnsi="Arial"/>
          <w:b/>
          <w:color w:val="7F7F7F"/>
          <w:sz w:val="26"/>
          <w:szCs w:val="26"/>
        </w:rPr>
      </w:pPr>
      <w:r w:rsidRPr="0029269F">
        <w:rPr>
          <w:rFonts w:ascii="Arial" w:hAnsi="Arial"/>
          <w:b/>
          <w:color w:val="7F7F7F"/>
          <w:sz w:val="26"/>
          <w:szCs w:val="26"/>
        </w:rPr>
        <w:t xml:space="preserve">Report on the audit of the financial statements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Opinion on financial statements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 certify that I have audited the financial statements in the annual accounts of West Dunbartonshire Council and its group for the year ended 31 March 2020 under Part VII of the Local Government (Scotland) Act 1973. The financial statements comprise the group and council-only Comprehensive Income and Expenditure Statements, Movement in Reserves Statements, Balance Sheets, and Cash Flow Statements, the council-only Movement on the Housing Revenue Account Statement, Housing Revenue Account Income and Expenditure Statement, the Council Tax Account, and the Non Domestic Rates Account and notes to the financial statements, including a summary of significant accounting policies. The financial reporting framework that has been applied in their preparation is applicable law and International Financial Reporting Standards (IFRSs) as adopted by the European Union, and as interpreted and adapted by the Code of Practice on Local Authority Accounting in the United Kingdom 2019/20 (the 2019/20 Code).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In my opinion the accompanying financial statements: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give a true and fair view in accordance with applicable law and the 2019/20 Code of the state of affairs of the council and its group as at 31 March 2020 and of the income and expenditure of the council and its group for the year then ended;</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have been properly prepared in accordance with IFRSs as adopted by the European Union, as interpreted and adapted by the 2019/20 Code; and</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have been prepared in accordance with the requirements of the Local Government (Scotland) Act 1973, The Local Authority Accounts (Scotland) Regulations 2014, and the Local Government in Scotland Act 2003.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Basis for opinion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 conducted my audit in accordance with applicable law and International Standards on Auditing (UK) (ISAs (UK)), as required by the </w:t>
      </w:r>
      <w:hyperlink r:id="rId139" w:history="1">
        <w:r w:rsidRPr="0029269F">
          <w:rPr>
            <w:rFonts w:ascii="Arial" w:eastAsia="Calibri" w:hAnsi="Arial" w:cs="Arial"/>
            <w:color w:val="0563C1"/>
            <w:sz w:val="22"/>
            <w:szCs w:val="22"/>
            <w:u w:val="single"/>
          </w:rPr>
          <w:t>Code of Audit Practice</w:t>
        </w:r>
      </w:hyperlink>
      <w:r w:rsidRPr="0029269F">
        <w:rPr>
          <w:rFonts w:ascii="Arial" w:eastAsia="Calibri" w:hAnsi="Arial" w:cs="Arial"/>
          <w:sz w:val="22"/>
          <w:szCs w:val="22"/>
        </w:rPr>
        <w:t xml:space="preserve"> approved by the Accounts Commission for Scotland. My responsibilities under those standards are further described in the auditor’s responsibilities for the audit of the financial statements section of my report. I was appointed under arrangements approved by the Accounts Commission on 10 April 2017. The period of total uninterrupted appointment is four years. I am independent of the council and its group in accordance with the ethical requirements that are relevant to my audit of the financial statements in the UK including the Financial Reporting Council’s Ethical Standard, and I have fulfilled my other ethical responsibilities in accordance with these requirements. Non-audit services prohibited by the Ethical Standard were not provided to the council. I believe that the audit evidence I have obtained is sufficient and appropriate to provide a basis for my opinion. </w:t>
      </w:r>
    </w:p>
    <w:p w:rsidR="0029269F" w:rsidRPr="0029269F" w:rsidRDefault="0029269F" w:rsidP="0029269F">
      <w:pPr>
        <w:spacing w:before="240" w:after="120" w:line="259" w:lineRule="auto"/>
        <w:rPr>
          <w:rFonts w:ascii="Arial" w:eastAsia="Calibri" w:hAnsi="Arial" w:cs="Arial"/>
          <w:b/>
          <w:bCs/>
          <w:sz w:val="22"/>
          <w:szCs w:val="22"/>
        </w:rPr>
      </w:pPr>
      <w:r w:rsidRPr="0029269F">
        <w:rPr>
          <w:rFonts w:ascii="Arial" w:eastAsia="Calibri" w:hAnsi="Arial" w:cs="Arial"/>
          <w:b/>
          <w:bCs/>
          <w:sz w:val="22"/>
          <w:szCs w:val="22"/>
        </w:rPr>
        <w:t xml:space="preserve">Emphasis of matter: Additional uncertainty on property valuations </w:t>
      </w:r>
    </w:p>
    <w:p w:rsid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I draw attention to Note 1 in the financial statements, Assumptions Made About the Future and Other Major Sources of Estimation Uncertainty, which describes the effects of material uncertainties that exist in property valuations due to the impact of the Covid-19 pandemic. My opinion is not modified in respect of this matter.</w:t>
      </w:r>
    </w:p>
    <w:p w:rsidR="0029269F" w:rsidRPr="0029269F" w:rsidRDefault="0029269F" w:rsidP="0029269F">
      <w:pPr>
        <w:spacing w:before="0" w:after="120" w:line="259" w:lineRule="auto"/>
        <w:rPr>
          <w:rFonts w:ascii="Arial" w:eastAsia="Calibri" w:hAnsi="Arial" w:cs="Arial"/>
          <w:b/>
          <w:bCs/>
          <w:sz w:val="22"/>
          <w:szCs w:val="22"/>
        </w:rPr>
      </w:pPr>
    </w:p>
    <w:p w:rsidR="0029269F" w:rsidRPr="0029269F" w:rsidRDefault="0029269F" w:rsidP="0029269F">
      <w:pPr>
        <w:spacing w:before="240" w:after="120" w:line="259" w:lineRule="auto"/>
        <w:rPr>
          <w:rFonts w:ascii="Arial" w:eastAsia="Calibri" w:hAnsi="Arial" w:cs="Arial"/>
          <w:b/>
          <w:bCs/>
          <w:sz w:val="22"/>
          <w:szCs w:val="22"/>
        </w:rPr>
      </w:pPr>
      <w:r w:rsidRPr="0029269F">
        <w:rPr>
          <w:rFonts w:ascii="Arial" w:eastAsia="Calibri" w:hAnsi="Arial" w:cs="Arial"/>
          <w:b/>
          <w:bCs/>
          <w:sz w:val="22"/>
          <w:szCs w:val="22"/>
        </w:rPr>
        <w:lastRenderedPageBreak/>
        <w:t xml:space="preserve">Conclusions relating to going concern basis of accounting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 have nothing to report in respect of the following matters in relation to which the ISAs (UK) require me to report to you where: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the use of the going concern basis of accounting in the preparation of the financial statements is not appropriate; or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the Strategic Lead – Resources has not disclosed in the financial statements any identified material uncertainties that may cast significant doubt about the council's ability to continue to adopt the going concern basis of accounting for a period of at least twelve months from the date when the financial statements are authorised for issue.</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Risks of material misstatement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 report in a separate Annual Audit Report, available from the </w:t>
      </w:r>
      <w:hyperlink r:id="rId140" w:history="1">
        <w:r w:rsidRPr="0029269F">
          <w:rPr>
            <w:rFonts w:ascii="Arial" w:eastAsia="Calibri" w:hAnsi="Arial" w:cs="Arial"/>
            <w:color w:val="0563C1"/>
            <w:sz w:val="22"/>
            <w:szCs w:val="22"/>
            <w:u w:val="single"/>
          </w:rPr>
          <w:t>Audit Scotland website</w:t>
        </w:r>
      </w:hyperlink>
      <w:r w:rsidRPr="0029269F">
        <w:rPr>
          <w:rFonts w:ascii="Arial" w:eastAsia="Calibri" w:hAnsi="Arial" w:cs="Arial"/>
          <w:sz w:val="22"/>
          <w:szCs w:val="22"/>
        </w:rPr>
        <w:t xml:space="preserve">, the most significant assessed risks of material misstatement that I identified and my conclusions thereon.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Responsibilities of the Strategic Lead - Resources and West Dunbartonshire Council for the financial statements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As explained more fully in the Statement of Responsibilities, the Strategic Lead – Resources is responsible for the preparation of financial statements that give a true and fair view in accordance with the financial reporting framework, and for such internal control as the Strategic Lead – Resources determines is necessary to enable the preparation of financial statements that are free from material misstatement, whether due to fraud or error.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In preparing the financial statements, the Strategic Lead – Resources is responsible for assessing the council's ability to continue as a going concern, disclosing, as applicable, matters related to going concern and using the going concern basis of accounting unless deemed inappropriate.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The Council is responsible for overseeing the financial reporting process.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Auditor’s responsibilities for the audit of the financial statements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The risk of not detecting a material misstatement resulting from fraud is higher than for one resulting from error, as fraud may involve collusion, intentional omissions, misrepresentations, or the override of internal control. The capability of the audit to detect fraud and other irregularities depends on factors such as the skilfulness of the perpetrator, the frequency and extent of manipulation, the degree of collusion involved, the relative size of individual amounts manipulated, and the seniority of those individuals involved. I therefore design and perform audit procedures which respond to the assessed risks of material misstatement due to fraud.</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lastRenderedPageBreak/>
        <w:t xml:space="preserve">A further description of the auditor’s responsibilities for the audit of the financial statements is located on the </w:t>
      </w:r>
      <w:hyperlink r:id="rId141" w:history="1">
        <w:r w:rsidRPr="0029269F">
          <w:rPr>
            <w:rFonts w:ascii="Arial" w:eastAsia="Calibri" w:hAnsi="Arial" w:cs="Arial"/>
            <w:color w:val="0563C1"/>
            <w:sz w:val="22"/>
            <w:szCs w:val="22"/>
            <w:u w:val="single"/>
          </w:rPr>
          <w:t>Financial Reporting Council's website</w:t>
        </w:r>
      </w:hyperlink>
      <w:r w:rsidRPr="0029269F">
        <w:rPr>
          <w:rFonts w:ascii="Arial" w:eastAsia="Calibri" w:hAnsi="Arial" w:cs="Arial"/>
          <w:sz w:val="22"/>
          <w:szCs w:val="22"/>
        </w:rPr>
        <w:t>. This description forms part of my auditor’s report.</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Other information in the annual accounts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The Strategic Lead – Resources is responsible for the other information in the annual accounts. The other information comprises the information other than the financial statements, the audited part of the Remuneration Report, and my auditor’s report thereon. My opinion on the financial statements does not cover the other information and I do not express any form of assurance conclusion thereon except on matters prescribed by the Accounts Commission to the extent explicitly stated later in this report.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In connection with my audit of the financial statements, my responsibility is to read all the other information in the annual accounts and, in doing so, consider whether the other information is materially inconsistent with the financial statements or my knowledge obtained in the audit or otherwise appears to be materially misstated. If I identify such material inconsistencies or apparent material misstatements, I am required to determine whether there is a material misstatement in the financial statements or a material misstatement of the other information. If, based on the work I have performed, I conclude that there is a material misstatement of this other information, I am required to report that fact. I have nothing to report in this regard. </w:t>
      </w:r>
    </w:p>
    <w:p w:rsidR="0029269F" w:rsidRPr="0029269F" w:rsidRDefault="0029269F" w:rsidP="0029269F">
      <w:pPr>
        <w:spacing w:before="240" w:after="120" w:line="259" w:lineRule="auto"/>
        <w:rPr>
          <w:rFonts w:ascii="Arial" w:hAnsi="Arial"/>
          <w:b/>
          <w:color w:val="7F7F7F"/>
          <w:sz w:val="26"/>
          <w:szCs w:val="26"/>
        </w:rPr>
      </w:pPr>
      <w:r w:rsidRPr="0029269F">
        <w:rPr>
          <w:rFonts w:ascii="Arial" w:hAnsi="Arial"/>
          <w:b/>
          <w:color w:val="7F7F7F"/>
          <w:sz w:val="26"/>
          <w:szCs w:val="26"/>
        </w:rPr>
        <w:t xml:space="preserve">Report on other requirements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Opinions on matters prescribed by the Accounts Commission </w:t>
      </w:r>
    </w:p>
    <w:p w:rsidR="0029269F" w:rsidRPr="0029269F" w:rsidRDefault="0029269F" w:rsidP="0029269F">
      <w:pPr>
        <w:spacing w:before="120" w:after="120" w:line="259" w:lineRule="auto"/>
        <w:rPr>
          <w:rFonts w:ascii="Arial" w:eastAsia="Calibri" w:hAnsi="Arial" w:cs="Arial"/>
          <w:sz w:val="22"/>
          <w:szCs w:val="22"/>
        </w:rPr>
      </w:pPr>
      <w:r w:rsidRPr="0029269F">
        <w:rPr>
          <w:rFonts w:ascii="Arial" w:eastAsia="Calibri" w:hAnsi="Arial" w:cs="Arial"/>
          <w:sz w:val="22"/>
          <w:szCs w:val="22"/>
        </w:rPr>
        <w:t xml:space="preserve">In my opinion, the audited part of the Remuneration Report has been properly prepared in accordance with The Local Authority Accounts (Scotland) Regulations 2014.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In my opinion, based on the work undertaken in the course of the audit: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the information given in the Management Commentary for the financial year for which the financial statements are prepared is consistent with the financial statements and that report has been prepared in accordance with statutory guidance issued under the Local Government in Scotland Act 2003; and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the information given in the Annual Governance Statement for the financial year for which the financial statements are prepared is consistent with the financial statements and that report has been prepared in accordance with the Delivering Good Governance in Local Government: Framework (2016). </w:t>
      </w: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t xml:space="preserve">Matters on which I am required to report by exception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 am required by the Accounts Commission to report to you if, in my opinion: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adequate accounting records have not been kept; or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the financial statements and the audited part of the Remuneration Report are not in agreement with the accounting records; or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I have not received all the information and explanations I require for my audit; or </w:t>
      </w:r>
    </w:p>
    <w:p w:rsidR="0029269F" w:rsidRPr="0029269F" w:rsidRDefault="0029269F" w:rsidP="0029269F">
      <w:pPr>
        <w:numPr>
          <w:ilvl w:val="0"/>
          <w:numId w:val="60"/>
        </w:numPr>
        <w:spacing w:before="0" w:after="0" w:line="259" w:lineRule="auto"/>
        <w:contextualSpacing/>
        <w:rPr>
          <w:rFonts w:ascii="Arial" w:eastAsia="Calibri" w:hAnsi="Arial" w:cs="Arial"/>
          <w:sz w:val="22"/>
          <w:szCs w:val="22"/>
        </w:rPr>
      </w:pPr>
      <w:r w:rsidRPr="0029269F">
        <w:rPr>
          <w:rFonts w:ascii="Arial" w:eastAsia="Calibri" w:hAnsi="Arial" w:cs="Arial"/>
          <w:sz w:val="22"/>
          <w:szCs w:val="22"/>
        </w:rPr>
        <w:t xml:space="preserve">there has been a failure to achieve a prescribed financial objective. </w:t>
      </w:r>
    </w:p>
    <w:p w:rsidR="0029269F" w:rsidRPr="0029269F" w:rsidRDefault="0029269F" w:rsidP="0029269F">
      <w:pPr>
        <w:spacing w:before="120" w:after="120" w:line="259" w:lineRule="auto"/>
        <w:rPr>
          <w:rFonts w:ascii="Arial" w:eastAsia="Calibri" w:hAnsi="Arial" w:cs="Arial"/>
          <w:sz w:val="22"/>
          <w:szCs w:val="22"/>
        </w:rPr>
      </w:pPr>
      <w:r w:rsidRPr="0029269F">
        <w:rPr>
          <w:rFonts w:ascii="Arial" w:eastAsia="Calibri" w:hAnsi="Arial" w:cs="Arial"/>
          <w:sz w:val="22"/>
          <w:szCs w:val="22"/>
        </w:rPr>
        <w:t xml:space="preserve">I have nothing to report in respect of these matters. </w:t>
      </w:r>
    </w:p>
    <w:p w:rsidR="0029269F" w:rsidRPr="0029269F" w:rsidRDefault="0029269F" w:rsidP="0029269F">
      <w:pPr>
        <w:spacing w:before="240" w:after="120" w:line="259" w:lineRule="auto"/>
        <w:rPr>
          <w:rFonts w:ascii="Arial" w:eastAsia="Calibri" w:hAnsi="Arial" w:cs="Arial"/>
          <w:b/>
          <w:bCs/>
          <w:sz w:val="22"/>
          <w:szCs w:val="22"/>
        </w:rPr>
      </w:pPr>
    </w:p>
    <w:p w:rsidR="0029269F" w:rsidRPr="0029269F" w:rsidRDefault="0029269F" w:rsidP="0029269F">
      <w:pPr>
        <w:spacing w:before="240" w:after="120" w:line="259" w:lineRule="auto"/>
        <w:rPr>
          <w:rFonts w:ascii="Arial" w:eastAsia="Calibri" w:hAnsi="Arial" w:cs="Arial"/>
          <w:sz w:val="22"/>
          <w:szCs w:val="22"/>
        </w:rPr>
      </w:pPr>
      <w:r w:rsidRPr="0029269F">
        <w:rPr>
          <w:rFonts w:ascii="Arial" w:eastAsia="Calibri" w:hAnsi="Arial" w:cs="Arial"/>
          <w:b/>
          <w:bCs/>
          <w:sz w:val="22"/>
          <w:szCs w:val="22"/>
        </w:rPr>
        <w:lastRenderedPageBreak/>
        <w:t xml:space="preserve">Conclusions on wider scope responsibilities </w:t>
      </w:r>
    </w:p>
    <w:p w:rsidR="0029269F" w:rsidRPr="0029269F" w:rsidRDefault="0029269F" w:rsidP="0029269F">
      <w:pPr>
        <w:spacing w:before="0" w:after="120" w:line="259" w:lineRule="auto"/>
        <w:rPr>
          <w:rFonts w:ascii="Arial" w:eastAsia="Calibri" w:hAnsi="Arial" w:cs="Arial"/>
          <w:sz w:val="22"/>
          <w:szCs w:val="22"/>
        </w:rPr>
      </w:pPr>
      <w:r w:rsidRPr="0029269F">
        <w:rPr>
          <w:rFonts w:ascii="Arial" w:eastAsia="Calibri" w:hAnsi="Arial" w:cs="Arial"/>
          <w:sz w:val="22"/>
          <w:szCs w:val="22"/>
        </w:rPr>
        <w:t xml:space="preserve">In addition to my responsibilities for the annual accounts, my conclusions on the wider scope responsibilities specified in the Code of Audit Practice, including those in respect of Best Value, are set out in my Annual Audit Report. </w:t>
      </w:r>
    </w:p>
    <w:p w:rsidR="0029269F" w:rsidRPr="0029269F" w:rsidRDefault="0029269F" w:rsidP="0029269F">
      <w:pPr>
        <w:keepNext/>
        <w:keepLines/>
        <w:spacing w:before="240" w:after="120"/>
        <w:outlineLvl w:val="2"/>
        <w:rPr>
          <w:rFonts w:ascii="Arial" w:hAnsi="Arial"/>
          <w:b/>
          <w:color w:val="7F7F7F"/>
          <w:sz w:val="26"/>
          <w:szCs w:val="26"/>
        </w:rPr>
      </w:pPr>
      <w:r w:rsidRPr="0029269F">
        <w:rPr>
          <w:rFonts w:ascii="Arial" w:hAnsi="Arial"/>
          <w:b/>
          <w:color w:val="7F7F7F"/>
          <w:sz w:val="26"/>
          <w:szCs w:val="26"/>
        </w:rPr>
        <w:t xml:space="preserve">Use of my report </w:t>
      </w:r>
    </w:p>
    <w:p w:rsidR="0029269F" w:rsidRPr="0029269F" w:rsidRDefault="0029269F" w:rsidP="0029269F">
      <w:pPr>
        <w:spacing w:before="0" w:after="160" w:line="259" w:lineRule="auto"/>
        <w:rPr>
          <w:rFonts w:ascii="Arial" w:eastAsia="Calibri" w:hAnsi="Arial" w:cs="Arial"/>
          <w:sz w:val="22"/>
          <w:szCs w:val="22"/>
        </w:rPr>
      </w:pPr>
      <w:r w:rsidRPr="0029269F">
        <w:rPr>
          <w:rFonts w:ascii="Arial" w:eastAsia="Calibri" w:hAnsi="Arial" w:cs="Arial"/>
          <w:sz w:val="22"/>
          <w:szCs w:val="22"/>
        </w:rPr>
        <w:t xml:space="preserve">This report is made solely to the parties to whom it is addressed in accordance with Part VII of the Local Government (Scotland) Act 1973 and for no other purpose. In accordance with paragraph 120 of the Code of Audit Practice, I do not undertake to have responsibilities to members or officers, in their individual capacities, or to third parties. </w:t>
      </w:r>
    </w:p>
    <w:p w:rsidR="0029269F" w:rsidRPr="0029269F" w:rsidRDefault="0029269F" w:rsidP="0029269F">
      <w:pPr>
        <w:spacing w:before="160" w:after="160" w:line="320" w:lineRule="atLeast"/>
        <w:rPr>
          <w:rFonts w:ascii="Arial" w:eastAsia="Calibri" w:hAnsi="Arial" w:cs="Arial"/>
          <w:sz w:val="22"/>
          <w:szCs w:val="22"/>
        </w:rPr>
      </w:pPr>
    </w:p>
    <w:p w:rsidR="0029269F" w:rsidRPr="0029269F" w:rsidRDefault="0029269F" w:rsidP="0029269F">
      <w:pPr>
        <w:spacing w:before="160" w:after="160" w:line="320" w:lineRule="atLeast"/>
        <w:rPr>
          <w:rFonts w:ascii="Arial" w:eastAsia="Calibri" w:hAnsi="Arial" w:cs="Arial"/>
          <w:sz w:val="22"/>
          <w:szCs w:val="22"/>
        </w:rPr>
      </w:pPr>
    </w:p>
    <w:p w:rsidR="0029269F" w:rsidRPr="0029269F" w:rsidRDefault="0029269F" w:rsidP="0029269F">
      <w:pPr>
        <w:spacing w:before="160" w:after="160" w:line="320" w:lineRule="atLeast"/>
        <w:rPr>
          <w:rFonts w:ascii="Arial" w:eastAsia="Calibri" w:hAnsi="Arial" w:cs="Arial"/>
          <w:sz w:val="22"/>
          <w:szCs w:val="22"/>
        </w:rPr>
      </w:pPr>
    </w:p>
    <w:p w:rsidR="0029269F" w:rsidRPr="0029269F" w:rsidRDefault="0029269F" w:rsidP="0029269F">
      <w:pPr>
        <w:spacing w:before="160" w:after="160" w:line="320" w:lineRule="atLeast"/>
        <w:rPr>
          <w:rFonts w:ascii="Arial" w:eastAsia="Calibri" w:hAnsi="Arial" w:cs="Arial"/>
          <w:sz w:val="22"/>
          <w:szCs w:val="22"/>
        </w:rPr>
      </w:pP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Fiona Mitchell-Knight FCA</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Audit Director</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Audit Scotland</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4th Floor</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The Athenaeum Building</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8 Nelson Mandela Place</w:t>
      </w:r>
    </w:p>
    <w:p w:rsidR="0029269F" w:rsidRP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 xml:space="preserve">Glasgow </w:t>
      </w:r>
    </w:p>
    <w:p w:rsidR="0029269F" w:rsidRDefault="0029269F" w:rsidP="0029269F">
      <w:pPr>
        <w:spacing w:before="0" w:after="0"/>
        <w:rPr>
          <w:rFonts w:ascii="Arial" w:eastAsia="Calibri" w:hAnsi="Arial" w:cs="Arial"/>
          <w:sz w:val="22"/>
          <w:szCs w:val="22"/>
        </w:rPr>
      </w:pPr>
      <w:r w:rsidRPr="0029269F">
        <w:rPr>
          <w:rFonts w:ascii="Arial" w:eastAsia="Calibri" w:hAnsi="Arial" w:cs="Arial"/>
          <w:sz w:val="22"/>
          <w:szCs w:val="22"/>
        </w:rPr>
        <w:t>G2 1BT</w:t>
      </w:r>
    </w:p>
    <w:p w:rsidR="005D32D9" w:rsidRDefault="005D32D9" w:rsidP="0029269F">
      <w:pPr>
        <w:spacing w:before="0" w:after="0"/>
        <w:rPr>
          <w:rFonts w:ascii="Arial" w:eastAsia="Calibri" w:hAnsi="Arial" w:cs="Arial"/>
          <w:sz w:val="22"/>
          <w:szCs w:val="22"/>
        </w:rPr>
      </w:pPr>
    </w:p>
    <w:p w:rsidR="005D32D9" w:rsidRPr="0029269F" w:rsidRDefault="005D32D9" w:rsidP="0029269F">
      <w:pPr>
        <w:spacing w:before="0" w:after="0"/>
        <w:rPr>
          <w:rFonts w:ascii="Arial" w:eastAsia="Calibri" w:hAnsi="Arial" w:cs="Arial"/>
          <w:sz w:val="22"/>
          <w:szCs w:val="22"/>
        </w:rPr>
      </w:pPr>
      <w:r>
        <w:rPr>
          <w:rFonts w:ascii="Arial" w:eastAsia="Calibri" w:hAnsi="Arial" w:cs="Arial"/>
          <w:sz w:val="22"/>
          <w:szCs w:val="22"/>
        </w:rPr>
        <w:t>25 November 2020</w:t>
      </w:r>
    </w:p>
    <w:p w:rsidR="004729FD" w:rsidRDefault="004729FD" w:rsidP="004729FD">
      <w:pPr>
        <w:spacing w:before="0" w:after="0"/>
        <w:rPr>
          <w:rFonts w:ascii="Arial" w:eastAsia="Calibri" w:hAnsi="Arial" w:cs="Arial"/>
          <w:sz w:val="22"/>
          <w:szCs w:val="22"/>
          <w:highlight w:val="yellow"/>
        </w:rPr>
      </w:pPr>
    </w:p>
    <w:p w:rsidR="0075055D" w:rsidRPr="00375FD4" w:rsidRDefault="004729FD" w:rsidP="004729FD">
      <w:pPr>
        <w:spacing w:before="0" w:after="0"/>
        <w:rPr>
          <w:rFonts w:ascii="Arial" w:hAnsi="Arial" w:cs="Arial"/>
          <w:b/>
        </w:rPr>
      </w:pPr>
      <w:r>
        <w:rPr>
          <w:rFonts w:ascii="Arial" w:eastAsia="Calibri" w:hAnsi="Arial" w:cs="Arial"/>
          <w:sz w:val="22"/>
          <w:szCs w:val="22"/>
        </w:rPr>
        <w:t xml:space="preserve">   </w:t>
      </w:r>
      <w:r w:rsidR="0029269F" w:rsidRPr="0029269F">
        <w:rPr>
          <w:rFonts w:ascii="Arial" w:eastAsia="Calibri" w:hAnsi="Arial" w:cs="Arial"/>
          <w:sz w:val="22"/>
          <w:szCs w:val="22"/>
        </w:rPr>
        <w:t xml:space="preserve"> </w:t>
      </w:r>
    </w:p>
    <w:sectPr w:rsidR="0075055D" w:rsidRPr="00375FD4">
      <w:headerReference w:type="default" r:id="rId1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E0" w:rsidRDefault="001720E0" w:rsidP="008648BA">
      <w:pPr>
        <w:spacing w:before="0" w:after="0"/>
      </w:pPr>
      <w:r>
        <w:separator/>
      </w:r>
    </w:p>
  </w:endnote>
  <w:endnote w:type="continuationSeparator" w:id="0">
    <w:p w:rsidR="001720E0" w:rsidRDefault="001720E0" w:rsidP="008648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E0" w:rsidRDefault="001720E0" w:rsidP="00A27DBE">
    <w:pPr>
      <w:pStyle w:val="Footer"/>
    </w:pPr>
  </w:p>
  <w:p w:rsidR="001720E0" w:rsidRDefault="00172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183878"/>
      <w:docPartObj>
        <w:docPartGallery w:val="Page Numbers (Bottom of Page)"/>
        <w:docPartUnique/>
      </w:docPartObj>
    </w:sdtPr>
    <w:sdtEndPr>
      <w:rPr>
        <w:noProof/>
      </w:rPr>
    </w:sdtEndPr>
    <w:sdtContent>
      <w:p w:rsidR="001720E0" w:rsidRDefault="001720E0" w:rsidP="00931FC9">
        <w:pPr>
          <w:pStyle w:val="Footer"/>
          <w:jc w:val="center"/>
          <w:rPr>
            <w:noProof/>
          </w:rPr>
        </w:pPr>
        <w:r>
          <w:fldChar w:fldCharType="begin"/>
        </w:r>
        <w:r>
          <w:instrText xml:space="preserve"> PAGE   \* MERGEFORMAT </w:instrText>
        </w:r>
        <w:r>
          <w:fldChar w:fldCharType="separate"/>
        </w:r>
        <w:r w:rsidR="00F227F2">
          <w:rPr>
            <w:noProof/>
          </w:rPr>
          <w:t>95</w:t>
        </w:r>
        <w:r>
          <w:rPr>
            <w:noProof/>
          </w:rPr>
          <w:fldChar w:fldCharType="end"/>
        </w:r>
      </w:p>
    </w:sdtContent>
  </w:sdt>
  <w:p w:rsidR="001720E0" w:rsidRDefault="001720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648476"/>
      <w:docPartObj>
        <w:docPartGallery w:val="Page Numbers (Bottom of Page)"/>
        <w:docPartUnique/>
      </w:docPartObj>
    </w:sdtPr>
    <w:sdtEndPr>
      <w:rPr>
        <w:noProof/>
      </w:rPr>
    </w:sdtEndPr>
    <w:sdtContent>
      <w:p w:rsidR="001720E0" w:rsidRDefault="001720E0">
        <w:pPr>
          <w:pStyle w:val="Footer"/>
          <w:jc w:val="center"/>
        </w:pPr>
        <w:r>
          <w:fldChar w:fldCharType="begin"/>
        </w:r>
        <w:r>
          <w:instrText xml:space="preserve"> PAGE   \* MERGEFORMAT </w:instrText>
        </w:r>
        <w:r>
          <w:fldChar w:fldCharType="separate"/>
        </w:r>
        <w:r w:rsidR="00F227F2">
          <w:rPr>
            <w:noProof/>
          </w:rPr>
          <w:t>21</w:t>
        </w:r>
        <w:r>
          <w:rPr>
            <w:noProof/>
          </w:rPr>
          <w:fldChar w:fldCharType="end"/>
        </w:r>
      </w:p>
    </w:sdtContent>
  </w:sdt>
  <w:p w:rsidR="001720E0" w:rsidRDefault="001720E0" w:rsidP="00F43F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E0" w:rsidRDefault="001720E0" w:rsidP="008648BA">
      <w:pPr>
        <w:spacing w:before="0" w:after="0"/>
      </w:pPr>
      <w:r>
        <w:separator/>
      </w:r>
    </w:p>
  </w:footnote>
  <w:footnote w:type="continuationSeparator" w:id="0">
    <w:p w:rsidR="001720E0" w:rsidRDefault="001720E0" w:rsidP="008648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E0" w:rsidRDefault="001720E0" w:rsidP="00FA4B1A">
    <w:pPr>
      <w:pStyle w:val="Header"/>
      <w:jc w:val="right"/>
    </w:pPr>
    <w:r>
      <w:t>West Dunbartonshire Council</w:t>
    </w:r>
  </w:p>
  <w:p w:rsidR="001720E0" w:rsidRDefault="001720E0" w:rsidP="00FA4B1A">
    <w:pPr>
      <w:pStyle w:val="Header"/>
      <w:jc w:val="right"/>
    </w:pPr>
    <w:r w:rsidRPr="001B26C8">
      <w:rPr>
        <w:i/>
      </w:rPr>
      <w:t>Statement of Accounts fo</w:t>
    </w:r>
    <w:r>
      <w:rPr>
        <w:i/>
      </w:rPr>
      <w:t>r the Year Ended 31 March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E0" w:rsidRDefault="001720E0" w:rsidP="001B26C8">
    <w:pPr>
      <w:pStyle w:val="Header"/>
      <w:jc w:val="right"/>
    </w:pPr>
    <w:r>
      <w:t>West Dunbartonshire Council</w:t>
    </w:r>
  </w:p>
  <w:p w:rsidR="001720E0" w:rsidRPr="00C40890" w:rsidRDefault="001720E0" w:rsidP="00C40890">
    <w:pPr>
      <w:pStyle w:val="Header"/>
      <w:jc w:val="right"/>
      <w:rPr>
        <w:i/>
      </w:rPr>
    </w:pPr>
    <w:r w:rsidRPr="001B26C8">
      <w:rPr>
        <w:i/>
      </w:rPr>
      <w:t xml:space="preserve">Statement of Accounts </w:t>
    </w:r>
    <w:r>
      <w:rPr>
        <w:i/>
      </w:rPr>
      <w:t>for the Year Ended 31 March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E0" w:rsidRDefault="001720E0" w:rsidP="000821BD">
    <w:pPr>
      <w:pStyle w:val="Header"/>
      <w:jc w:val="right"/>
    </w:pPr>
    <w:r>
      <w:t>West Dunbartonshire Council</w:t>
    </w:r>
  </w:p>
  <w:p w:rsidR="001720E0" w:rsidRDefault="001720E0" w:rsidP="000821BD">
    <w:pPr>
      <w:pStyle w:val="Header"/>
      <w:jc w:val="right"/>
    </w:pPr>
    <w:r w:rsidRPr="001B26C8">
      <w:rPr>
        <w:i/>
      </w:rPr>
      <w:t xml:space="preserve">Statement of Accounts </w:t>
    </w:r>
    <w:r>
      <w:rPr>
        <w:i/>
      </w:rPr>
      <w:t>for the Year Ended 31 March 2020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0E0" w:rsidRDefault="001720E0" w:rsidP="000821B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9BB"/>
    <w:multiLevelType w:val="hybridMultilevel"/>
    <w:tmpl w:val="2B96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02DE7"/>
    <w:multiLevelType w:val="hybridMultilevel"/>
    <w:tmpl w:val="1FB004C8"/>
    <w:lvl w:ilvl="0" w:tplc="08090003">
      <w:start w:val="1"/>
      <w:numFmt w:val="bullet"/>
      <w:lvlText w:val="o"/>
      <w:lvlJc w:val="left"/>
      <w:pPr>
        <w:tabs>
          <w:tab w:val="num" w:pos="540"/>
        </w:tabs>
        <w:ind w:left="540" w:hanging="360"/>
      </w:pPr>
      <w:rPr>
        <w:rFonts w:ascii="Courier New" w:hAnsi="Courier New" w:cs="Courier New" w:hint="default"/>
      </w:rPr>
    </w:lvl>
    <w:lvl w:ilvl="1" w:tplc="08090003">
      <w:start w:val="1"/>
      <w:numFmt w:val="decimal"/>
      <w:lvlText w:val="%2."/>
      <w:lvlJc w:val="left"/>
      <w:pPr>
        <w:tabs>
          <w:tab w:val="num" w:pos="1211"/>
        </w:tabs>
        <w:ind w:left="1211" w:hanging="360"/>
      </w:pPr>
    </w:lvl>
    <w:lvl w:ilvl="2" w:tplc="08090003">
      <w:start w:val="1"/>
      <w:numFmt w:val="bullet"/>
      <w:lvlText w:val="o"/>
      <w:lvlJc w:val="left"/>
      <w:pPr>
        <w:tabs>
          <w:tab w:val="num" w:pos="360"/>
        </w:tabs>
        <w:ind w:left="360" w:hanging="360"/>
      </w:pPr>
      <w:rPr>
        <w:rFonts w:ascii="Courier New" w:hAnsi="Courier New" w:cs="Courier New"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C546A4"/>
    <w:multiLevelType w:val="hybridMultilevel"/>
    <w:tmpl w:val="355C5242"/>
    <w:lvl w:ilvl="0" w:tplc="04090001">
      <w:start w:val="1"/>
      <w:numFmt w:val="bullet"/>
      <w:lvlText w:val=""/>
      <w:lvlJc w:val="left"/>
      <w:pPr>
        <w:tabs>
          <w:tab w:val="num" w:pos="720"/>
        </w:tabs>
        <w:ind w:left="720" w:hanging="360"/>
      </w:pPr>
      <w:rPr>
        <w:rFonts w:ascii="Symbol" w:hAnsi="Symbol" w:hint="default"/>
      </w:rPr>
    </w:lvl>
    <w:lvl w:ilvl="1" w:tplc="31863A16">
      <w:start w:val="1"/>
      <w:numFmt w:val="bullet"/>
      <w:lvlText w:val=""/>
      <w:lvlJc w:val="left"/>
      <w:pPr>
        <w:tabs>
          <w:tab w:val="num" w:pos="1505"/>
        </w:tabs>
        <w:ind w:left="1505" w:hanging="425"/>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01709"/>
    <w:multiLevelType w:val="hybridMultilevel"/>
    <w:tmpl w:val="54FCA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61541C"/>
    <w:multiLevelType w:val="hybridMultilevel"/>
    <w:tmpl w:val="F51C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104F"/>
    <w:multiLevelType w:val="hybridMultilevel"/>
    <w:tmpl w:val="FCEED8C2"/>
    <w:lvl w:ilvl="0" w:tplc="E89654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D6747EF"/>
    <w:multiLevelType w:val="hybridMultilevel"/>
    <w:tmpl w:val="DE4E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A1CC1"/>
    <w:multiLevelType w:val="hybridMultilevel"/>
    <w:tmpl w:val="25B84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0A947E5"/>
    <w:multiLevelType w:val="hybridMultilevel"/>
    <w:tmpl w:val="0CE85E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13D87D02"/>
    <w:multiLevelType w:val="hybridMultilevel"/>
    <w:tmpl w:val="5D840CE2"/>
    <w:lvl w:ilvl="0" w:tplc="0809000F">
      <w:start w:val="1"/>
      <w:numFmt w:val="decimal"/>
      <w:lvlText w:val="%1."/>
      <w:lvlJc w:val="left"/>
      <w:pPr>
        <w:ind w:left="720" w:hanging="360"/>
      </w:pPr>
      <w:rPr>
        <w:rFonts w:hint="default"/>
      </w:rPr>
    </w:lvl>
    <w:lvl w:ilvl="1" w:tplc="58E485EC">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13BA8"/>
    <w:multiLevelType w:val="hybridMultilevel"/>
    <w:tmpl w:val="B9B879C2"/>
    <w:lvl w:ilvl="0" w:tplc="F0A8FAF2">
      <w:start w:val="1"/>
      <w:numFmt w:val="decimal"/>
      <w:lvlText w:val="%1."/>
      <w:lvlJc w:val="left"/>
      <w:pPr>
        <w:ind w:left="720" w:hanging="360"/>
      </w:pPr>
      <w:rPr>
        <w:rFonts w:cs="Times New Roman" w:hint="default"/>
        <w:caps/>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15B16723"/>
    <w:multiLevelType w:val="hybridMultilevel"/>
    <w:tmpl w:val="F0DA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57547F"/>
    <w:multiLevelType w:val="hybridMultilevel"/>
    <w:tmpl w:val="B030C1EE"/>
    <w:lvl w:ilvl="0" w:tplc="52C4B38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692FBA"/>
    <w:multiLevelType w:val="hybridMultilevel"/>
    <w:tmpl w:val="FFEE11CE"/>
    <w:lvl w:ilvl="0" w:tplc="13DC40D2">
      <w:start w:val="1"/>
      <w:numFmt w:val="decimal"/>
      <w:lvlText w:val="%1)"/>
      <w:lvlJc w:val="left"/>
      <w:pPr>
        <w:tabs>
          <w:tab w:val="num" w:pos="1620"/>
        </w:tabs>
        <w:ind w:left="162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6C24A1"/>
    <w:multiLevelType w:val="hybridMultilevel"/>
    <w:tmpl w:val="E05CE5B2"/>
    <w:lvl w:ilvl="0" w:tplc="31863A16">
      <w:start w:val="1"/>
      <w:numFmt w:val="bullet"/>
      <w:lvlText w:val=""/>
      <w:lvlJc w:val="left"/>
      <w:pPr>
        <w:tabs>
          <w:tab w:val="num" w:pos="709"/>
        </w:tabs>
        <w:ind w:left="70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105D9"/>
    <w:multiLevelType w:val="hybridMultilevel"/>
    <w:tmpl w:val="42089338"/>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B744C"/>
    <w:multiLevelType w:val="hybridMultilevel"/>
    <w:tmpl w:val="BC5234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2ECE4EE6"/>
    <w:multiLevelType w:val="hybridMultilevel"/>
    <w:tmpl w:val="00A63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80C12"/>
    <w:multiLevelType w:val="hybridMultilevel"/>
    <w:tmpl w:val="5BFE7AA8"/>
    <w:lvl w:ilvl="0" w:tplc="08090001">
      <w:start w:val="1"/>
      <w:numFmt w:val="bullet"/>
      <w:lvlText w:val=""/>
      <w:lvlJc w:val="left"/>
      <w:pPr>
        <w:tabs>
          <w:tab w:val="num" w:pos="709"/>
        </w:tabs>
        <w:ind w:left="70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E3E92"/>
    <w:multiLevelType w:val="hybridMultilevel"/>
    <w:tmpl w:val="B1F826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230783"/>
    <w:multiLevelType w:val="hybridMultilevel"/>
    <w:tmpl w:val="D4185C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3431677F"/>
    <w:multiLevelType w:val="hybridMultilevel"/>
    <w:tmpl w:val="A5EE18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4E97FD9"/>
    <w:multiLevelType w:val="hybridMultilevel"/>
    <w:tmpl w:val="E522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74662"/>
    <w:multiLevelType w:val="hybridMultilevel"/>
    <w:tmpl w:val="B0FEA6C2"/>
    <w:lvl w:ilvl="0" w:tplc="CA98BF36">
      <w:start w:val="1"/>
      <w:numFmt w:val="bullet"/>
      <w:pStyle w:val="11-Bullet1"/>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845704"/>
    <w:multiLevelType w:val="hybridMultilevel"/>
    <w:tmpl w:val="E9AE53A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5" w15:restartNumberingAfterBreak="0">
    <w:nsid w:val="38903AD3"/>
    <w:multiLevelType w:val="hybridMultilevel"/>
    <w:tmpl w:val="CD2002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6" w15:restartNumberingAfterBreak="0">
    <w:nsid w:val="396E605C"/>
    <w:multiLevelType w:val="hybridMultilevel"/>
    <w:tmpl w:val="FD345F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3EDA663C"/>
    <w:multiLevelType w:val="hybridMultilevel"/>
    <w:tmpl w:val="1576AE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417A37B5"/>
    <w:multiLevelType w:val="hybridMultilevel"/>
    <w:tmpl w:val="BDF4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B1501E"/>
    <w:multiLevelType w:val="hybridMultilevel"/>
    <w:tmpl w:val="FC864056"/>
    <w:lvl w:ilvl="0" w:tplc="E24CFD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5702263"/>
    <w:multiLevelType w:val="hybridMultilevel"/>
    <w:tmpl w:val="E5686422"/>
    <w:lvl w:ilvl="0" w:tplc="31863A16">
      <w:start w:val="1"/>
      <w:numFmt w:val="bullet"/>
      <w:lvlText w:val=""/>
      <w:lvlJc w:val="left"/>
      <w:pPr>
        <w:tabs>
          <w:tab w:val="num" w:pos="709"/>
        </w:tabs>
        <w:ind w:left="70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376F14"/>
    <w:multiLevelType w:val="hybridMultilevel"/>
    <w:tmpl w:val="26A4C74C"/>
    <w:lvl w:ilvl="0" w:tplc="B028A1D0">
      <w:start w:val="3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A97C71"/>
    <w:multiLevelType w:val="hybridMultilevel"/>
    <w:tmpl w:val="8D1E47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F14D47"/>
    <w:multiLevelType w:val="hybridMultilevel"/>
    <w:tmpl w:val="DE0ABEF0"/>
    <w:lvl w:ilvl="0" w:tplc="31863A16">
      <w:start w:val="1"/>
      <w:numFmt w:val="bullet"/>
      <w:lvlText w:val=""/>
      <w:lvlJc w:val="left"/>
      <w:pPr>
        <w:tabs>
          <w:tab w:val="num" w:pos="1249"/>
        </w:tabs>
        <w:ind w:left="1249" w:hanging="425"/>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4C1B5D10"/>
    <w:multiLevelType w:val="hybridMultilevel"/>
    <w:tmpl w:val="F5706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3843DF"/>
    <w:multiLevelType w:val="hybridMultilevel"/>
    <w:tmpl w:val="EF74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6A5A51"/>
    <w:multiLevelType w:val="hybridMultilevel"/>
    <w:tmpl w:val="479EFE00"/>
    <w:lvl w:ilvl="0" w:tplc="31863A16">
      <w:start w:val="1"/>
      <w:numFmt w:val="bullet"/>
      <w:lvlText w:val=""/>
      <w:lvlJc w:val="left"/>
      <w:pPr>
        <w:tabs>
          <w:tab w:val="num" w:pos="425"/>
        </w:tabs>
        <w:ind w:left="425" w:hanging="425"/>
      </w:pPr>
      <w:rPr>
        <w:rFonts w:ascii="Symbol" w:hAnsi="Symbol" w:hint="default"/>
      </w:rPr>
    </w:lvl>
    <w:lvl w:ilvl="1" w:tplc="CC36A992">
      <w:start w:val="9"/>
      <w:numFmt w:val="decimal"/>
      <w:lvlText w:val="%2."/>
      <w:lvlJc w:val="left"/>
      <w:pPr>
        <w:tabs>
          <w:tab w:val="num" w:pos="2149"/>
        </w:tabs>
        <w:ind w:left="2149" w:hanging="360"/>
      </w:pPr>
      <w:rPr>
        <w:rFonts w:hint="default"/>
      </w:r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7" w15:restartNumberingAfterBreak="0">
    <w:nsid w:val="5039502A"/>
    <w:multiLevelType w:val="hybridMultilevel"/>
    <w:tmpl w:val="468A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376975"/>
    <w:multiLevelType w:val="hybridMultilevel"/>
    <w:tmpl w:val="DBBEA7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5CA670F"/>
    <w:multiLevelType w:val="hybridMultilevel"/>
    <w:tmpl w:val="D5EC702E"/>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55EE4B83"/>
    <w:multiLevelType w:val="hybridMultilevel"/>
    <w:tmpl w:val="34DC2CD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1" w15:restartNumberingAfterBreak="0">
    <w:nsid w:val="56704B43"/>
    <w:multiLevelType w:val="hybridMultilevel"/>
    <w:tmpl w:val="F540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D43F32"/>
    <w:multiLevelType w:val="hybridMultilevel"/>
    <w:tmpl w:val="637A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F651C9"/>
    <w:multiLevelType w:val="hybridMultilevel"/>
    <w:tmpl w:val="B4243AD2"/>
    <w:lvl w:ilvl="0" w:tplc="31863A16">
      <w:start w:val="1"/>
      <w:numFmt w:val="bullet"/>
      <w:lvlText w:val=""/>
      <w:lvlJc w:val="left"/>
      <w:pPr>
        <w:tabs>
          <w:tab w:val="num" w:pos="1276"/>
        </w:tabs>
        <w:ind w:left="1276" w:hanging="425"/>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5CE45EEF"/>
    <w:multiLevelType w:val="hybridMultilevel"/>
    <w:tmpl w:val="62FCF8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5" w15:restartNumberingAfterBreak="0">
    <w:nsid w:val="5CF31DDC"/>
    <w:multiLevelType w:val="hybridMultilevel"/>
    <w:tmpl w:val="714A881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46" w15:restartNumberingAfterBreak="0">
    <w:nsid w:val="62570258"/>
    <w:multiLevelType w:val="hybridMultilevel"/>
    <w:tmpl w:val="4BE0335A"/>
    <w:lvl w:ilvl="0" w:tplc="688A005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B85DB8"/>
    <w:multiLevelType w:val="hybridMultilevel"/>
    <w:tmpl w:val="5BA64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AF20104"/>
    <w:multiLevelType w:val="hybridMultilevel"/>
    <w:tmpl w:val="FB521D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6D0E95"/>
    <w:multiLevelType w:val="hybridMultilevel"/>
    <w:tmpl w:val="8C10E268"/>
    <w:lvl w:ilvl="0" w:tplc="4A2AC4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1B1A08"/>
    <w:multiLevelType w:val="hybridMultilevel"/>
    <w:tmpl w:val="B23E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9C1D86"/>
    <w:multiLevelType w:val="hybridMultilevel"/>
    <w:tmpl w:val="8612CB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0437772"/>
    <w:multiLevelType w:val="hybridMultilevel"/>
    <w:tmpl w:val="3064C8B0"/>
    <w:lvl w:ilvl="0" w:tplc="31863A16">
      <w:start w:val="1"/>
      <w:numFmt w:val="bullet"/>
      <w:lvlText w:val=""/>
      <w:lvlJc w:val="left"/>
      <w:pPr>
        <w:tabs>
          <w:tab w:val="num" w:pos="2072"/>
        </w:tabs>
        <w:ind w:left="2072" w:hanging="425"/>
      </w:pPr>
      <w:rPr>
        <w:rFonts w:ascii="Symbol" w:hAnsi="Symbol" w:hint="default"/>
      </w:rPr>
    </w:lvl>
    <w:lvl w:ilvl="1" w:tplc="04090003" w:tentative="1">
      <w:start w:val="1"/>
      <w:numFmt w:val="bullet"/>
      <w:lvlText w:val="o"/>
      <w:lvlJc w:val="left"/>
      <w:pPr>
        <w:tabs>
          <w:tab w:val="num" w:pos="2803"/>
        </w:tabs>
        <w:ind w:left="2803" w:hanging="360"/>
      </w:pPr>
      <w:rPr>
        <w:rFonts w:ascii="Courier New" w:hAnsi="Courier New" w:cs="Courier New" w:hint="default"/>
      </w:rPr>
    </w:lvl>
    <w:lvl w:ilvl="2" w:tplc="04090005" w:tentative="1">
      <w:start w:val="1"/>
      <w:numFmt w:val="bullet"/>
      <w:lvlText w:val=""/>
      <w:lvlJc w:val="left"/>
      <w:pPr>
        <w:tabs>
          <w:tab w:val="num" w:pos="3523"/>
        </w:tabs>
        <w:ind w:left="3523" w:hanging="360"/>
      </w:pPr>
      <w:rPr>
        <w:rFonts w:ascii="Wingdings" w:hAnsi="Wingdings" w:hint="default"/>
      </w:rPr>
    </w:lvl>
    <w:lvl w:ilvl="3" w:tplc="04090001" w:tentative="1">
      <w:start w:val="1"/>
      <w:numFmt w:val="bullet"/>
      <w:lvlText w:val=""/>
      <w:lvlJc w:val="left"/>
      <w:pPr>
        <w:tabs>
          <w:tab w:val="num" w:pos="4243"/>
        </w:tabs>
        <w:ind w:left="4243" w:hanging="360"/>
      </w:pPr>
      <w:rPr>
        <w:rFonts w:ascii="Symbol" w:hAnsi="Symbol" w:hint="default"/>
      </w:rPr>
    </w:lvl>
    <w:lvl w:ilvl="4" w:tplc="04090003" w:tentative="1">
      <w:start w:val="1"/>
      <w:numFmt w:val="bullet"/>
      <w:lvlText w:val="o"/>
      <w:lvlJc w:val="left"/>
      <w:pPr>
        <w:tabs>
          <w:tab w:val="num" w:pos="4963"/>
        </w:tabs>
        <w:ind w:left="4963" w:hanging="360"/>
      </w:pPr>
      <w:rPr>
        <w:rFonts w:ascii="Courier New" w:hAnsi="Courier New" w:cs="Courier New" w:hint="default"/>
      </w:rPr>
    </w:lvl>
    <w:lvl w:ilvl="5" w:tplc="04090005" w:tentative="1">
      <w:start w:val="1"/>
      <w:numFmt w:val="bullet"/>
      <w:lvlText w:val=""/>
      <w:lvlJc w:val="left"/>
      <w:pPr>
        <w:tabs>
          <w:tab w:val="num" w:pos="5683"/>
        </w:tabs>
        <w:ind w:left="5683" w:hanging="360"/>
      </w:pPr>
      <w:rPr>
        <w:rFonts w:ascii="Wingdings" w:hAnsi="Wingdings" w:hint="default"/>
      </w:rPr>
    </w:lvl>
    <w:lvl w:ilvl="6" w:tplc="04090001" w:tentative="1">
      <w:start w:val="1"/>
      <w:numFmt w:val="bullet"/>
      <w:lvlText w:val=""/>
      <w:lvlJc w:val="left"/>
      <w:pPr>
        <w:tabs>
          <w:tab w:val="num" w:pos="6403"/>
        </w:tabs>
        <w:ind w:left="6403" w:hanging="360"/>
      </w:pPr>
      <w:rPr>
        <w:rFonts w:ascii="Symbol" w:hAnsi="Symbol" w:hint="default"/>
      </w:rPr>
    </w:lvl>
    <w:lvl w:ilvl="7" w:tplc="04090003" w:tentative="1">
      <w:start w:val="1"/>
      <w:numFmt w:val="bullet"/>
      <w:lvlText w:val="o"/>
      <w:lvlJc w:val="left"/>
      <w:pPr>
        <w:tabs>
          <w:tab w:val="num" w:pos="7123"/>
        </w:tabs>
        <w:ind w:left="7123" w:hanging="360"/>
      </w:pPr>
      <w:rPr>
        <w:rFonts w:ascii="Courier New" w:hAnsi="Courier New" w:cs="Courier New" w:hint="default"/>
      </w:rPr>
    </w:lvl>
    <w:lvl w:ilvl="8" w:tplc="04090005" w:tentative="1">
      <w:start w:val="1"/>
      <w:numFmt w:val="bullet"/>
      <w:lvlText w:val=""/>
      <w:lvlJc w:val="left"/>
      <w:pPr>
        <w:tabs>
          <w:tab w:val="num" w:pos="7843"/>
        </w:tabs>
        <w:ind w:left="7843" w:hanging="360"/>
      </w:pPr>
      <w:rPr>
        <w:rFonts w:ascii="Wingdings" w:hAnsi="Wingdings" w:hint="default"/>
      </w:rPr>
    </w:lvl>
  </w:abstractNum>
  <w:abstractNum w:abstractNumId="53" w15:restartNumberingAfterBreak="0">
    <w:nsid w:val="708D2E19"/>
    <w:multiLevelType w:val="hybridMultilevel"/>
    <w:tmpl w:val="435EC5DA"/>
    <w:lvl w:ilvl="0" w:tplc="08090003">
      <w:start w:val="1"/>
      <w:numFmt w:val="bullet"/>
      <w:lvlText w:val="o"/>
      <w:lvlJc w:val="left"/>
      <w:pPr>
        <w:tabs>
          <w:tab w:val="num" w:pos="540"/>
        </w:tabs>
        <w:ind w:left="540" w:hanging="360"/>
      </w:pPr>
      <w:rPr>
        <w:rFonts w:ascii="Courier New" w:hAnsi="Courier New" w:cs="Courier New" w:hint="default"/>
      </w:rPr>
    </w:lvl>
    <w:lvl w:ilvl="1" w:tplc="08090003">
      <w:start w:val="1"/>
      <w:numFmt w:val="decimal"/>
      <w:lvlText w:val="%2."/>
      <w:lvlJc w:val="left"/>
      <w:pPr>
        <w:tabs>
          <w:tab w:val="num" w:pos="360"/>
        </w:tabs>
        <w:ind w:left="360" w:hanging="360"/>
      </w:pPr>
    </w:lvl>
    <w:lvl w:ilvl="2" w:tplc="08090001">
      <w:start w:val="1"/>
      <w:numFmt w:val="bullet"/>
      <w:lvlText w:val=""/>
      <w:lvlJc w:val="left"/>
      <w:pPr>
        <w:tabs>
          <w:tab w:val="num" w:pos="360"/>
        </w:tabs>
        <w:ind w:left="360" w:hanging="360"/>
      </w:pPr>
      <w:rPr>
        <w:rFonts w:ascii="Symbol" w:hAnsi="Symbol"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712B3EFF"/>
    <w:multiLevelType w:val="hybridMultilevel"/>
    <w:tmpl w:val="E3968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83C7220"/>
    <w:multiLevelType w:val="hybridMultilevel"/>
    <w:tmpl w:val="2144A1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D2680C"/>
    <w:multiLevelType w:val="hybridMultilevel"/>
    <w:tmpl w:val="B8ECB308"/>
    <w:lvl w:ilvl="0" w:tplc="31863A16">
      <w:start w:val="1"/>
      <w:numFmt w:val="bullet"/>
      <w:lvlText w:val=""/>
      <w:lvlJc w:val="left"/>
      <w:pPr>
        <w:tabs>
          <w:tab w:val="num" w:pos="1249"/>
        </w:tabs>
        <w:ind w:left="1249" w:hanging="425"/>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CAF242B"/>
    <w:multiLevelType w:val="hybridMultilevel"/>
    <w:tmpl w:val="808864BC"/>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F7A3AF1"/>
    <w:multiLevelType w:val="hybridMultilevel"/>
    <w:tmpl w:val="6276D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35"/>
  </w:num>
  <w:num w:numId="4">
    <w:abstractNumId w:val="14"/>
  </w:num>
  <w:num w:numId="5">
    <w:abstractNumId w:val="30"/>
  </w:num>
  <w:num w:numId="6">
    <w:abstractNumId w:val="58"/>
  </w:num>
  <w:num w:numId="7">
    <w:abstractNumId w:val="1"/>
  </w:num>
  <w:num w:numId="8">
    <w:abstractNumId w:val="53"/>
  </w:num>
  <w:num w:numId="9">
    <w:abstractNumId w:val="10"/>
  </w:num>
  <w:num w:numId="10">
    <w:abstractNumId w:val="20"/>
  </w:num>
  <w:num w:numId="11">
    <w:abstractNumId w:val="27"/>
  </w:num>
  <w:num w:numId="12">
    <w:abstractNumId w:val="26"/>
  </w:num>
  <w:num w:numId="13">
    <w:abstractNumId w:val="44"/>
  </w:num>
  <w:num w:numId="14">
    <w:abstractNumId w:val="16"/>
  </w:num>
  <w:num w:numId="15">
    <w:abstractNumId w:val="7"/>
  </w:num>
  <w:num w:numId="16">
    <w:abstractNumId w:val="45"/>
  </w:num>
  <w:num w:numId="17">
    <w:abstractNumId w:val="25"/>
  </w:num>
  <w:num w:numId="18">
    <w:abstractNumId w:val="8"/>
  </w:num>
  <w:num w:numId="19">
    <w:abstractNumId w:val="5"/>
  </w:num>
  <w:num w:numId="20">
    <w:abstractNumId w:val="13"/>
  </w:num>
  <w:num w:numId="21">
    <w:abstractNumId w:val="34"/>
  </w:num>
  <w:num w:numId="22">
    <w:abstractNumId w:val="2"/>
  </w:num>
  <w:num w:numId="23">
    <w:abstractNumId w:val="33"/>
  </w:num>
  <w:num w:numId="24">
    <w:abstractNumId w:val="43"/>
  </w:num>
  <w:num w:numId="25">
    <w:abstractNumId w:val="56"/>
  </w:num>
  <w:num w:numId="26">
    <w:abstractNumId w:val="12"/>
  </w:num>
  <w:num w:numId="27">
    <w:abstractNumId w:val="29"/>
  </w:num>
  <w:num w:numId="28">
    <w:abstractNumId w:val="52"/>
  </w:num>
  <w:num w:numId="29">
    <w:abstractNumId w:val="24"/>
  </w:num>
  <w:num w:numId="30">
    <w:abstractNumId w:val="57"/>
  </w:num>
  <w:num w:numId="31">
    <w:abstractNumId w:val="18"/>
  </w:num>
  <w:num w:numId="32">
    <w:abstractNumId w:val="36"/>
  </w:num>
  <w:num w:numId="33">
    <w:abstractNumId w:val="46"/>
  </w:num>
  <w:num w:numId="34">
    <w:abstractNumId w:val="42"/>
  </w:num>
  <w:num w:numId="35">
    <w:abstractNumId w:val="4"/>
  </w:num>
  <w:num w:numId="36">
    <w:abstractNumId w:val="28"/>
  </w:num>
  <w:num w:numId="37">
    <w:abstractNumId w:val="23"/>
  </w:num>
  <w:num w:numId="38">
    <w:abstractNumId w:val="40"/>
  </w:num>
  <w:num w:numId="39">
    <w:abstractNumId w:val="17"/>
  </w:num>
  <w:num w:numId="40">
    <w:abstractNumId w:val="54"/>
  </w:num>
  <w:num w:numId="41">
    <w:abstractNumId w:val="55"/>
  </w:num>
  <w:num w:numId="42">
    <w:abstractNumId w:val="22"/>
  </w:num>
  <w:num w:numId="43">
    <w:abstractNumId w:val="48"/>
  </w:num>
  <w:num w:numId="44">
    <w:abstractNumId w:val="49"/>
  </w:num>
  <w:num w:numId="45">
    <w:abstractNumId w:val="41"/>
  </w:num>
  <w:num w:numId="46">
    <w:abstractNumId w:val="39"/>
  </w:num>
  <w:num w:numId="47">
    <w:abstractNumId w:val="15"/>
  </w:num>
  <w:num w:numId="48">
    <w:abstractNumId w:val="31"/>
  </w:num>
  <w:num w:numId="49">
    <w:abstractNumId w:val="50"/>
  </w:num>
  <w:num w:numId="50">
    <w:abstractNumId w:val="11"/>
  </w:num>
  <w:num w:numId="51">
    <w:abstractNumId w:val="6"/>
  </w:num>
  <w:num w:numId="52">
    <w:abstractNumId w:val="47"/>
  </w:num>
  <w:num w:numId="53">
    <w:abstractNumId w:val="19"/>
  </w:num>
  <w:num w:numId="54">
    <w:abstractNumId w:val="44"/>
  </w:num>
  <w:num w:numId="55">
    <w:abstractNumId w:val="21"/>
  </w:num>
  <w:num w:numId="56">
    <w:abstractNumId w:val="32"/>
  </w:num>
  <w:num w:numId="57">
    <w:abstractNumId w:val="38"/>
  </w:num>
  <w:num w:numId="58">
    <w:abstractNumId w:val="51"/>
  </w:num>
  <w:num w:numId="59">
    <w:abstractNumId w:val="3"/>
  </w:num>
  <w:num w:numId="60">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1B"/>
    <w:rsid w:val="00000C0C"/>
    <w:rsid w:val="00001611"/>
    <w:rsid w:val="00001683"/>
    <w:rsid w:val="0000238E"/>
    <w:rsid w:val="000032DC"/>
    <w:rsid w:val="00003B5F"/>
    <w:rsid w:val="00003F05"/>
    <w:rsid w:val="00005387"/>
    <w:rsid w:val="00006CEC"/>
    <w:rsid w:val="0000776D"/>
    <w:rsid w:val="00007B3E"/>
    <w:rsid w:val="00007C18"/>
    <w:rsid w:val="0001320B"/>
    <w:rsid w:val="00013AE3"/>
    <w:rsid w:val="00015834"/>
    <w:rsid w:val="000160E7"/>
    <w:rsid w:val="0001624E"/>
    <w:rsid w:val="0001650C"/>
    <w:rsid w:val="0002054A"/>
    <w:rsid w:val="0002217F"/>
    <w:rsid w:val="000239F7"/>
    <w:rsid w:val="00024982"/>
    <w:rsid w:val="00025BD3"/>
    <w:rsid w:val="000262A3"/>
    <w:rsid w:val="00030015"/>
    <w:rsid w:val="0003227D"/>
    <w:rsid w:val="00033182"/>
    <w:rsid w:val="000336BD"/>
    <w:rsid w:val="00033848"/>
    <w:rsid w:val="00033953"/>
    <w:rsid w:val="00034A6E"/>
    <w:rsid w:val="00035177"/>
    <w:rsid w:val="00037764"/>
    <w:rsid w:val="0003783A"/>
    <w:rsid w:val="00042050"/>
    <w:rsid w:val="00044813"/>
    <w:rsid w:val="00045E08"/>
    <w:rsid w:val="00045F14"/>
    <w:rsid w:val="000507CF"/>
    <w:rsid w:val="00052C9B"/>
    <w:rsid w:val="0005365F"/>
    <w:rsid w:val="00054322"/>
    <w:rsid w:val="0005539D"/>
    <w:rsid w:val="000613C0"/>
    <w:rsid w:val="00061746"/>
    <w:rsid w:val="000629B6"/>
    <w:rsid w:val="00062E56"/>
    <w:rsid w:val="00065651"/>
    <w:rsid w:val="00065BEE"/>
    <w:rsid w:val="000678BE"/>
    <w:rsid w:val="00070E53"/>
    <w:rsid w:val="000732A6"/>
    <w:rsid w:val="00073AF4"/>
    <w:rsid w:val="00075930"/>
    <w:rsid w:val="00081B42"/>
    <w:rsid w:val="00081DE2"/>
    <w:rsid w:val="000821BD"/>
    <w:rsid w:val="000852F7"/>
    <w:rsid w:val="00086D69"/>
    <w:rsid w:val="0009066A"/>
    <w:rsid w:val="00091293"/>
    <w:rsid w:val="000930BC"/>
    <w:rsid w:val="000A034E"/>
    <w:rsid w:val="000A0CE9"/>
    <w:rsid w:val="000A0DAC"/>
    <w:rsid w:val="000A1B95"/>
    <w:rsid w:val="000A3446"/>
    <w:rsid w:val="000A3F99"/>
    <w:rsid w:val="000A3FCB"/>
    <w:rsid w:val="000A49CA"/>
    <w:rsid w:val="000A4E49"/>
    <w:rsid w:val="000A5EDE"/>
    <w:rsid w:val="000A6992"/>
    <w:rsid w:val="000A73C1"/>
    <w:rsid w:val="000B2B64"/>
    <w:rsid w:val="000B561E"/>
    <w:rsid w:val="000B59AB"/>
    <w:rsid w:val="000B5F8A"/>
    <w:rsid w:val="000B6458"/>
    <w:rsid w:val="000B6B75"/>
    <w:rsid w:val="000B71F3"/>
    <w:rsid w:val="000B77D8"/>
    <w:rsid w:val="000C21C6"/>
    <w:rsid w:val="000C3BB2"/>
    <w:rsid w:val="000C3EDC"/>
    <w:rsid w:val="000C5235"/>
    <w:rsid w:val="000C5B3A"/>
    <w:rsid w:val="000C620C"/>
    <w:rsid w:val="000C689B"/>
    <w:rsid w:val="000C6DBA"/>
    <w:rsid w:val="000D076C"/>
    <w:rsid w:val="000D12FA"/>
    <w:rsid w:val="000D2D6C"/>
    <w:rsid w:val="000D3D5D"/>
    <w:rsid w:val="000D3D71"/>
    <w:rsid w:val="000D3ECA"/>
    <w:rsid w:val="000D5997"/>
    <w:rsid w:val="000D5DEB"/>
    <w:rsid w:val="000D6DD2"/>
    <w:rsid w:val="000D72FB"/>
    <w:rsid w:val="000E0673"/>
    <w:rsid w:val="000E1BBF"/>
    <w:rsid w:val="000E384A"/>
    <w:rsid w:val="000E4008"/>
    <w:rsid w:val="000E472E"/>
    <w:rsid w:val="000E5446"/>
    <w:rsid w:val="000E596E"/>
    <w:rsid w:val="000E6311"/>
    <w:rsid w:val="000E7086"/>
    <w:rsid w:val="000F0944"/>
    <w:rsid w:val="000F1D3B"/>
    <w:rsid w:val="000F285F"/>
    <w:rsid w:val="000F3ECB"/>
    <w:rsid w:val="000F5D1B"/>
    <w:rsid w:val="00102458"/>
    <w:rsid w:val="001024F3"/>
    <w:rsid w:val="001029B9"/>
    <w:rsid w:val="001034A2"/>
    <w:rsid w:val="00103955"/>
    <w:rsid w:val="001042C7"/>
    <w:rsid w:val="00105404"/>
    <w:rsid w:val="0010637F"/>
    <w:rsid w:val="0010669C"/>
    <w:rsid w:val="00106BA4"/>
    <w:rsid w:val="00110448"/>
    <w:rsid w:val="00110E5E"/>
    <w:rsid w:val="001118C4"/>
    <w:rsid w:val="00112650"/>
    <w:rsid w:val="001127B9"/>
    <w:rsid w:val="001167D6"/>
    <w:rsid w:val="0012267C"/>
    <w:rsid w:val="001233FA"/>
    <w:rsid w:val="00123E3D"/>
    <w:rsid w:val="00125079"/>
    <w:rsid w:val="00125490"/>
    <w:rsid w:val="001260F4"/>
    <w:rsid w:val="00130B68"/>
    <w:rsid w:val="00131109"/>
    <w:rsid w:val="001326AB"/>
    <w:rsid w:val="00133058"/>
    <w:rsid w:val="001330F3"/>
    <w:rsid w:val="001349C5"/>
    <w:rsid w:val="001354BA"/>
    <w:rsid w:val="00135F2C"/>
    <w:rsid w:val="001361BC"/>
    <w:rsid w:val="00137440"/>
    <w:rsid w:val="001401E1"/>
    <w:rsid w:val="00143926"/>
    <w:rsid w:val="001442A4"/>
    <w:rsid w:val="001446BB"/>
    <w:rsid w:val="00145D74"/>
    <w:rsid w:val="00146E34"/>
    <w:rsid w:val="001477C7"/>
    <w:rsid w:val="00147A03"/>
    <w:rsid w:val="0015101E"/>
    <w:rsid w:val="00152F76"/>
    <w:rsid w:val="00153482"/>
    <w:rsid w:val="00154BE1"/>
    <w:rsid w:val="00154C3C"/>
    <w:rsid w:val="001558C9"/>
    <w:rsid w:val="00155AB3"/>
    <w:rsid w:val="00157BAC"/>
    <w:rsid w:val="00157BBB"/>
    <w:rsid w:val="00161571"/>
    <w:rsid w:val="001617D1"/>
    <w:rsid w:val="00162677"/>
    <w:rsid w:val="00164AD2"/>
    <w:rsid w:val="0016581C"/>
    <w:rsid w:val="00165D50"/>
    <w:rsid w:val="00166B3F"/>
    <w:rsid w:val="00170BDE"/>
    <w:rsid w:val="001720E0"/>
    <w:rsid w:val="00172252"/>
    <w:rsid w:val="0017383D"/>
    <w:rsid w:val="00175600"/>
    <w:rsid w:val="0017613C"/>
    <w:rsid w:val="00176B00"/>
    <w:rsid w:val="00176FC9"/>
    <w:rsid w:val="00180966"/>
    <w:rsid w:val="00181777"/>
    <w:rsid w:val="00181E31"/>
    <w:rsid w:val="001822C4"/>
    <w:rsid w:val="001853CD"/>
    <w:rsid w:val="00187C41"/>
    <w:rsid w:val="0019023E"/>
    <w:rsid w:val="00190C3C"/>
    <w:rsid w:val="00192B54"/>
    <w:rsid w:val="001935C2"/>
    <w:rsid w:val="0019553A"/>
    <w:rsid w:val="001973A4"/>
    <w:rsid w:val="001A0927"/>
    <w:rsid w:val="001A1F8A"/>
    <w:rsid w:val="001A224D"/>
    <w:rsid w:val="001A3451"/>
    <w:rsid w:val="001A393C"/>
    <w:rsid w:val="001A5ACD"/>
    <w:rsid w:val="001A5BBF"/>
    <w:rsid w:val="001A65C2"/>
    <w:rsid w:val="001B2374"/>
    <w:rsid w:val="001B26C8"/>
    <w:rsid w:val="001B427A"/>
    <w:rsid w:val="001B464E"/>
    <w:rsid w:val="001B4C81"/>
    <w:rsid w:val="001B57A4"/>
    <w:rsid w:val="001B78F3"/>
    <w:rsid w:val="001C1869"/>
    <w:rsid w:val="001C2895"/>
    <w:rsid w:val="001C3CEB"/>
    <w:rsid w:val="001C7F58"/>
    <w:rsid w:val="001D26BE"/>
    <w:rsid w:val="001D3FFE"/>
    <w:rsid w:val="001D6509"/>
    <w:rsid w:val="001D771C"/>
    <w:rsid w:val="001D7E10"/>
    <w:rsid w:val="001E3290"/>
    <w:rsid w:val="001E3563"/>
    <w:rsid w:val="001E6C40"/>
    <w:rsid w:val="001E6D08"/>
    <w:rsid w:val="001F1E67"/>
    <w:rsid w:val="001F5A20"/>
    <w:rsid w:val="001F6579"/>
    <w:rsid w:val="001F7BCD"/>
    <w:rsid w:val="002003F1"/>
    <w:rsid w:val="00200636"/>
    <w:rsid w:val="002027ED"/>
    <w:rsid w:val="00204FC7"/>
    <w:rsid w:val="00205224"/>
    <w:rsid w:val="00207718"/>
    <w:rsid w:val="00210C4E"/>
    <w:rsid w:val="00210F02"/>
    <w:rsid w:val="0021110A"/>
    <w:rsid w:val="002118E7"/>
    <w:rsid w:val="002119EC"/>
    <w:rsid w:val="00211BBD"/>
    <w:rsid w:val="0021264E"/>
    <w:rsid w:val="002130B9"/>
    <w:rsid w:val="00213215"/>
    <w:rsid w:val="0021380C"/>
    <w:rsid w:val="00213A65"/>
    <w:rsid w:val="00213EA3"/>
    <w:rsid w:val="0021497B"/>
    <w:rsid w:val="00214EE9"/>
    <w:rsid w:val="002160C4"/>
    <w:rsid w:val="00216A78"/>
    <w:rsid w:val="00216C68"/>
    <w:rsid w:val="00217739"/>
    <w:rsid w:val="00220C39"/>
    <w:rsid w:val="0022252C"/>
    <w:rsid w:val="00222ABB"/>
    <w:rsid w:val="00223E62"/>
    <w:rsid w:val="00224192"/>
    <w:rsid w:val="002247EB"/>
    <w:rsid w:val="002251C5"/>
    <w:rsid w:val="00225629"/>
    <w:rsid w:val="00227CBC"/>
    <w:rsid w:val="00227D6B"/>
    <w:rsid w:val="00227F05"/>
    <w:rsid w:val="0023013D"/>
    <w:rsid w:val="00232842"/>
    <w:rsid w:val="002359C3"/>
    <w:rsid w:val="00236701"/>
    <w:rsid w:val="00237140"/>
    <w:rsid w:val="00237B41"/>
    <w:rsid w:val="00237CDF"/>
    <w:rsid w:val="002403F5"/>
    <w:rsid w:val="00241165"/>
    <w:rsid w:val="002418B9"/>
    <w:rsid w:val="00245D9B"/>
    <w:rsid w:val="00245D9E"/>
    <w:rsid w:val="002469A0"/>
    <w:rsid w:val="00247D88"/>
    <w:rsid w:val="0025004B"/>
    <w:rsid w:val="00252ACC"/>
    <w:rsid w:val="00253360"/>
    <w:rsid w:val="00253EAF"/>
    <w:rsid w:val="0025445E"/>
    <w:rsid w:val="00255284"/>
    <w:rsid w:val="002555C4"/>
    <w:rsid w:val="00255CA2"/>
    <w:rsid w:val="00255E87"/>
    <w:rsid w:val="0025643F"/>
    <w:rsid w:val="0025726E"/>
    <w:rsid w:val="0025786B"/>
    <w:rsid w:val="0026018B"/>
    <w:rsid w:val="002607BF"/>
    <w:rsid w:val="00260AD1"/>
    <w:rsid w:val="00261A4B"/>
    <w:rsid w:val="00264C87"/>
    <w:rsid w:val="0026647C"/>
    <w:rsid w:val="0026765A"/>
    <w:rsid w:val="00267A48"/>
    <w:rsid w:val="00271796"/>
    <w:rsid w:val="002730C9"/>
    <w:rsid w:val="00273FE9"/>
    <w:rsid w:val="002746AD"/>
    <w:rsid w:val="00274F66"/>
    <w:rsid w:val="00277AF8"/>
    <w:rsid w:val="00280894"/>
    <w:rsid w:val="00280C97"/>
    <w:rsid w:val="00282E94"/>
    <w:rsid w:val="00283A2A"/>
    <w:rsid w:val="00285D36"/>
    <w:rsid w:val="00286055"/>
    <w:rsid w:val="002862EB"/>
    <w:rsid w:val="00286516"/>
    <w:rsid w:val="002868C5"/>
    <w:rsid w:val="0029199E"/>
    <w:rsid w:val="0029269F"/>
    <w:rsid w:val="002929A4"/>
    <w:rsid w:val="00293098"/>
    <w:rsid w:val="00293251"/>
    <w:rsid w:val="00294245"/>
    <w:rsid w:val="00295037"/>
    <w:rsid w:val="002964B5"/>
    <w:rsid w:val="00297B4F"/>
    <w:rsid w:val="002A0561"/>
    <w:rsid w:val="002A18F4"/>
    <w:rsid w:val="002A2091"/>
    <w:rsid w:val="002A36EB"/>
    <w:rsid w:val="002A3AF1"/>
    <w:rsid w:val="002A4A00"/>
    <w:rsid w:val="002A6F06"/>
    <w:rsid w:val="002A7177"/>
    <w:rsid w:val="002A7754"/>
    <w:rsid w:val="002B0B59"/>
    <w:rsid w:val="002B2005"/>
    <w:rsid w:val="002B2EA6"/>
    <w:rsid w:val="002B78D0"/>
    <w:rsid w:val="002B7C60"/>
    <w:rsid w:val="002B7F4D"/>
    <w:rsid w:val="002C138E"/>
    <w:rsid w:val="002C30B8"/>
    <w:rsid w:val="002C4839"/>
    <w:rsid w:val="002C59BE"/>
    <w:rsid w:val="002C6077"/>
    <w:rsid w:val="002C698B"/>
    <w:rsid w:val="002C7771"/>
    <w:rsid w:val="002D166B"/>
    <w:rsid w:val="002D225C"/>
    <w:rsid w:val="002D269A"/>
    <w:rsid w:val="002D43A7"/>
    <w:rsid w:val="002D4FF8"/>
    <w:rsid w:val="002D7B86"/>
    <w:rsid w:val="002E1764"/>
    <w:rsid w:val="002E1EC0"/>
    <w:rsid w:val="002E2524"/>
    <w:rsid w:val="002E3334"/>
    <w:rsid w:val="002E4A24"/>
    <w:rsid w:val="002E60FF"/>
    <w:rsid w:val="002E6690"/>
    <w:rsid w:val="002E7DAC"/>
    <w:rsid w:val="002F05EC"/>
    <w:rsid w:val="002F0DAB"/>
    <w:rsid w:val="002F25C5"/>
    <w:rsid w:val="002F2BC2"/>
    <w:rsid w:val="002F3D78"/>
    <w:rsid w:val="002F4A34"/>
    <w:rsid w:val="002F4D8A"/>
    <w:rsid w:val="002F71F3"/>
    <w:rsid w:val="003011B0"/>
    <w:rsid w:val="0030166E"/>
    <w:rsid w:val="003024F2"/>
    <w:rsid w:val="0030399D"/>
    <w:rsid w:val="00304627"/>
    <w:rsid w:val="003047CE"/>
    <w:rsid w:val="003059EB"/>
    <w:rsid w:val="00305BA0"/>
    <w:rsid w:val="00305DB5"/>
    <w:rsid w:val="00307231"/>
    <w:rsid w:val="00307554"/>
    <w:rsid w:val="00310B99"/>
    <w:rsid w:val="003117AF"/>
    <w:rsid w:val="00312456"/>
    <w:rsid w:val="00314A60"/>
    <w:rsid w:val="003156C5"/>
    <w:rsid w:val="003158C1"/>
    <w:rsid w:val="0031741D"/>
    <w:rsid w:val="00317C8D"/>
    <w:rsid w:val="003208D0"/>
    <w:rsid w:val="00322A19"/>
    <w:rsid w:val="00323811"/>
    <w:rsid w:val="00323AE4"/>
    <w:rsid w:val="003250D3"/>
    <w:rsid w:val="00325B09"/>
    <w:rsid w:val="00325BFF"/>
    <w:rsid w:val="003267F6"/>
    <w:rsid w:val="00327432"/>
    <w:rsid w:val="00330180"/>
    <w:rsid w:val="00331953"/>
    <w:rsid w:val="0033272F"/>
    <w:rsid w:val="00332943"/>
    <w:rsid w:val="00332DD4"/>
    <w:rsid w:val="00332FC8"/>
    <w:rsid w:val="00333DF9"/>
    <w:rsid w:val="00334A9D"/>
    <w:rsid w:val="00335329"/>
    <w:rsid w:val="003356A8"/>
    <w:rsid w:val="00337C0D"/>
    <w:rsid w:val="0034016B"/>
    <w:rsid w:val="003403B2"/>
    <w:rsid w:val="00340709"/>
    <w:rsid w:val="0034102E"/>
    <w:rsid w:val="00341F6B"/>
    <w:rsid w:val="00342DE9"/>
    <w:rsid w:val="00342E91"/>
    <w:rsid w:val="003453BF"/>
    <w:rsid w:val="003453F6"/>
    <w:rsid w:val="00345A74"/>
    <w:rsid w:val="00347216"/>
    <w:rsid w:val="003509E2"/>
    <w:rsid w:val="00353D65"/>
    <w:rsid w:val="00355F22"/>
    <w:rsid w:val="0036004B"/>
    <w:rsid w:val="003606A5"/>
    <w:rsid w:val="00360B91"/>
    <w:rsid w:val="00363667"/>
    <w:rsid w:val="00363701"/>
    <w:rsid w:val="003653E6"/>
    <w:rsid w:val="003655C1"/>
    <w:rsid w:val="0036572A"/>
    <w:rsid w:val="00365922"/>
    <w:rsid w:val="00365D85"/>
    <w:rsid w:val="0036745E"/>
    <w:rsid w:val="00367770"/>
    <w:rsid w:val="00373996"/>
    <w:rsid w:val="00374081"/>
    <w:rsid w:val="00374305"/>
    <w:rsid w:val="00375AC0"/>
    <w:rsid w:val="00375FD4"/>
    <w:rsid w:val="00376F0B"/>
    <w:rsid w:val="00377A3C"/>
    <w:rsid w:val="003802D8"/>
    <w:rsid w:val="0038059D"/>
    <w:rsid w:val="00381608"/>
    <w:rsid w:val="0038508E"/>
    <w:rsid w:val="0038688C"/>
    <w:rsid w:val="00386A2D"/>
    <w:rsid w:val="00386EC7"/>
    <w:rsid w:val="003909D8"/>
    <w:rsid w:val="00391A23"/>
    <w:rsid w:val="00395FE6"/>
    <w:rsid w:val="003961F7"/>
    <w:rsid w:val="00396AB1"/>
    <w:rsid w:val="003A00FD"/>
    <w:rsid w:val="003A083D"/>
    <w:rsid w:val="003A1B9A"/>
    <w:rsid w:val="003A3917"/>
    <w:rsid w:val="003A5A08"/>
    <w:rsid w:val="003B1123"/>
    <w:rsid w:val="003B2029"/>
    <w:rsid w:val="003B287E"/>
    <w:rsid w:val="003B3F05"/>
    <w:rsid w:val="003B4632"/>
    <w:rsid w:val="003B6B54"/>
    <w:rsid w:val="003B7DCB"/>
    <w:rsid w:val="003C0260"/>
    <w:rsid w:val="003C04CC"/>
    <w:rsid w:val="003C24B6"/>
    <w:rsid w:val="003C6112"/>
    <w:rsid w:val="003C6224"/>
    <w:rsid w:val="003C69FB"/>
    <w:rsid w:val="003D2580"/>
    <w:rsid w:val="003D2933"/>
    <w:rsid w:val="003D6791"/>
    <w:rsid w:val="003D7C76"/>
    <w:rsid w:val="003E0109"/>
    <w:rsid w:val="003E3A92"/>
    <w:rsid w:val="003E3ADE"/>
    <w:rsid w:val="003E4985"/>
    <w:rsid w:val="003E49F3"/>
    <w:rsid w:val="003E535E"/>
    <w:rsid w:val="003E62E5"/>
    <w:rsid w:val="003E727B"/>
    <w:rsid w:val="003E7430"/>
    <w:rsid w:val="003F0F58"/>
    <w:rsid w:val="003F10A9"/>
    <w:rsid w:val="003F1C1E"/>
    <w:rsid w:val="003F2870"/>
    <w:rsid w:val="003F4107"/>
    <w:rsid w:val="003F49CD"/>
    <w:rsid w:val="003F6A00"/>
    <w:rsid w:val="003F6A4A"/>
    <w:rsid w:val="00400606"/>
    <w:rsid w:val="00400796"/>
    <w:rsid w:val="00401371"/>
    <w:rsid w:val="0040274B"/>
    <w:rsid w:val="00402A2A"/>
    <w:rsid w:val="0040540A"/>
    <w:rsid w:val="00407744"/>
    <w:rsid w:val="0041042B"/>
    <w:rsid w:val="00414042"/>
    <w:rsid w:val="0041418A"/>
    <w:rsid w:val="00414FC9"/>
    <w:rsid w:val="004170F6"/>
    <w:rsid w:val="00420722"/>
    <w:rsid w:val="004224D9"/>
    <w:rsid w:val="00422E1B"/>
    <w:rsid w:val="004237A6"/>
    <w:rsid w:val="00423AB8"/>
    <w:rsid w:val="0042584B"/>
    <w:rsid w:val="004258D2"/>
    <w:rsid w:val="00427171"/>
    <w:rsid w:val="00434243"/>
    <w:rsid w:val="00435431"/>
    <w:rsid w:val="004357D7"/>
    <w:rsid w:val="0043580D"/>
    <w:rsid w:val="00436EDE"/>
    <w:rsid w:val="0044151F"/>
    <w:rsid w:val="00441D62"/>
    <w:rsid w:val="00442626"/>
    <w:rsid w:val="0044313F"/>
    <w:rsid w:val="00443DD3"/>
    <w:rsid w:val="00446677"/>
    <w:rsid w:val="004467E5"/>
    <w:rsid w:val="00447165"/>
    <w:rsid w:val="00447E2D"/>
    <w:rsid w:val="004515D2"/>
    <w:rsid w:val="00452480"/>
    <w:rsid w:val="00452775"/>
    <w:rsid w:val="00453258"/>
    <w:rsid w:val="004535D3"/>
    <w:rsid w:val="004538A5"/>
    <w:rsid w:val="00454D94"/>
    <w:rsid w:val="00455763"/>
    <w:rsid w:val="004574D9"/>
    <w:rsid w:val="00457EB8"/>
    <w:rsid w:val="004605CC"/>
    <w:rsid w:val="00462C95"/>
    <w:rsid w:val="00464974"/>
    <w:rsid w:val="00464A11"/>
    <w:rsid w:val="00464B4E"/>
    <w:rsid w:val="00464E28"/>
    <w:rsid w:val="00465C75"/>
    <w:rsid w:val="00466A40"/>
    <w:rsid w:val="0046700E"/>
    <w:rsid w:val="00467030"/>
    <w:rsid w:val="0047030A"/>
    <w:rsid w:val="00472920"/>
    <w:rsid w:val="004729FD"/>
    <w:rsid w:val="004735F3"/>
    <w:rsid w:val="004743F3"/>
    <w:rsid w:val="00477BA3"/>
    <w:rsid w:val="00482051"/>
    <w:rsid w:val="00483015"/>
    <w:rsid w:val="004833D7"/>
    <w:rsid w:val="00484437"/>
    <w:rsid w:val="00491F5C"/>
    <w:rsid w:val="00493213"/>
    <w:rsid w:val="00494060"/>
    <w:rsid w:val="004A14C9"/>
    <w:rsid w:val="004A1830"/>
    <w:rsid w:val="004A3485"/>
    <w:rsid w:val="004A3C72"/>
    <w:rsid w:val="004A4644"/>
    <w:rsid w:val="004A4DDD"/>
    <w:rsid w:val="004A51EF"/>
    <w:rsid w:val="004A56FA"/>
    <w:rsid w:val="004A5ADF"/>
    <w:rsid w:val="004A6072"/>
    <w:rsid w:val="004A6266"/>
    <w:rsid w:val="004A75A7"/>
    <w:rsid w:val="004A760A"/>
    <w:rsid w:val="004B13A5"/>
    <w:rsid w:val="004B229F"/>
    <w:rsid w:val="004B2C9A"/>
    <w:rsid w:val="004B3CC3"/>
    <w:rsid w:val="004B3D38"/>
    <w:rsid w:val="004B57EC"/>
    <w:rsid w:val="004B7FFC"/>
    <w:rsid w:val="004C09FB"/>
    <w:rsid w:val="004C104C"/>
    <w:rsid w:val="004C1746"/>
    <w:rsid w:val="004C2788"/>
    <w:rsid w:val="004C2F84"/>
    <w:rsid w:val="004C30FC"/>
    <w:rsid w:val="004C38A1"/>
    <w:rsid w:val="004C39F0"/>
    <w:rsid w:val="004C41C1"/>
    <w:rsid w:val="004C7928"/>
    <w:rsid w:val="004D30A9"/>
    <w:rsid w:val="004D4F2E"/>
    <w:rsid w:val="004D7D4C"/>
    <w:rsid w:val="004E0E82"/>
    <w:rsid w:val="004E2B66"/>
    <w:rsid w:val="004E2C62"/>
    <w:rsid w:val="004E592D"/>
    <w:rsid w:val="004E59B2"/>
    <w:rsid w:val="004E5FB5"/>
    <w:rsid w:val="004F03D6"/>
    <w:rsid w:val="004F2F43"/>
    <w:rsid w:val="004F31DF"/>
    <w:rsid w:val="004F4207"/>
    <w:rsid w:val="004F6A22"/>
    <w:rsid w:val="0050036A"/>
    <w:rsid w:val="0050134D"/>
    <w:rsid w:val="0050141B"/>
    <w:rsid w:val="00501F1F"/>
    <w:rsid w:val="00505D9D"/>
    <w:rsid w:val="00510F2D"/>
    <w:rsid w:val="00515649"/>
    <w:rsid w:val="00515758"/>
    <w:rsid w:val="005164B8"/>
    <w:rsid w:val="005166E1"/>
    <w:rsid w:val="005178A7"/>
    <w:rsid w:val="00517B49"/>
    <w:rsid w:val="00517DFE"/>
    <w:rsid w:val="00520534"/>
    <w:rsid w:val="00522D7C"/>
    <w:rsid w:val="0052517B"/>
    <w:rsid w:val="0052596D"/>
    <w:rsid w:val="00526321"/>
    <w:rsid w:val="00527952"/>
    <w:rsid w:val="0053065E"/>
    <w:rsid w:val="00531482"/>
    <w:rsid w:val="0053317C"/>
    <w:rsid w:val="00534417"/>
    <w:rsid w:val="005346EC"/>
    <w:rsid w:val="00535FFD"/>
    <w:rsid w:val="0053719E"/>
    <w:rsid w:val="005375FA"/>
    <w:rsid w:val="00543A97"/>
    <w:rsid w:val="00543F82"/>
    <w:rsid w:val="005441C2"/>
    <w:rsid w:val="00544360"/>
    <w:rsid w:val="005457FD"/>
    <w:rsid w:val="00546466"/>
    <w:rsid w:val="0054774D"/>
    <w:rsid w:val="00547BDF"/>
    <w:rsid w:val="0055248F"/>
    <w:rsid w:val="00553B81"/>
    <w:rsid w:val="0055418C"/>
    <w:rsid w:val="005547D4"/>
    <w:rsid w:val="005547ED"/>
    <w:rsid w:val="00557AE7"/>
    <w:rsid w:val="005613D0"/>
    <w:rsid w:val="00563BB0"/>
    <w:rsid w:val="00565B40"/>
    <w:rsid w:val="00565CD8"/>
    <w:rsid w:val="00566046"/>
    <w:rsid w:val="005671AD"/>
    <w:rsid w:val="005705A9"/>
    <w:rsid w:val="00571779"/>
    <w:rsid w:val="0057262A"/>
    <w:rsid w:val="005750EC"/>
    <w:rsid w:val="00575B41"/>
    <w:rsid w:val="00577CC7"/>
    <w:rsid w:val="00581177"/>
    <w:rsid w:val="00586525"/>
    <w:rsid w:val="00586617"/>
    <w:rsid w:val="0059025F"/>
    <w:rsid w:val="00590C61"/>
    <w:rsid w:val="00593E73"/>
    <w:rsid w:val="00593EC6"/>
    <w:rsid w:val="0059543C"/>
    <w:rsid w:val="005954D9"/>
    <w:rsid w:val="0059671C"/>
    <w:rsid w:val="0059733C"/>
    <w:rsid w:val="005A0446"/>
    <w:rsid w:val="005A14D1"/>
    <w:rsid w:val="005A29CF"/>
    <w:rsid w:val="005A44F5"/>
    <w:rsid w:val="005A5D10"/>
    <w:rsid w:val="005A6471"/>
    <w:rsid w:val="005B3CA5"/>
    <w:rsid w:val="005C07DA"/>
    <w:rsid w:val="005C251D"/>
    <w:rsid w:val="005C6F1A"/>
    <w:rsid w:val="005D047B"/>
    <w:rsid w:val="005D04FC"/>
    <w:rsid w:val="005D2A22"/>
    <w:rsid w:val="005D32D9"/>
    <w:rsid w:val="005D391F"/>
    <w:rsid w:val="005D612D"/>
    <w:rsid w:val="005D659C"/>
    <w:rsid w:val="005D6B82"/>
    <w:rsid w:val="005D7335"/>
    <w:rsid w:val="005E4842"/>
    <w:rsid w:val="005E4A58"/>
    <w:rsid w:val="005E738C"/>
    <w:rsid w:val="005E7F5F"/>
    <w:rsid w:val="005F045E"/>
    <w:rsid w:val="005F1196"/>
    <w:rsid w:val="005F1643"/>
    <w:rsid w:val="005F1D0C"/>
    <w:rsid w:val="005F1F10"/>
    <w:rsid w:val="005F3562"/>
    <w:rsid w:val="005F3AE5"/>
    <w:rsid w:val="005F3B53"/>
    <w:rsid w:val="005F5DD0"/>
    <w:rsid w:val="005F6315"/>
    <w:rsid w:val="005F7393"/>
    <w:rsid w:val="005F7C3A"/>
    <w:rsid w:val="0060038D"/>
    <w:rsid w:val="00600A3F"/>
    <w:rsid w:val="00602092"/>
    <w:rsid w:val="00602BFA"/>
    <w:rsid w:val="00603787"/>
    <w:rsid w:val="00604A67"/>
    <w:rsid w:val="0060502C"/>
    <w:rsid w:val="00606126"/>
    <w:rsid w:val="00607DB0"/>
    <w:rsid w:val="00610227"/>
    <w:rsid w:val="00610FED"/>
    <w:rsid w:val="00611A9B"/>
    <w:rsid w:val="006126B3"/>
    <w:rsid w:val="00615695"/>
    <w:rsid w:val="00615956"/>
    <w:rsid w:val="0061686C"/>
    <w:rsid w:val="0061782A"/>
    <w:rsid w:val="006208C2"/>
    <w:rsid w:val="00621BD9"/>
    <w:rsid w:val="00623178"/>
    <w:rsid w:val="00623CE7"/>
    <w:rsid w:val="00625C30"/>
    <w:rsid w:val="00627CDF"/>
    <w:rsid w:val="006316D6"/>
    <w:rsid w:val="00631888"/>
    <w:rsid w:val="006326B7"/>
    <w:rsid w:val="00632A45"/>
    <w:rsid w:val="006330AA"/>
    <w:rsid w:val="0063454E"/>
    <w:rsid w:val="006365C4"/>
    <w:rsid w:val="00636FCC"/>
    <w:rsid w:val="00637749"/>
    <w:rsid w:val="0064056C"/>
    <w:rsid w:val="00640982"/>
    <w:rsid w:val="00642290"/>
    <w:rsid w:val="0064243A"/>
    <w:rsid w:val="00645ACF"/>
    <w:rsid w:val="00645ED4"/>
    <w:rsid w:val="006460EE"/>
    <w:rsid w:val="006474FB"/>
    <w:rsid w:val="006506D2"/>
    <w:rsid w:val="0065142F"/>
    <w:rsid w:val="00651812"/>
    <w:rsid w:val="006521C0"/>
    <w:rsid w:val="00653929"/>
    <w:rsid w:val="00656948"/>
    <w:rsid w:val="00656E75"/>
    <w:rsid w:val="00657DC2"/>
    <w:rsid w:val="00660864"/>
    <w:rsid w:val="00661577"/>
    <w:rsid w:val="006617BC"/>
    <w:rsid w:val="00661B13"/>
    <w:rsid w:val="006624C5"/>
    <w:rsid w:val="00662CF7"/>
    <w:rsid w:val="00664FC5"/>
    <w:rsid w:val="0066567F"/>
    <w:rsid w:val="00665A04"/>
    <w:rsid w:val="00671822"/>
    <w:rsid w:val="00672B3A"/>
    <w:rsid w:val="0067574D"/>
    <w:rsid w:val="006763F3"/>
    <w:rsid w:val="00676D78"/>
    <w:rsid w:val="00677979"/>
    <w:rsid w:val="00680480"/>
    <w:rsid w:val="006804EE"/>
    <w:rsid w:val="00681815"/>
    <w:rsid w:val="00682524"/>
    <w:rsid w:val="006843A7"/>
    <w:rsid w:val="0068489E"/>
    <w:rsid w:val="00684A6B"/>
    <w:rsid w:val="006858F0"/>
    <w:rsid w:val="00685E17"/>
    <w:rsid w:val="0068684E"/>
    <w:rsid w:val="006872E9"/>
    <w:rsid w:val="006912F2"/>
    <w:rsid w:val="00691334"/>
    <w:rsid w:val="00691C8B"/>
    <w:rsid w:val="00691F02"/>
    <w:rsid w:val="006923B0"/>
    <w:rsid w:val="00692729"/>
    <w:rsid w:val="00693A3B"/>
    <w:rsid w:val="00694758"/>
    <w:rsid w:val="00694D83"/>
    <w:rsid w:val="00696180"/>
    <w:rsid w:val="006964AE"/>
    <w:rsid w:val="00696CFB"/>
    <w:rsid w:val="006972B3"/>
    <w:rsid w:val="00697DC9"/>
    <w:rsid w:val="006A07B7"/>
    <w:rsid w:val="006A27C2"/>
    <w:rsid w:val="006A2D7F"/>
    <w:rsid w:val="006A49E8"/>
    <w:rsid w:val="006A51D3"/>
    <w:rsid w:val="006A5DC5"/>
    <w:rsid w:val="006A6B5B"/>
    <w:rsid w:val="006A6C49"/>
    <w:rsid w:val="006B0C72"/>
    <w:rsid w:val="006B3CEE"/>
    <w:rsid w:val="006B5E23"/>
    <w:rsid w:val="006B74C2"/>
    <w:rsid w:val="006B7632"/>
    <w:rsid w:val="006B77B4"/>
    <w:rsid w:val="006C0264"/>
    <w:rsid w:val="006C0C9A"/>
    <w:rsid w:val="006C0EA7"/>
    <w:rsid w:val="006C2BB1"/>
    <w:rsid w:val="006C56A5"/>
    <w:rsid w:val="006C65BF"/>
    <w:rsid w:val="006D0626"/>
    <w:rsid w:val="006D35D9"/>
    <w:rsid w:val="006D5A82"/>
    <w:rsid w:val="006D5FC6"/>
    <w:rsid w:val="006D6AF7"/>
    <w:rsid w:val="006D7FFC"/>
    <w:rsid w:val="006E0600"/>
    <w:rsid w:val="006E1964"/>
    <w:rsid w:val="006E22A4"/>
    <w:rsid w:val="006E2502"/>
    <w:rsid w:val="006E2DAC"/>
    <w:rsid w:val="006E338B"/>
    <w:rsid w:val="006E448C"/>
    <w:rsid w:val="006E46F3"/>
    <w:rsid w:val="006E4A0D"/>
    <w:rsid w:val="006E6815"/>
    <w:rsid w:val="006E7C85"/>
    <w:rsid w:val="006F0D52"/>
    <w:rsid w:val="006F106C"/>
    <w:rsid w:val="006F2406"/>
    <w:rsid w:val="006F34E2"/>
    <w:rsid w:val="006F4C19"/>
    <w:rsid w:val="006F622F"/>
    <w:rsid w:val="006F71A4"/>
    <w:rsid w:val="00700916"/>
    <w:rsid w:val="007009CB"/>
    <w:rsid w:val="00701AF2"/>
    <w:rsid w:val="00702DAA"/>
    <w:rsid w:val="00702E65"/>
    <w:rsid w:val="00703A8A"/>
    <w:rsid w:val="00707314"/>
    <w:rsid w:val="00711E99"/>
    <w:rsid w:val="007120BD"/>
    <w:rsid w:val="0071424B"/>
    <w:rsid w:val="00714548"/>
    <w:rsid w:val="007146F1"/>
    <w:rsid w:val="00714938"/>
    <w:rsid w:val="00715C71"/>
    <w:rsid w:val="00716A0E"/>
    <w:rsid w:val="00716C86"/>
    <w:rsid w:val="00720637"/>
    <w:rsid w:val="007222A8"/>
    <w:rsid w:val="00723EAC"/>
    <w:rsid w:val="0072584F"/>
    <w:rsid w:val="00725919"/>
    <w:rsid w:val="00725FBA"/>
    <w:rsid w:val="0072701E"/>
    <w:rsid w:val="00727F30"/>
    <w:rsid w:val="00730227"/>
    <w:rsid w:val="00730906"/>
    <w:rsid w:val="00732499"/>
    <w:rsid w:val="0073355C"/>
    <w:rsid w:val="007338E3"/>
    <w:rsid w:val="00733971"/>
    <w:rsid w:val="00734604"/>
    <w:rsid w:val="007355B7"/>
    <w:rsid w:val="0073570C"/>
    <w:rsid w:val="00735B60"/>
    <w:rsid w:val="00735C3E"/>
    <w:rsid w:val="00736BEE"/>
    <w:rsid w:val="00741839"/>
    <w:rsid w:val="00741A2B"/>
    <w:rsid w:val="00743712"/>
    <w:rsid w:val="00743ED3"/>
    <w:rsid w:val="00744F5B"/>
    <w:rsid w:val="00745981"/>
    <w:rsid w:val="00746DB7"/>
    <w:rsid w:val="00747354"/>
    <w:rsid w:val="0074755C"/>
    <w:rsid w:val="00747F9B"/>
    <w:rsid w:val="00750373"/>
    <w:rsid w:val="0075055D"/>
    <w:rsid w:val="00750BA3"/>
    <w:rsid w:val="00751932"/>
    <w:rsid w:val="00753A38"/>
    <w:rsid w:val="00754025"/>
    <w:rsid w:val="00754072"/>
    <w:rsid w:val="007566B6"/>
    <w:rsid w:val="007616BA"/>
    <w:rsid w:val="007620E7"/>
    <w:rsid w:val="00763164"/>
    <w:rsid w:val="007643F0"/>
    <w:rsid w:val="00764D5A"/>
    <w:rsid w:val="00765F16"/>
    <w:rsid w:val="00767FC5"/>
    <w:rsid w:val="007716F2"/>
    <w:rsid w:val="007723F3"/>
    <w:rsid w:val="0077431A"/>
    <w:rsid w:val="0077466F"/>
    <w:rsid w:val="00774E20"/>
    <w:rsid w:val="00775FAC"/>
    <w:rsid w:val="0077785A"/>
    <w:rsid w:val="007807B4"/>
    <w:rsid w:val="00780AF1"/>
    <w:rsid w:val="0078221B"/>
    <w:rsid w:val="00783F92"/>
    <w:rsid w:val="00785F41"/>
    <w:rsid w:val="00786CBB"/>
    <w:rsid w:val="00787E83"/>
    <w:rsid w:val="007900B9"/>
    <w:rsid w:val="007900FE"/>
    <w:rsid w:val="007929E4"/>
    <w:rsid w:val="00792CAC"/>
    <w:rsid w:val="0079355E"/>
    <w:rsid w:val="00793E19"/>
    <w:rsid w:val="007944CD"/>
    <w:rsid w:val="007963BA"/>
    <w:rsid w:val="007964A0"/>
    <w:rsid w:val="00797512"/>
    <w:rsid w:val="00797EF6"/>
    <w:rsid w:val="007A116A"/>
    <w:rsid w:val="007A375C"/>
    <w:rsid w:val="007A50E9"/>
    <w:rsid w:val="007A5474"/>
    <w:rsid w:val="007A6E49"/>
    <w:rsid w:val="007B07FE"/>
    <w:rsid w:val="007B2618"/>
    <w:rsid w:val="007B4293"/>
    <w:rsid w:val="007B5EE0"/>
    <w:rsid w:val="007B7789"/>
    <w:rsid w:val="007B7A24"/>
    <w:rsid w:val="007C0B68"/>
    <w:rsid w:val="007C1192"/>
    <w:rsid w:val="007C3C68"/>
    <w:rsid w:val="007C586B"/>
    <w:rsid w:val="007C6393"/>
    <w:rsid w:val="007C6A12"/>
    <w:rsid w:val="007D07BD"/>
    <w:rsid w:val="007D1DAB"/>
    <w:rsid w:val="007D2988"/>
    <w:rsid w:val="007D372E"/>
    <w:rsid w:val="007D5A01"/>
    <w:rsid w:val="007D6DAB"/>
    <w:rsid w:val="007D708A"/>
    <w:rsid w:val="007D7FF2"/>
    <w:rsid w:val="007E0365"/>
    <w:rsid w:val="007E0DCE"/>
    <w:rsid w:val="007E1B1A"/>
    <w:rsid w:val="007E40A6"/>
    <w:rsid w:val="007E53DA"/>
    <w:rsid w:val="007E578D"/>
    <w:rsid w:val="007E7C55"/>
    <w:rsid w:val="007F0D1B"/>
    <w:rsid w:val="007F13D2"/>
    <w:rsid w:val="007F73BA"/>
    <w:rsid w:val="008004E2"/>
    <w:rsid w:val="00801140"/>
    <w:rsid w:val="00801FA1"/>
    <w:rsid w:val="00802D9E"/>
    <w:rsid w:val="008033D6"/>
    <w:rsid w:val="0080478F"/>
    <w:rsid w:val="00805362"/>
    <w:rsid w:val="00810112"/>
    <w:rsid w:val="008122FC"/>
    <w:rsid w:val="008133BA"/>
    <w:rsid w:val="0081534D"/>
    <w:rsid w:val="00816E85"/>
    <w:rsid w:val="00820457"/>
    <w:rsid w:val="00820885"/>
    <w:rsid w:val="00821387"/>
    <w:rsid w:val="00821D5E"/>
    <w:rsid w:val="00821F38"/>
    <w:rsid w:val="00822680"/>
    <w:rsid w:val="00822D5C"/>
    <w:rsid w:val="00823DB5"/>
    <w:rsid w:val="00823E64"/>
    <w:rsid w:val="008240EA"/>
    <w:rsid w:val="00824BD8"/>
    <w:rsid w:val="00826139"/>
    <w:rsid w:val="008319F2"/>
    <w:rsid w:val="008359D2"/>
    <w:rsid w:val="00835FAE"/>
    <w:rsid w:val="008379EB"/>
    <w:rsid w:val="0084011B"/>
    <w:rsid w:val="00845143"/>
    <w:rsid w:val="008454C8"/>
    <w:rsid w:val="00845F5E"/>
    <w:rsid w:val="00846014"/>
    <w:rsid w:val="00847DC6"/>
    <w:rsid w:val="00847F1B"/>
    <w:rsid w:val="00850622"/>
    <w:rsid w:val="00850DAB"/>
    <w:rsid w:val="00850F31"/>
    <w:rsid w:val="00852A9E"/>
    <w:rsid w:val="00852DF8"/>
    <w:rsid w:val="008537B9"/>
    <w:rsid w:val="00853942"/>
    <w:rsid w:val="00853A7C"/>
    <w:rsid w:val="0085413A"/>
    <w:rsid w:val="008551AF"/>
    <w:rsid w:val="008556DD"/>
    <w:rsid w:val="00857E41"/>
    <w:rsid w:val="00862C3E"/>
    <w:rsid w:val="00862D6E"/>
    <w:rsid w:val="008630D4"/>
    <w:rsid w:val="0086432F"/>
    <w:rsid w:val="008648BA"/>
    <w:rsid w:val="00865120"/>
    <w:rsid w:val="008657CA"/>
    <w:rsid w:val="008658ED"/>
    <w:rsid w:val="008672CF"/>
    <w:rsid w:val="008676A6"/>
    <w:rsid w:val="008704D9"/>
    <w:rsid w:val="00872F19"/>
    <w:rsid w:val="00877AB6"/>
    <w:rsid w:val="00881A9A"/>
    <w:rsid w:val="00882C4D"/>
    <w:rsid w:val="008831A4"/>
    <w:rsid w:val="00883A48"/>
    <w:rsid w:val="008844DB"/>
    <w:rsid w:val="008847B8"/>
    <w:rsid w:val="008862C8"/>
    <w:rsid w:val="00887085"/>
    <w:rsid w:val="008903CA"/>
    <w:rsid w:val="0089181B"/>
    <w:rsid w:val="00891FF5"/>
    <w:rsid w:val="00892497"/>
    <w:rsid w:val="00892EEB"/>
    <w:rsid w:val="008936DA"/>
    <w:rsid w:val="00894734"/>
    <w:rsid w:val="0089490D"/>
    <w:rsid w:val="008960E0"/>
    <w:rsid w:val="008979D3"/>
    <w:rsid w:val="008A007E"/>
    <w:rsid w:val="008A0EF5"/>
    <w:rsid w:val="008A285E"/>
    <w:rsid w:val="008A2C7D"/>
    <w:rsid w:val="008A3385"/>
    <w:rsid w:val="008A3999"/>
    <w:rsid w:val="008A5357"/>
    <w:rsid w:val="008A6032"/>
    <w:rsid w:val="008A6A34"/>
    <w:rsid w:val="008B0F71"/>
    <w:rsid w:val="008B1ABC"/>
    <w:rsid w:val="008B3E6F"/>
    <w:rsid w:val="008B51A6"/>
    <w:rsid w:val="008C0C0B"/>
    <w:rsid w:val="008C1AE2"/>
    <w:rsid w:val="008C40F8"/>
    <w:rsid w:val="008C5A4D"/>
    <w:rsid w:val="008C5E10"/>
    <w:rsid w:val="008C77A0"/>
    <w:rsid w:val="008D12F1"/>
    <w:rsid w:val="008D1B57"/>
    <w:rsid w:val="008D2381"/>
    <w:rsid w:val="008D3B61"/>
    <w:rsid w:val="008D4187"/>
    <w:rsid w:val="008D642E"/>
    <w:rsid w:val="008D6B40"/>
    <w:rsid w:val="008E1D90"/>
    <w:rsid w:val="008E5A2F"/>
    <w:rsid w:val="008E632C"/>
    <w:rsid w:val="008F176A"/>
    <w:rsid w:val="008F4393"/>
    <w:rsid w:val="008F6AE7"/>
    <w:rsid w:val="00900475"/>
    <w:rsid w:val="00900E4B"/>
    <w:rsid w:val="00902096"/>
    <w:rsid w:val="00902387"/>
    <w:rsid w:val="00912D5E"/>
    <w:rsid w:val="00913293"/>
    <w:rsid w:val="00913CF1"/>
    <w:rsid w:val="00913FFE"/>
    <w:rsid w:val="00914325"/>
    <w:rsid w:val="009155BB"/>
    <w:rsid w:val="0091625C"/>
    <w:rsid w:val="00917F10"/>
    <w:rsid w:val="00917F2A"/>
    <w:rsid w:val="00923235"/>
    <w:rsid w:val="0092336F"/>
    <w:rsid w:val="00923738"/>
    <w:rsid w:val="0092409B"/>
    <w:rsid w:val="00924DA5"/>
    <w:rsid w:val="00927DCB"/>
    <w:rsid w:val="009312C5"/>
    <w:rsid w:val="00931EE6"/>
    <w:rsid w:val="00931FC9"/>
    <w:rsid w:val="00932403"/>
    <w:rsid w:val="009335FF"/>
    <w:rsid w:val="00935649"/>
    <w:rsid w:val="00935867"/>
    <w:rsid w:val="009363FE"/>
    <w:rsid w:val="00936B5A"/>
    <w:rsid w:val="009376ED"/>
    <w:rsid w:val="009376F7"/>
    <w:rsid w:val="009423E5"/>
    <w:rsid w:val="00942C01"/>
    <w:rsid w:val="00942D0E"/>
    <w:rsid w:val="00943239"/>
    <w:rsid w:val="00944FDE"/>
    <w:rsid w:val="009462B3"/>
    <w:rsid w:val="00947748"/>
    <w:rsid w:val="00951786"/>
    <w:rsid w:val="009522D2"/>
    <w:rsid w:val="009523B7"/>
    <w:rsid w:val="00952A70"/>
    <w:rsid w:val="00953633"/>
    <w:rsid w:val="00953848"/>
    <w:rsid w:val="00954516"/>
    <w:rsid w:val="00954FDD"/>
    <w:rsid w:val="009572CF"/>
    <w:rsid w:val="009574A6"/>
    <w:rsid w:val="00960159"/>
    <w:rsid w:val="00960A3F"/>
    <w:rsid w:val="00961193"/>
    <w:rsid w:val="00963215"/>
    <w:rsid w:val="00963ED2"/>
    <w:rsid w:val="00965FEF"/>
    <w:rsid w:val="00967DCD"/>
    <w:rsid w:val="00971CBF"/>
    <w:rsid w:val="009737D1"/>
    <w:rsid w:val="009737FD"/>
    <w:rsid w:val="00973F41"/>
    <w:rsid w:val="00975175"/>
    <w:rsid w:val="00975500"/>
    <w:rsid w:val="009755C6"/>
    <w:rsid w:val="0097776B"/>
    <w:rsid w:val="00977936"/>
    <w:rsid w:val="00977CC9"/>
    <w:rsid w:val="00981A36"/>
    <w:rsid w:val="00981D66"/>
    <w:rsid w:val="009845BC"/>
    <w:rsid w:val="00986026"/>
    <w:rsid w:val="0098620E"/>
    <w:rsid w:val="009863CC"/>
    <w:rsid w:val="00990216"/>
    <w:rsid w:val="00990D32"/>
    <w:rsid w:val="00991EEF"/>
    <w:rsid w:val="0099361E"/>
    <w:rsid w:val="00993907"/>
    <w:rsid w:val="00995F05"/>
    <w:rsid w:val="0099665A"/>
    <w:rsid w:val="009A0DFF"/>
    <w:rsid w:val="009A1704"/>
    <w:rsid w:val="009A18D8"/>
    <w:rsid w:val="009A24CB"/>
    <w:rsid w:val="009A309F"/>
    <w:rsid w:val="009A398F"/>
    <w:rsid w:val="009A3B2C"/>
    <w:rsid w:val="009A4034"/>
    <w:rsid w:val="009A4178"/>
    <w:rsid w:val="009A52D7"/>
    <w:rsid w:val="009A60B8"/>
    <w:rsid w:val="009A6255"/>
    <w:rsid w:val="009A67C7"/>
    <w:rsid w:val="009A749D"/>
    <w:rsid w:val="009B00E6"/>
    <w:rsid w:val="009B12DA"/>
    <w:rsid w:val="009B533E"/>
    <w:rsid w:val="009B601C"/>
    <w:rsid w:val="009B6DE7"/>
    <w:rsid w:val="009B720F"/>
    <w:rsid w:val="009B7B1E"/>
    <w:rsid w:val="009C2439"/>
    <w:rsid w:val="009C34A1"/>
    <w:rsid w:val="009C3529"/>
    <w:rsid w:val="009C3F42"/>
    <w:rsid w:val="009C5915"/>
    <w:rsid w:val="009C6A15"/>
    <w:rsid w:val="009C78FD"/>
    <w:rsid w:val="009C7B2F"/>
    <w:rsid w:val="009C7F05"/>
    <w:rsid w:val="009C7F5B"/>
    <w:rsid w:val="009D05A2"/>
    <w:rsid w:val="009D110F"/>
    <w:rsid w:val="009D230A"/>
    <w:rsid w:val="009D2EF3"/>
    <w:rsid w:val="009D53CD"/>
    <w:rsid w:val="009D5A8E"/>
    <w:rsid w:val="009D6105"/>
    <w:rsid w:val="009D6C4D"/>
    <w:rsid w:val="009D74F7"/>
    <w:rsid w:val="009D7851"/>
    <w:rsid w:val="009D7DFF"/>
    <w:rsid w:val="009E1609"/>
    <w:rsid w:val="009E267B"/>
    <w:rsid w:val="009E4A3C"/>
    <w:rsid w:val="009F04FA"/>
    <w:rsid w:val="009F2372"/>
    <w:rsid w:val="009F4DA8"/>
    <w:rsid w:val="009F5173"/>
    <w:rsid w:val="009F5543"/>
    <w:rsid w:val="009F5FA0"/>
    <w:rsid w:val="009F6A79"/>
    <w:rsid w:val="009F6F89"/>
    <w:rsid w:val="00A02B35"/>
    <w:rsid w:val="00A03C74"/>
    <w:rsid w:val="00A07572"/>
    <w:rsid w:val="00A1058A"/>
    <w:rsid w:val="00A10C99"/>
    <w:rsid w:val="00A11B1B"/>
    <w:rsid w:val="00A11BD6"/>
    <w:rsid w:val="00A12E6E"/>
    <w:rsid w:val="00A13577"/>
    <w:rsid w:val="00A15D63"/>
    <w:rsid w:val="00A16BEC"/>
    <w:rsid w:val="00A17F34"/>
    <w:rsid w:val="00A206C1"/>
    <w:rsid w:val="00A20D58"/>
    <w:rsid w:val="00A2272E"/>
    <w:rsid w:val="00A227FA"/>
    <w:rsid w:val="00A2284D"/>
    <w:rsid w:val="00A2293C"/>
    <w:rsid w:val="00A265A6"/>
    <w:rsid w:val="00A268DB"/>
    <w:rsid w:val="00A26EB9"/>
    <w:rsid w:val="00A27C20"/>
    <w:rsid w:val="00A27D25"/>
    <w:rsid w:val="00A27DBE"/>
    <w:rsid w:val="00A304AC"/>
    <w:rsid w:val="00A31A2B"/>
    <w:rsid w:val="00A369F1"/>
    <w:rsid w:val="00A37081"/>
    <w:rsid w:val="00A37D49"/>
    <w:rsid w:val="00A40E43"/>
    <w:rsid w:val="00A40F8F"/>
    <w:rsid w:val="00A419F6"/>
    <w:rsid w:val="00A41BD1"/>
    <w:rsid w:val="00A4204C"/>
    <w:rsid w:val="00A4356B"/>
    <w:rsid w:val="00A43A3A"/>
    <w:rsid w:val="00A4432D"/>
    <w:rsid w:val="00A45AD5"/>
    <w:rsid w:val="00A523A9"/>
    <w:rsid w:val="00A52E42"/>
    <w:rsid w:val="00A535D7"/>
    <w:rsid w:val="00A554F6"/>
    <w:rsid w:val="00A55762"/>
    <w:rsid w:val="00A560ED"/>
    <w:rsid w:val="00A56EAC"/>
    <w:rsid w:val="00A577B8"/>
    <w:rsid w:val="00A611D5"/>
    <w:rsid w:val="00A61513"/>
    <w:rsid w:val="00A65209"/>
    <w:rsid w:val="00A653CA"/>
    <w:rsid w:val="00A6592C"/>
    <w:rsid w:val="00A6661F"/>
    <w:rsid w:val="00A7048A"/>
    <w:rsid w:val="00A71917"/>
    <w:rsid w:val="00A73F79"/>
    <w:rsid w:val="00A74074"/>
    <w:rsid w:val="00A744E9"/>
    <w:rsid w:val="00A803FC"/>
    <w:rsid w:val="00A81574"/>
    <w:rsid w:val="00A81BB1"/>
    <w:rsid w:val="00A8229B"/>
    <w:rsid w:val="00A82663"/>
    <w:rsid w:val="00A82EE7"/>
    <w:rsid w:val="00A83280"/>
    <w:rsid w:val="00A84916"/>
    <w:rsid w:val="00A85E28"/>
    <w:rsid w:val="00A8763D"/>
    <w:rsid w:val="00A93C02"/>
    <w:rsid w:val="00A9434D"/>
    <w:rsid w:val="00A94880"/>
    <w:rsid w:val="00A94FA3"/>
    <w:rsid w:val="00A95B12"/>
    <w:rsid w:val="00A9672C"/>
    <w:rsid w:val="00A97076"/>
    <w:rsid w:val="00A977E1"/>
    <w:rsid w:val="00AA11B6"/>
    <w:rsid w:val="00AA1FC4"/>
    <w:rsid w:val="00AA386A"/>
    <w:rsid w:val="00AA51B7"/>
    <w:rsid w:val="00AA5531"/>
    <w:rsid w:val="00AA61D4"/>
    <w:rsid w:val="00AA77E4"/>
    <w:rsid w:val="00AA7D6D"/>
    <w:rsid w:val="00AB0511"/>
    <w:rsid w:val="00AB4531"/>
    <w:rsid w:val="00AB4558"/>
    <w:rsid w:val="00AB7C0A"/>
    <w:rsid w:val="00AB7DE4"/>
    <w:rsid w:val="00AC1F5F"/>
    <w:rsid w:val="00AC2ACC"/>
    <w:rsid w:val="00AC379C"/>
    <w:rsid w:val="00AC3A91"/>
    <w:rsid w:val="00AC5A58"/>
    <w:rsid w:val="00AC7DAE"/>
    <w:rsid w:val="00AD219F"/>
    <w:rsid w:val="00AD28A7"/>
    <w:rsid w:val="00AD2A63"/>
    <w:rsid w:val="00AD3792"/>
    <w:rsid w:val="00AD3F6D"/>
    <w:rsid w:val="00AD419B"/>
    <w:rsid w:val="00AD5FBF"/>
    <w:rsid w:val="00AE0663"/>
    <w:rsid w:val="00AE171E"/>
    <w:rsid w:val="00AE1933"/>
    <w:rsid w:val="00AE25C3"/>
    <w:rsid w:val="00AE3298"/>
    <w:rsid w:val="00AE32A3"/>
    <w:rsid w:val="00AE51A9"/>
    <w:rsid w:val="00AE52F8"/>
    <w:rsid w:val="00AE5E35"/>
    <w:rsid w:val="00AF0393"/>
    <w:rsid w:val="00AF1192"/>
    <w:rsid w:val="00AF227D"/>
    <w:rsid w:val="00AF2A32"/>
    <w:rsid w:val="00AF603B"/>
    <w:rsid w:val="00AF7EEC"/>
    <w:rsid w:val="00B002E5"/>
    <w:rsid w:val="00B01187"/>
    <w:rsid w:val="00B02ACF"/>
    <w:rsid w:val="00B04556"/>
    <w:rsid w:val="00B04593"/>
    <w:rsid w:val="00B05F54"/>
    <w:rsid w:val="00B0661B"/>
    <w:rsid w:val="00B10BC3"/>
    <w:rsid w:val="00B12501"/>
    <w:rsid w:val="00B12F18"/>
    <w:rsid w:val="00B1447E"/>
    <w:rsid w:val="00B152DF"/>
    <w:rsid w:val="00B157A1"/>
    <w:rsid w:val="00B16435"/>
    <w:rsid w:val="00B168EB"/>
    <w:rsid w:val="00B17AA8"/>
    <w:rsid w:val="00B234E4"/>
    <w:rsid w:val="00B23975"/>
    <w:rsid w:val="00B2549C"/>
    <w:rsid w:val="00B254E8"/>
    <w:rsid w:val="00B26D4C"/>
    <w:rsid w:val="00B274EB"/>
    <w:rsid w:val="00B3002B"/>
    <w:rsid w:val="00B30A09"/>
    <w:rsid w:val="00B31429"/>
    <w:rsid w:val="00B31481"/>
    <w:rsid w:val="00B31696"/>
    <w:rsid w:val="00B34DD5"/>
    <w:rsid w:val="00B36369"/>
    <w:rsid w:val="00B36E82"/>
    <w:rsid w:val="00B3793F"/>
    <w:rsid w:val="00B37F14"/>
    <w:rsid w:val="00B40044"/>
    <w:rsid w:val="00B4029C"/>
    <w:rsid w:val="00B40E40"/>
    <w:rsid w:val="00B41878"/>
    <w:rsid w:val="00B41DE8"/>
    <w:rsid w:val="00B420EF"/>
    <w:rsid w:val="00B434FC"/>
    <w:rsid w:val="00B435D6"/>
    <w:rsid w:val="00B438B2"/>
    <w:rsid w:val="00B4564B"/>
    <w:rsid w:val="00B47547"/>
    <w:rsid w:val="00B502D9"/>
    <w:rsid w:val="00B53696"/>
    <w:rsid w:val="00B54551"/>
    <w:rsid w:val="00B55291"/>
    <w:rsid w:val="00B56508"/>
    <w:rsid w:val="00B56B63"/>
    <w:rsid w:val="00B56BF1"/>
    <w:rsid w:val="00B576E3"/>
    <w:rsid w:val="00B6064C"/>
    <w:rsid w:val="00B63C0E"/>
    <w:rsid w:val="00B63D78"/>
    <w:rsid w:val="00B650E5"/>
    <w:rsid w:val="00B65A12"/>
    <w:rsid w:val="00B661DA"/>
    <w:rsid w:val="00B6622D"/>
    <w:rsid w:val="00B66682"/>
    <w:rsid w:val="00B670DE"/>
    <w:rsid w:val="00B67633"/>
    <w:rsid w:val="00B67D6B"/>
    <w:rsid w:val="00B7117F"/>
    <w:rsid w:val="00B71CF2"/>
    <w:rsid w:val="00B74640"/>
    <w:rsid w:val="00B747A6"/>
    <w:rsid w:val="00B74E69"/>
    <w:rsid w:val="00B75047"/>
    <w:rsid w:val="00B75B8E"/>
    <w:rsid w:val="00B76016"/>
    <w:rsid w:val="00B7703A"/>
    <w:rsid w:val="00B772AD"/>
    <w:rsid w:val="00B801CD"/>
    <w:rsid w:val="00B80298"/>
    <w:rsid w:val="00B802E7"/>
    <w:rsid w:val="00B807C8"/>
    <w:rsid w:val="00B82342"/>
    <w:rsid w:val="00B83757"/>
    <w:rsid w:val="00B86354"/>
    <w:rsid w:val="00B863C2"/>
    <w:rsid w:val="00B87FFC"/>
    <w:rsid w:val="00B92180"/>
    <w:rsid w:val="00B94E8F"/>
    <w:rsid w:val="00B960E4"/>
    <w:rsid w:val="00B96C72"/>
    <w:rsid w:val="00BA056F"/>
    <w:rsid w:val="00BA11B4"/>
    <w:rsid w:val="00BA1506"/>
    <w:rsid w:val="00BA218A"/>
    <w:rsid w:val="00BA2251"/>
    <w:rsid w:val="00BA2897"/>
    <w:rsid w:val="00BA4619"/>
    <w:rsid w:val="00BA4CB0"/>
    <w:rsid w:val="00BB188F"/>
    <w:rsid w:val="00BB1A49"/>
    <w:rsid w:val="00BB1DE4"/>
    <w:rsid w:val="00BB329D"/>
    <w:rsid w:val="00BB3DDC"/>
    <w:rsid w:val="00BB4E66"/>
    <w:rsid w:val="00BB69A3"/>
    <w:rsid w:val="00BB6B6F"/>
    <w:rsid w:val="00BB6D1E"/>
    <w:rsid w:val="00BC0479"/>
    <w:rsid w:val="00BC2FE1"/>
    <w:rsid w:val="00BC4A21"/>
    <w:rsid w:val="00BC6EB1"/>
    <w:rsid w:val="00BD14DA"/>
    <w:rsid w:val="00BD20C4"/>
    <w:rsid w:val="00BD25B1"/>
    <w:rsid w:val="00BD2EC4"/>
    <w:rsid w:val="00BD34E4"/>
    <w:rsid w:val="00BD4A12"/>
    <w:rsid w:val="00BD518A"/>
    <w:rsid w:val="00BD635F"/>
    <w:rsid w:val="00BD7FA4"/>
    <w:rsid w:val="00BE19BA"/>
    <w:rsid w:val="00BE1A8A"/>
    <w:rsid w:val="00BE3368"/>
    <w:rsid w:val="00BE3CC9"/>
    <w:rsid w:val="00BE49B1"/>
    <w:rsid w:val="00BE57CF"/>
    <w:rsid w:val="00BE7BDA"/>
    <w:rsid w:val="00BF29FD"/>
    <w:rsid w:val="00BF360E"/>
    <w:rsid w:val="00BF3A6C"/>
    <w:rsid w:val="00BF3B11"/>
    <w:rsid w:val="00BF3B55"/>
    <w:rsid w:val="00BF3E12"/>
    <w:rsid w:val="00BF4576"/>
    <w:rsid w:val="00BF5983"/>
    <w:rsid w:val="00BF5BD1"/>
    <w:rsid w:val="00BF6C76"/>
    <w:rsid w:val="00C012CE"/>
    <w:rsid w:val="00C01CAB"/>
    <w:rsid w:val="00C0240A"/>
    <w:rsid w:val="00C05445"/>
    <w:rsid w:val="00C12BEC"/>
    <w:rsid w:val="00C13A98"/>
    <w:rsid w:val="00C1494C"/>
    <w:rsid w:val="00C155AD"/>
    <w:rsid w:val="00C15A69"/>
    <w:rsid w:val="00C1619A"/>
    <w:rsid w:val="00C20BD9"/>
    <w:rsid w:val="00C2137A"/>
    <w:rsid w:val="00C2185E"/>
    <w:rsid w:val="00C22253"/>
    <w:rsid w:val="00C23613"/>
    <w:rsid w:val="00C26A79"/>
    <w:rsid w:val="00C2738E"/>
    <w:rsid w:val="00C2792D"/>
    <w:rsid w:val="00C27D1E"/>
    <w:rsid w:val="00C27FA1"/>
    <w:rsid w:val="00C313EF"/>
    <w:rsid w:val="00C32335"/>
    <w:rsid w:val="00C32464"/>
    <w:rsid w:val="00C32EDF"/>
    <w:rsid w:val="00C33287"/>
    <w:rsid w:val="00C33724"/>
    <w:rsid w:val="00C34604"/>
    <w:rsid w:val="00C3792B"/>
    <w:rsid w:val="00C40325"/>
    <w:rsid w:val="00C4074D"/>
    <w:rsid w:val="00C40890"/>
    <w:rsid w:val="00C41C49"/>
    <w:rsid w:val="00C43569"/>
    <w:rsid w:val="00C43E22"/>
    <w:rsid w:val="00C43EE9"/>
    <w:rsid w:val="00C445F5"/>
    <w:rsid w:val="00C457DD"/>
    <w:rsid w:val="00C46628"/>
    <w:rsid w:val="00C4773D"/>
    <w:rsid w:val="00C50F30"/>
    <w:rsid w:val="00C517EE"/>
    <w:rsid w:val="00C519A3"/>
    <w:rsid w:val="00C5259D"/>
    <w:rsid w:val="00C5435E"/>
    <w:rsid w:val="00C55D0A"/>
    <w:rsid w:val="00C56C19"/>
    <w:rsid w:val="00C60C0D"/>
    <w:rsid w:val="00C6166D"/>
    <w:rsid w:val="00C61EE1"/>
    <w:rsid w:val="00C624D9"/>
    <w:rsid w:val="00C6261C"/>
    <w:rsid w:val="00C62637"/>
    <w:rsid w:val="00C66DD1"/>
    <w:rsid w:val="00C70056"/>
    <w:rsid w:val="00C704EC"/>
    <w:rsid w:val="00C715EB"/>
    <w:rsid w:val="00C72104"/>
    <w:rsid w:val="00C75680"/>
    <w:rsid w:val="00C7718A"/>
    <w:rsid w:val="00C77C59"/>
    <w:rsid w:val="00C802B6"/>
    <w:rsid w:val="00C81E92"/>
    <w:rsid w:val="00C82F80"/>
    <w:rsid w:val="00C84BF0"/>
    <w:rsid w:val="00C84ECB"/>
    <w:rsid w:val="00C85D12"/>
    <w:rsid w:val="00C903AB"/>
    <w:rsid w:val="00C90BA6"/>
    <w:rsid w:val="00C91D62"/>
    <w:rsid w:val="00C920DD"/>
    <w:rsid w:val="00C92DB9"/>
    <w:rsid w:val="00C94104"/>
    <w:rsid w:val="00C9439F"/>
    <w:rsid w:val="00C94FB3"/>
    <w:rsid w:val="00C96CD4"/>
    <w:rsid w:val="00C97884"/>
    <w:rsid w:val="00CA0CE5"/>
    <w:rsid w:val="00CA0D54"/>
    <w:rsid w:val="00CA2BDD"/>
    <w:rsid w:val="00CA3F5D"/>
    <w:rsid w:val="00CA4316"/>
    <w:rsid w:val="00CA65BB"/>
    <w:rsid w:val="00CB0131"/>
    <w:rsid w:val="00CB1952"/>
    <w:rsid w:val="00CB2F5E"/>
    <w:rsid w:val="00CB53FC"/>
    <w:rsid w:val="00CB6255"/>
    <w:rsid w:val="00CB6E92"/>
    <w:rsid w:val="00CB7D1E"/>
    <w:rsid w:val="00CC1468"/>
    <w:rsid w:val="00CC33B4"/>
    <w:rsid w:val="00CC39CD"/>
    <w:rsid w:val="00CC4308"/>
    <w:rsid w:val="00CC433F"/>
    <w:rsid w:val="00CC4B2C"/>
    <w:rsid w:val="00CC4CD7"/>
    <w:rsid w:val="00CC63E5"/>
    <w:rsid w:val="00CC757E"/>
    <w:rsid w:val="00CD02B2"/>
    <w:rsid w:val="00CD0C19"/>
    <w:rsid w:val="00CD1583"/>
    <w:rsid w:val="00CD29B4"/>
    <w:rsid w:val="00CD6808"/>
    <w:rsid w:val="00CD7379"/>
    <w:rsid w:val="00CD7450"/>
    <w:rsid w:val="00CE03B6"/>
    <w:rsid w:val="00CE134E"/>
    <w:rsid w:val="00CE38F5"/>
    <w:rsid w:val="00CE3D46"/>
    <w:rsid w:val="00CE41FF"/>
    <w:rsid w:val="00CE48A1"/>
    <w:rsid w:val="00CE4B3A"/>
    <w:rsid w:val="00CE58FF"/>
    <w:rsid w:val="00CE5C33"/>
    <w:rsid w:val="00CE6120"/>
    <w:rsid w:val="00CE65D3"/>
    <w:rsid w:val="00CE6CCD"/>
    <w:rsid w:val="00CE7FEF"/>
    <w:rsid w:val="00CF0133"/>
    <w:rsid w:val="00CF21E4"/>
    <w:rsid w:val="00CF2C99"/>
    <w:rsid w:val="00CF3543"/>
    <w:rsid w:val="00CF3708"/>
    <w:rsid w:val="00CF3EF2"/>
    <w:rsid w:val="00CF41F3"/>
    <w:rsid w:val="00CF44EE"/>
    <w:rsid w:val="00CF4E24"/>
    <w:rsid w:val="00CF5591"/>
    <w:rsid w:val="00CF5E9D"/>
    <w:rsid w:val="00CF691B"/>
    <w:rsid w:val="00D00C00"/>
    <w:rsid w:val="00D0113D"/>
    <w:rsid w:val="00D04A39"/>
    <w:rsid w:val="00D062CD"/>
    <w:rsid w:val="00D06E1F"/>
    <w:rsid w:val="00D072C1"/>
    <w:rsid w:val="00D104E4"/>
    <w:rsid w:val="00D1370F"/>
    <w:rsid w:val="00D1588F"/>
    <w:rsid w:val="00D16656"/>
    <w:rsid w:val="00D17096"/>
    <w:rsid w:val="00D2366C"/>
    <w:rsid w:val="00D24928"/>
    <w:rsid w:val="00D24FBB"/>
    <w:rsid w:val="00D25345"/>
    <w:rsid w:val="00D26F04"/>
    <w:rsid w:val="00D26F5A"/>
    <w:rsid w:val="00D3010B"/>
    <w:rsid w:val="00D30DFE"/>
    <w:rsid w:val="00D33AAF"/>
    <w:rsid w:val="00D34BC8"/>
    <w:rsid w:val="00D35158"/>
    <w:rsid w:val="00D35FFC"/>
    <w:rsid w:val="00D361C9"/>
    <w:rsid w:val="00D376A2"/>
    <w:rsid w:val="00D406F1"/>
    <w:rsid w:val="00D41198"/>
    <w:rsid w:val="00D43D22"/>
    <w:rsid w:val="00D4427C"/>
    <w:rsid w:val="00D44F49"/>
    <w:rsid w:val="00D46EAE"/>
    <w:rsid w:val="00D475E5"/>
    <w:rsid w:val="00D5075E"/>
    <w:rsid w:val="00D50940"/>
    <w:rsid w:val="00D50A13"/>
    <w:rsid w:val="00D51678"/>
    <w:rsid w:val="00D51E75"/>
    <w:rsid w:val="00D51F76"/>
    <w:rsid w:val="00D536A6"/>
    <w:rsid w:val="00D53C18"/>
    <w:rsid w:val="00D551A1"/>
    <w:rsid w:val="00D556D8"/>
    <w:rsid w:val="00D56A04"/>
    <w:rsid w:val="00D602FF"/>
    <w:rsid w:val="00D6311A"/>
    <w:rsid w:val="00D66192"/>
    <w:rsid w:val="00D71B50"/>
    <w:rsid w:val="00D71E67"/>
    <w:rsid w:val="00D7359B"/>
    <w:rsid w:val="00D73DDD"/>
    <w:rsid w:val="00D7569C"/>
    <w:rsid w:val="00D75A72"/>
    <w:rsid w:val="00D8026D"/>
    <w:rsid w:val="00D80711"/>
    <w:rsid w:val="00D809FD"/>
    <w:rsid w:val="00D8177C"/>
    <w:rsid w:val="00D826E6"/>
    <w:rsid w:val="00D82AF4"/>
    <w:rsid w:val="00D83C88"/>
    <w:rsid w:val="00D849DD"/>
    <w:rsid w:val="00D85ED2"/>
    <w:rsid w:val="00D87606"/>
    <w:rsid w:val="00D877BE"/>
    <w:rsid w:val="00D906AC"/>
    <w:rsid w:val="00D90C21"/>
    <w:rsid w:val="00D90ED7"/>
    <w:rsid w:val="00D91C4A"/>
    <w:rsid w:val="00D95157"/>
    <w:rsid w:val="00D95359"/>
    <w:rsid w:val="00D95A49"/>
    <w:rsid w:val="00D977C3"/>
    <w:rsid w:val="00DA0C6E"/>
    <w:rsid w:val="00DA1571"/>
    <w:rsid w:val="00DA289E"/>
    <w:rsid w:val="00DA7544"/>
    <w:rsid w:val="00DB3B4F"/>
    <w:rsid w:val="00DB69C3"/>
    <w:rsid w:val="00DB78A2"/>
    <w:rsid w:val="00DC0A4C"/>
    <w:rsid w:val="00DC2A4E"/>
    <w:rsid w:val="00DC310A"/>
    <w:rsid w:val="00DC41C8"/>
    <w:rsid w:val="00DC4D0B"/>
    <w:rsid w:val="00DC62B2"/>
    <w:rsid w:val="00DC6AF2"/>
    <w:rsid w:val="00DD0BDE"/>
    <w:rsid w:val="00DD11FA"/>
    <w:rsid w:val="00DD1C32"/>
    <w:rsid w:val="00DD20E5"/>
    <w:rsid w:val="00DD23A7"/>
    <w:rsid w:val="00DD2412"/>
    <w:rsid w:val="00DD288A"/>
    <w:rsid w:val="00DD417C"/>
    <w:rsid w:val="00DD42FE"/>
    <w:rsid w:val="00DD6B67"/>
    <w:rsid w:val="00DE06C2"/>
    <w:rsid w:val="00DE0DE0"/>
    <w:rsid w:val="00DE10B3"/>
    <w:rsid w:val="00DE48CF"/>
    <w:rsid w:val="00DE703B"/>
    <w:rsid w:val="00DF1B46"/>
    <w:rsid w:val="00DF24F2"/>
    <w:rsid w:val="00DF7165"/>
    <w:rsid w:val="00DF79E0"/>
    <w:rsid w:val="00DF7AE9"/>
    <w:rsid w:val="00E009AF"/>
    <w:rsid w:val="00E00D99"/>
    <w:rsid w:val="00E00EB7"/>
    <w:rsid w:val="00E030FF"/>
    <w:rsid w:val="00E04EE8"/>
    <w:rsid w:val="00E055E5"/>
    <w:rsid w:val="00E060AD"/>
    <w:rsid w:val="00E07E07"/>
    <w:rsid w:val="00E101D3"/>
    <w:rsid w:val="00E11F03"/>
    <w:rsid w:val="00E122D0"/>
    <w:rsid w:val="00E13A25"/>
    <w:rsid w:val="00E13BE3"/>
    <w:rsid w:val="00E14045"/>
    <w:rsid w:val="00E1798B"/>
    <w:rsid w:val="00E20FE1"/>
    <w:rsid w:val="00E2125A"/>
    <w:rsid w:val="00E21836"/>
    <w:rsid w:val="00E2364E"/>
    <w:rsid w:val="00E23A4B"/>
    <w:rsid w:val="00E247A8"/>
    <w:rsid w:val="00E248DC"/>
    <w:rsid w:val="00E3263A"/>
    <w:rsid w:val="00E3282F"/>
    <w:rsid w:val="00E36CFC"/>
    <w:rsid w:val="00E37696"/>
    <w:rsid w:val="00E402A2"/>
    <w:rsid w:val="00E4174B"/>
    <w:rsid w:val="00E417B4"/>
    <w:rsid w:val="00E44070"/>
    <w:rsid w:val="00E4593A"/>
    <w:rsid w:val="00E46F45"/>
    <w:rsid w:val="00E505C1"/>
    <w:rsid w:val="00E50759"/>
    <w:rsid w:val="00E518BB"/>
    <w:rsid w:val="00E53323"/>
    <w:rsid w:val="00E53D75"/>
    <w:rsid w:val="00E54F34"/>
    <w:rsid w:val="00E55AD0"/>
    <w:rsid w:val="00E5684D"/>
    <w:rsid w:val="00E57555"/>
    <w:rsid w:val="00E57954"/>
    <w:rsid w:val="00E61AC7"/>
    <w:rsid w:val="00E61D8C"/>
    <w:rsid w:val="00E621DE"/>
    <w:rsid w:val="00E63929"/>
    <w:rsid w:val="00E63B23"/>
    <w:rsid w:val="00E65020"/>
    <w:rsid w:val="00E65399"/>
    <w:rsid w:val="00E70943"/>
    <w:rsid w:val="00E7148B"/>
    <w:rsid w:val="00E722A4"/>
    <w:rsid w:val="00E72A56"/>
    <w:rsid w:val="00E73D3C"/>
    <w:rsid w:val="00E76272"/>
    <w:rsid w:val="00E801FB"/>
    <w:rsid w:val="00E80CA3"/>
    <w:rsid w:val="00E810C8"/>
    <w:rsid w:val="00E823C3"/>
    <w:rsid w:val="00E838EC"/>
    <w:rsid w:val="00E84633"/>
    <w:rsid w:val="00E849E8"/>
    <w:rsid w:val="00E854A2"/>
    <w:rsid w:val="00E85592"/>
    <w:rsid w:val="00E87834"/>
    <w:rsid w:val="00E90EDF"/>
    <w:rsid w:val="00E9126B"/>
    <w:rsid w:val="00E92286"/>
    <w:rsid w:val="00E9373A"/>
    <w:rsid w:val="00E96AAB"/>
    <w:rsid w:val="00E96E39"/>
    <w:rsid w:val="00E97358"/>
    <w:rsid w:val="00EA05CA"/>
    <w:rsid w:val="00EA3849"/>
    <w:rsid w:val="00EA4705"/>
    <w:rsid w:val="00EA6406"/>
    <w:rsid w:val="00EA68B6"/>
    <w:rsid w:val="00EA6E47"/>
    <w:rsid w:val="00EB0132"/>
    <w:rsid w:val="00EB08EB"/>
    <w:rsid w:val="00EB1D07"/>
    <w:rsid w:val="00EB691C"/>
    <w:rsid w:val="00EB6E39"/>
    <w:rsid w:val="00EB7913"/>
    <w:rsid w:val="00EB79A9"/>
    <w:rsid w:val="00EC0F9D"/>
    <w:rsid w:val="00EC15BF"/>
    <w:rsid w:val="00EC2E7B"/>
    <w:rsid w:val="00EC324D"/>
    <w:rsid w:val="00EC35C5"/>
    <w:rsid w:val="00EC4B1E"/>
    <w:rsid w:val="00EC51D1"/>
    <w:rsid w:val="00EC5DF9"/>
    <w:rsid w:val="00EC6142"/>
    <w:rsid w:val="00EC6F9B"/>
    <w:rsid w:val="00ED0630"/>
    <w:rsid w:val="00ED16F1"/>
    <w:rsid w:val="00ED23E2"/>
    <w:rsid w:val="00ED2B84"/>
    <w:rsid w:val="00ED5076"/>
    <w:rsid w:val="00EE033C"/>
    <w:rsid w:val="00EE03F6"/>
    <w:rsid w:val="00EE0667"/>
    <w:rsid w:val="00EE0C14"/>
    <w:rsid w:val="00EE1A1D"/>
    <w:rsid w:val="00EE3129"/>
    <w:rsid w:val="00EE32D7"/>
    <w:rsid w:val="00EE5A84"/>
    <w:rsid w:val="00EE64DD"/>
    <w:rsid w:val="00EE711E"/>
    <w:rsid w:val="00EE76F7"/>
    <w:rsid w:val="00EF0A20"/>
    <w:rsid w:val="00EF0BDE"/>
    <w:rsid w:val="00EF0F0A"/>
    <w:rsid w:val="00EF1625"/>
    <w:rsid w:val="00EF1DA3"/>
    <w:rsid w:val="00EF30C2"/>
    <w:rsid w:val="00EF352D"/>
    <w:rsid w:val="00EF3B96"/>
    <w:rsid w:val="00EF3CFD"/>
    <w:rsid w:val="00EF4425"/>
    <w:rsid w:val="00EF4A2A"/>
    <w:rsid w:val="00EF4E29"/>
    <w:rsid w:val="00EF5C30"/>
    <w:rsid w:val="00EF604F"/>
    <w:rsid w:val="00F000FA"/>
    <w:rsid w:val="00F0035F"/>
    <w:rsid w:val="00F00A74"/>
    <w:rsid w:val="00F00B1B"/>
    <w:rsid w:val="00F0273D"/>
    <w:rsid w:val="00F03AB1"/>
    <w:rsid w:val="00F143AF"/>
    <w:rsid w:val="00F14A97"/>
    <w:rsid w:val="00F15FB5"/>
    <w:rsid w:val="00F20C34"/>
    <w:rsid w:val="00F227F2"/>
    <w:rsid w:val="00F23CFF"/>
    <w:rsid w:val="00F24E4B"/>
    <w:rsid w:val="00F25AE9"/>
    <w:rsid w:val="00F307A8"/>
    <w:rsid w:val="00F313EB"/>
    <w:rsid w:val="00F32D94"/>
    <w:rsid w:val="00F33E52"/>
    <w:rsid w:val="00F367D4"/>
    <w:rsid w:val="00F3744F"/>
    <w:rsid w:val="00F419EC"/>
    <w:rsid w:val="00F41A57"/>
    <w:rsid w:val="00F41FBF"/>
    <w:rsid w:val="00F43795"/>
    <w:rsid w:val="00F43F6A"/>
    <w:rsid w:val="00F46432"/>
    <w:rsid w:val="00F47096"/>
    <w:rsid w:val="00F50DB0"/>
    <w:rsid w:val="00F51D9A"/>
    <w:rsid w:val="00F52C82"/>
    <w:rsid w:val="00F5533D"/>
    <w:rsid w:val="00F55858"/>
    <w:rsid w:val="00F55CA3"/>
    <w:rsid w:val="00F56B27"/>
    <w:rsid w:val="00F61CF2"/>
    <w:rsid w:val="00F62936"/>
    <w:rsid w:val="00F64485"/>
    <w:rsid w:val="00F6543D"/>
    <w:rsid w:val="00F664F6"/>
    <w:rsid w:val="00F66C26"/>
    <w:rsid w:val="00F6704F"/>
    <w:rsid w:val="00F711A2"/>
    <w:rsid w:val="00F71765"/>
    <w:rsid w:val="00F72C0C"/>
    <w:rsid w:val="00F74F4A"/>
    <w:rsid w:val="00F7565B"/>
    <w:rsid w:val="00F75943"/>
    <w:rsid w:val="00F75E5F"/>
    <w:rsid w:val="00F771B1"/>
    <w:rsid w:val="00F773CB"/>
    <w:rsid w:val="00F777CA"/>
    <w:rsid w:val="00F8173A"/>
    <w:rsid w:val="00F81949"/>
    <w:rsid w:val="00F81EB5"/>
    <w:rsid w:val="00F83474"/>
    <w:rsid w:val="00F83D5E"/>
    <w:rsid w:val="00F84D83"/>
    <w:rsid w:val="00F85311"/>
    <w:rsid w:val="00F85D53"/>
    <w:rsid w:val="00F865E3"/>
    <w:rsid w:val="00F90B5A"/>
    <w:rsid w:val="00F92892"/>
    <w:rsid w:val="00F92AAF"/>
    <w:rsid w:val="00F92B57"/>
    <w:rsid w:val="00F932AA"/>
    <w:rsid w:val="00F94AC9"/>
    <w:rsid w:val="00F951C9"/>
    <w:rsid w:val="00F961A0"/>
    <w:rsid w:val="00FA043F"/>
    <w:rsid w:val="00FA15DD"/>
    <w:rsid w:val="00FA167B"/>
    <w:rsid w:val="00FA1A01"/>
    <w:rsid w:val="00FA1DBD"/>
    <w:rsid w:val="00FA2F4C"/>
    <w:rsid w:val="00FA4861"/>
    <w:rsid w:val="00FA4B1A"/>
    <w:rsid w:val="00FA6292"/>
    <w:rsid w:val="00FA62A1"/>
    <w:rsid w:val="00FA70A3"/>
    <w:rsid w:val="00FA7359"/>
    <w:rsid w:val="00FB0808"/>
    <w:rsid w:val="00FB0814"/>
    <w:rsid w:val="00FB7345"/>
    <w:rsid w:val="00FC09B7"/>
    <w:rsid w:val="00FC0EDF"/>
    <w:rsid w:val="00FC3E73"/>
    <w:rsid w:val="00FC480B"/>
    <w:rsid w:val="00FD03AE"/>
    <w:rsid w:val="00FD05AE"/>
    <w:rsid w:val="00FD12C5"/>
    <w:rsid w:val="00FD523A"/>
    <w:rsid w:val="00FD6CBA"/>
    <w:rsid w:val="00FE319A"/>
    <w:rsid w:val="00FE4461"/>
    <w:rsid w:val="00FE6B44"/>
    <w:rsid w:val="00FF181E"/>
    <w:rsid w:val="00FF1E7E"/>
    <w:rsid w:val="00FF29BC"/>
    <w:rsid w:val="00FF2B1B"/>
    <w:rsid w:val="00FF4181"/>
    <w:rsid w:val="00FF43FF"/>
    <w:rsid w:val="00FF48AC"/>
    <w:rsid w:val="00FF6CB5"/>
    <w:rsid w:val="00FF71F5"/>
    <w:rsid w:val="00FF744B"/>
    <w:rsid w:val="00FF7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2E76A52-70BF-40F0-948A-E426020B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91B"/>
    <w:pPr>
      <w:spacing w:before="-1" w:after="-1"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F69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902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90216"/>
    <w:pPr>
      <w:keepNext/>
      <w:jc w:val="right"/>
      <w:outlineLvl w:val="2"/>
    </w:pPr>
    <w:rPr>
      <w:b/>
      <w:bCs/>
      <w:sz w:val="22"/>
      <w:szCs w:val="22"/>
      <w:lang w:val="en-US"/>
    </w:rPr>
  </w:style>
  <w:style w:type="paragraph" w:styleId="Heading4">
    <w:name w:val="heading 4"/>
    <w:basedOn w:val="Normal"/>
    <w:next w:val="Normal"/>
    <w:link w:val="Heading4Char"/>
    <w:uiPriority w:val="99"/>
    <w:qFormat/>
    <w:rsid w:val="00990216"/>
    <w:pPr>
      <w:keepNext/>
      <w:spacing w:line="360" w:lineRule="auto"/>
      <w:ind w:firstLine="720"/>
      <w:outlineLvl w:val="3"/>
    </w:pPr>
    <w:rPr>
      <w:b/>
      <w:sz w:val="22"/>
      <w:szCs w:val="22"/>
    </w:rPr>
  </w:style>
  <w:style w:type="paragraph" w:styleId="Heading5">
    <w:name w:val="heading 5"/>
    <w:basedOn w:val="Normal"/>
    <w:next w:val="Normal"/>
    <w:link w:val="Heading5Char"/>
    <w:uiPriority w:val="99"/>
    <w:qFormat/>
    <w:rsid w:val="00990216"/>
    <w:pPr>
      <w:keepNext/>
      <w:outlineLvl w:val="4"/>
    </w:pPr>
    <w:rPr>
      <w:b/>
      <w:bCs/>
      <w:sz w:val="24"/>
      <w:szCs w:val="24"/>
    </w:rPr>
  </w:style>
  <w:style w:type="paragraph" w:styleId="Heading6">
    <w:name w:val="heading 6"/>
    <w:basedOn w:val="Normal"/>
    <w:next w:val="Normal"/>
    <w:link w:val="Heading6Char"/>
    <w:uiPriority w:val="99"/>
    <w:qFormat/>
    <w:rsid w:val="00990216"/>
    <w:pPr>
      <w:spacing w:before="240" w:after="60"/>
      <w:outlineLvl w:val="5"/>
    </w:pPr>
    <w:rPr>
      <w:b/>
      <w:bCs/>
      <w:sz w:val="22"/>
      <w:szCs w:val="22"/>
    </w:rPr>
  </w:style>
  <w:style w:type="paragraph" w:styleId="Heading7">
    <w:name w:val="heading 7"/>
    <w:basedOn w:val="Normal"/>
    <w:next w:val="Normal"/>
    <w:link w:val="Heading7Char"/>
    <w:uiPriority w:val="99"/>
    <w:qFormat/>
    <w:rsid w:val="00990216"/>
    <w:pPr>
      <w:spacing w:before="240" w:after="60"/>
      <w:outlineLvl w:val="6"/>
    </w:pPr>
    <w:rPr>
      <w:sz w:val="24"/>
      <w:szCs w:val="24"/>
    </w:rPr>
  </w:style>
  <w:style w:type="paragraph" w:styleId="Heading8">
    <w:name w:val="heading 8"/>
    <w:basedOn w:val="Normal"/>
    <w:next w:val="Normal"/>
    <w:link w:val="Heading8Char"/>
    <w:uiPriority w:val="99"/>
    <w:qFormat/>
    <w:rsid w:val="00990216"/>
    <w:pPr>
      <w:keepNext/>
      <w:jc w:val="both"/>
      <w:outlineLvl w:val="7"/>
    </w:pPr>
    <w:rPr>
      <w:b/>
      <w:color w:val="000000"/>
      <w:lang w:val="en-US"/>
    </w:rPr>
  </w:style>
  <w:style w:type="paragraph" w:styleId="Heading9">
    <w:name w:val="heading 9"/>
    <w:basedOn w:val="Normal"/>
    <w:next w:val="Normal"/>
    <w:link w:val="Heading9Char"/>
    <w:uiPriority w:val="99"/>
    <w:qFormat/>
    <w:rsid w:val="00990216"/>
    <w:pPr>
      <w:keepNext/>
      <w:jc w:val="both"/>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9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1B"/>
    <w:rPr>
      <w:rFonts w:ascii="Tahoma" w:hAnsi="Tahoma" w:cs="Tahoma"/>
      <w:sz w:val="16"/>
      <w:szCs w:val="16"/>
    </w:rPr>
  </w:style>
  <w:style w:type="paragraph" w:styleId="NoSpacing">
    <w:name w:val="No Spacing"/>
    <w:uiPriority w:val="1"/>
    <w:qFormat/>
    <w:rsid w:val="00CF691B"/>
    <w:pPr>
      <w:spacing w:before="-1" w:after="-1"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9"/>
    <w:rsid w:val="00CF69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3D78"/>
    <w:pPr>
      <w:ind w:left="720"/>
      <w:contextualSpacing/>
    </w:pPr>
  </w:style>
  <w:style w:type="character" w:styleId="Hyperlink">
    <w:name w:val="Hyperlink"/>
    <w:uiPriority w:val="99"/>
    <w:rsid w:val="00F66C26"/>
    <w:rPr>
      <w:color w:val="0000FF"/>
      <w:u w:val="single"/>
    </w:rPr>
  </w:style>
  <w:style w:type="paragraph" w:customStyle="1" w:styleId="Default">
    <w:name w:val="Default"/>
    <w:rsid w:val="00F66C26"/>
    <w:pPr>
      <w:autoSpaceDE w:val="0"/>
      <w:autoSpaceDN w:val="0"/>
      <w:adjustRightInd w:val="0"/>
      <w:spacing w:before="-1" w:after="-1" w:line="240" w:lineRule="auto"/>
    </w:pPr>
    <w:rPr>
      <w:rFonts w:ascii="Times New Roman" w:eastAsia="Times New Roman" w:hAnsi="Times New Roman" w:cs="Times New Roman"/>
      <w:color w:val="000000"/>
      <w:sz w:val="24"/>
      <w:szCs w:val="24"/>
      <w:lang w:val="en-US"/>
    </w:rPr>
  </w:style>
  <w:style w:type="paragraph" w:styleId="Title">
    <w:name w:val="Title"/>
    <w:basedOn w:val="Normal"/>
    <w:link w:val="TitleChar"/>
    <w:uiPriority w:val="99"/>
    <w:qFormat/>
    <w:rsid w:val="00255284"/>
    <w:pPr>
      <w:tabs>
        <w:tab w:val="left" w:pos="900"/>
        <w:tab w:val="left" w:pos="4320"/>
        <w:tab w:val="left" w:pos="5220"/>
      </w:tabs>
      <w:ind w:right="353"/>
      <w:jc w:val="center"/>
    </w:pPr>
    <w:rPr>
      <w:rFonts w:ascii="Arial Narrow" w:hAnsi="Arial Narrow"/>
      <w:b/>
      <w:bCs/>
      <w:sz w:val="24"/>
      <w:szCs w:val="24"/>
    </w:rPr>
  </w:style>
  <w:style w:type="character" w:customStyle="1" w:styleId="TitleChar">
    <w:name w:val="Title Char"/>
    <w:basedOn w:val="DefaultParagraphFont"/>
    <w:link w:val="Title"/>
    <w:uiPriority w:val="99"/>
    <w:rsid w:val="00255284"/>
    <w:rPr>
      <w:rFonts w:ascii="Arial Narrow" w:eastAsia="Times New Roman" w:hAnsi="Arial Narrow" w:cs="Times New Roman"/>
      <w:b/>
      <w:bCs/>
      <w:sz w:val="24"/>
      <w:szCs w:val="24"/>
    </w:rPr>
  </w:style>
  <w:style w:type="character" w:customStyle="1" w:styleId="Heading2Char">
    <w:name w:val="Heading 2 Char"/>
    <w:basedOn w:val="DefaultParagraphFont"/>
    <w:link w:val="Heading2"/>
    <w:uiPriority w:val="99"/>
    <w:rsid w:val="00990216"/>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990216"/>
    <w:rPr>
      <w:rFonts w:ascii="Times New Roman" w:eastAsia="Times New Roman" w:hAnsi="Times New Roman" w:cs="Times New Roman"/>
      <w:b/>
      <w:bCs/>
      <w:lang w:val="en-US"/>
    </w:rPr>
  </w:style>
  <w:style w:type="character" w:customStyle="1" w:styleId="Heading4Char">
    <w:name w:val="Heading 4 Char"/>
    <w:basedOn w:val="DefaultParagraphFont"/>
    <w:link w:val="Heading4"/>
    <w:uiPriority w:val="99"/>
    <w:rsid w:val="00990216"/>
    <w:rPr>
      <w:rFonts w:ascii="Times New Roman" w:eastAsia="Times New Roman" w:hAnsi="Times New Roman" w:cs="Times New Roman"/>
      <w:b/>
    </w:rPr>
  </w:style>
  <w:style w:type="character" w:customStyle="1" w:styleId="Heading5Char">
    <w:name w:val="Heading 5 Char"/>
    <w:basedOn w:val="DefaultParagraphFont"/>
    <w:link w:val="Heading5"/>
    <w:uiPriority w:val="99"/>
    <w:rsid w:val="0099021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99021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90216"/>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990216"/>
    <w:rPr>
      <w:rFonts w:ascii="Times New Roman" w:eastAsia="Times New Roman" w:hAnsi="Times New Roman" w:cs="Times New Roman"/>
      <w:b/>
      <w:color w:val="000000"/>
      <w:sz w:val="20"/>
      <w:szCs w:val="20"/>
      <w:lang w:val="en-US"/>
    </w:rPr>
  </w:style>
  <w:style w:type="character" w:customStyle="1" w:styleId="Heading9Char">
    <w:name w:val="Heading 9 Char"/>
    <w:basedOn w:val="DefaultParagraphFont"/>
    <w:link w:val="Heading9"/>
    <w:uiPriority w:val="99"/>
    <w:rsid w:val="00990216"/>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semiHidden/>
    <w:rsid w:val="00990216"/>
    <w:pPr>
      <w:tabs>
        <w:tab w:val="left" w:pos="720"/>
        <w:tab w:val="left" w:pos="1134"/>
        <w:tab w:val="left" w:pos="1701"/>
      </w:tabs>
      <w:ind w:left="720" w:hanging="11"/>
      <w:jc w:val="both"/>
    </w:pPr>
    <w:rPr>
      <w:sz w:val="22"/>
      <w:szCs w:val="22"/>
    </w:rPr>
  </w:style>
  <w:style w:type="character" w:customStyle="1" w:styleId="BodyTextIndent2Char">
    <w:name w:val="Body Text Indent 2 Char"/>
    <w:basedOn w:val="DefaultParagraphFont"/>
    <w:link w:val="BodyTextIndent2"/>
    <w:uiPriority w:val="99"/>
    <w:semiHidden/>
    <w:rsid w:val="00990216"/>
    <w:rPr>
      <w:rFonts w:ascii="Times New Roman" w:eastAsia="Times New Roman" w:hAnsi="Times New Roman" w:cs="Times New Roman"/>
    </w:rPr>
  </w:style>
  <w:style w:type="character" w:styleId="CommentReference">
    <w:name w:val="annotation reference"/>
    <w:uiPriority w:val="99"/>
    <w:semiHidden/>
    <w:rsid w:val="00990216"/>
    <w:rPr>
      <w:sz w:val="16"/>
      <w:szCs w:val="16"/>
    </w:rPr>
  </w:style>
  <w:style w:type="paragraph" w:styleId="CommentText">
    <w:name w:val="annotation text"/>
    <w:basedOn w:val="Normal"/>
    <w:link w:val="CommentTextChar"/>
    <w:uiPriority w:val="99"/>
    <w:semiHidden/>
    <w:rsid w:val="00990216"/>
  </w:style>
  <w:style w:type="character" w:customStyle="1" w:styleId="CommentTextChar">
    <w:name w:val="Comment Text Char"/>
    <w:basedOn w:val="DefaultParagraphFont"/>
    <w:link w:val="CommentText"/>
    <w:uiPriority w:val="99"/>
    <w:semiHidden/>
    <w:rsid w:val="009902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90216"/>
    <w:rPr>
      <w:b/>
      <w:bCs/>
    </w:rPr>
  </w:style>
  <w:style w:type="character" w:customStyle="1" w:styleId="CommentSubjectChar">
    <w:name w:val="Comment Subject Char"/>
    <w:basedOn w:val="CommentTextChar"/>
    <w:link w:val="CommentSubject"/>
    <w:uiPriority w:val="99"/>
    <w:semiHidden/>
    <w:rsid w:val="00990216"/>
    <w:rPr>
      <w:rFonts w:ascii="Times New Roman" w:eastAsia="Times New Roman" w:hAnsi="Times New Roman" w:cs="Times New Roman"/>
      <w:b/>
      <w:bCs/>
      <w:sz w:val="20"/>
      <w:szCs w:val="20"/>
    </w:rPr>
  </w:style>
  <w:style w:type="paragraph" w:styleId="Footer">
    <w:name w:val="footer"/>
    <w:basedOn w:val="Normal"/>
    <w:link w:val="FooterChar"/>
    <w:uiPriority w:val="99"/>
    <w:rsid w:val="00990216"/>
    <w:pPr>
      <w:tabs>
        <w:tab w:val="center" w:pos="4153"/>
        <w:tab w:val="right" w:pos="8306"/>
      </w:tabs>
    </w:pPr>
  </w:style>
  <w:style w:type="character" w:customStyle="1" w:styleId="FooterChar">
    <w:name w:val="Footer Char"/>
    <w:basedOn w:val="DefaultParagraphFont"/>
    <w:link w:val="Footer"/>
    <w:uiPriority w:val="99"/>
    <w:rsid w:val="00990216"/>
    <w:rPr>
      <w:rFonts w:ascii="Times New Roman" w:eastAsia="Times New Roman" w:hAnsi="Times New Roman" w:cs="Times New Roman"/>
      <w:sz w:val="20"/>
      <w:szCs w:val="20"/>
    </w:rPr>
  </w:style>
  <w:style w:type="character" w:styleId="PageNumber">
    <w:name w:val="page number"/>
    <w:basedOn w:val="DefaultParagraphFont"/>
    <w:uiPriority w:val="99"/>
    <w:semiHidden/>
    <w:rsid w:val="00990216"/>
  </w:style>
  <w:style w:type="paragraph" w:styleId="BodyText">
    <w:name w:val="Body Text"/>
    <w:basedOn w:val="Normal"/>
    <w:link w:val="BodyTextChar"/>
    <w:uiPriority w:val="99"/>
    <w:semiHidden/>
    <w:rsid w:val="00990216"/>
    <w:pPr>
      <w:jc w:val="both"/>
    </w:pPr>
  </w:style>
  <w:style w:type="character" w:customStyle="1" w:styleId="BodyTextChar">
    <w:name w:val="Body Text Char"/>
    <w:basedOn w:val="DefaultParagraphFont"/>
    <w:link w:val="BodyText"/>
    <w:uiPriority w:val="99"/>
    <w:semiHidden/>
    <w:rsid w:val="00990216"/>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rsid w:val="00990216"/>
    <w:pPr>
      <w:spacing w:after="120"/>
      <w:ind w:left="283"/>
    </w:pPr>
  </w:style>
  <w:style w:type="character" w:customStyle="1" w:styleId="BodyTextIndentChar">
    <w:name w:val="Body Text Indent Char"/>
    <w:basedOn w:val="DefaultParagraphFont"/>
    <w:link w:val="BodyTextIndent"/>
    <w:uiPriority w:val="99"/>
    <w:semiHidden/>
    <w:rsid w:val="00990216"/>
    <w:rPr>
      <w:rFonts w:ascii="Times New Roman" w:eastAsia="Times New Roman" w:hAnsi="Times New Roman" w:cs="Times New Roman"/>
      <w:sz w:val="20"/>
      <w:szCs w:val="20"/>
    </w:rPr>
  </w:style>
  <w:style w:type="paragraph" w:styleId="NormalWeb">
    <w:name w:val="Normal (Web)"/>
    <w:basedOn w:val="Normal"/>
    <w:uiPriority w:val="99"/>
    <w:semiHidden/>
    <w:rsid w:val="00990216"/>
    <w:pPr>
      <w:spacing w:before="100" w:beforeAutospacing="1" w:after="100" w:afterAutospacing="1"/>
    </w:pPr>
    <w:rPr>
      <w:sz w:val="24"/>
      <w:szCs w:val="24"/>
      <w:lang w:val="en-US"/>
    </w:rPr>
  </w:style>
  <w:style w:type="paragraph" w:styleId="BodyTextIndent3">
    <w:name w:val="Body Text Indent 3"/>
    <w:basedOn w:val="Normal"/>
    <w:link w:val="BodyTextIndent3Char"/>
    <w:uiPriority w:val="99"/>
    <w:semiHidden/>
    <w:rsid w:val="009902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0216"/>
    <w:rPr>
      <w:rFonts w:ascii="Times New Roman" w:eastAsia="Times New Roman" w:hAnsi="Times New Roman" w:cs="Times New Roman"/>
      <w:sz w:val="16"/>
      <w:szCs w:val="16"/>
    </w:rPr>
  </w:style>
  <w:style w:type="paragraph" w:styleId="Header">
    <w:name w:val="header"/>
    <w:basedOn w:val="Normal"/>
    <w:link w:val="HeaderChar"/>
    <w:uiPriority w:val="99"/>
    <w:rsid w:val="00990216"/>
    <w:pPr>
      <w:tabs>
        <w:tab w:val="center" w:pos="4153"/>
        <w:tab w:val="right" w:pos="8306"/>
      </w:tabs>
    </w:pPr>
  </w:style>
  <w:style w:type="character" w:customStyle="1" w:styleId="HeaderChar">
    <w:name w:val="Header Char"/>
    <w:basedOn w:val="DefaultParagraphFont"/>
    <w:link w:val="Header"/>
    <w:uiPriority w:val="99"/>
    <w:rsid w:val="00990216"/>
    <w:rPr>
      <w:rFonts w:ascii="Times New Roman" w:eastAsia="Times New Roman" w:hAnsi="Times New Roman" w:cs="Times New Roman"/>
      <w:sz w:val="20"/>
      <w:szCs w:val="20"/>
    </w:rPr>
  </w:style>
  <w:style w:type="paragraph" w:customStyle="1" w:styleId="IRParagraph">
    <w:name w:val="IR Paragraph"/>
    <w:basedOn w:val="Normal"/>
    <w:autoRedefine/>
    <w:uiPriority w:val="99"/>
    <w:rsid w:val="00990216"/>
    <w:pPr>
      <w:jc w:val="both"/>
    </w:pPr>
    <w:rPr>
      <w:szCs w:val="24"/>
    </w:rPr>
  </w:style>
  <w:style w:type="paragraph" w:styleId="Revision">
    <w:name w:val="Revision"/>
    <w:hidden/>
    <w:uiPriority w:val="99"/>
    <w:semiHidden/>
    <w:rsid w:val="00990216"/>
    <w:pPr>
      <w:spacing w:before="-1" w:after="-1" w:line="240" w:lineRule="auto"/>
    </w:pPr>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rsid w:val="009902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90216"/>
    <w:rPr>
      <w:rFonts w:ascii="Tahoma" w:eastAsia="Times New Roman" w:hAnsi="Tahoma" w:cs="Tahoma"/>
      <w:sz w:val="20"/>
      <w:szCs w:val="20"/>
      <w:shd w:val="clear" w:color="auto" w:fill="000080"/>
    </w:rPr>
  </w:style>
  <w:style w:type="paragraph" w:styleId="EndnoteText">
    <w:name w:val="endnote text"/>
    <w:basedOn w:val="Normal"/>
    <w:link w:val="EndnoteTextChar"/>
    <w:uiPriority w:val="99"/>
    <w:semiHidden/>
    <w:unhideWhenUsed/>
    <w:rsid w:val="00990216"/>
  </w:style>
  <w:style w:type="character" w:customStyle="1" w:styleId="EndnoteTextChar">
    <w:name w:val="Endnote Text Char"/>
    <w:basedOn w:val="DefaultParagraphFont"/>
    <w:link w:val="EndnoteText"/>
    <w:uiPriority w:val="99"/>
    <w:semiHidden/>
    <w:rsid w:val="00990216"/>
    <w:rPr>
      <w:rFonts w:ascii="Times New Roman" w:eastAsia="Times New Roman" w:hAnsi="Times New Roman" w:cs="Times New Roman"/>
      <w:sz w:val="20"/>
      <w:szCs w:val="20"/>
    </w:rPr>
  </w:style>
  <w:style w:type="character" w:styleId="EndnoteReference">
    <w:name w:val="endnote reference"/>
    <w:uiPriority w:val="99"/>
    <w:semiHidden/>
    <w:unhideWhenUsed/>
    <w:rsid w:val="00990216"/>
    <w:rPr>
      <w:vertAlign w:val="superscript"/>
    </w:rPr>
  </w:style>
  <w:style w:type="paragraph" w:styleId="Subtitle">
    <w:name w:val="Subtitle"/>
    <w:basedOn w:val="Normal"/>
    <w:next w:val="Normal"/>
    <w:link w:val="SubtitleChar"/>
    <w:uiPriority w:val="11"/>
    <w:qFormat/>
    <w:rsid w:val="00990216"/>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990216"/>
    <w:rPr>
      <w:rFonts w:ascii="Cambria" w:eastAsia="Times New Roman" w:hAnsi="Cambria" w:cs="Times New Roman"/>
      <w:sz w:val="24"/>
      <w:szCs w:val="24"/>
    </w:rPr>
  </w:style>
  <w:style w:type="table" w:styleId="TableGrid">
    <w:name w:val="Table Grid"/>
    <w:basedOn w:val="TableNormal"/>
    <w:uiPriority w:val="59"/>
    <w:rsid w:val="0099021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990216"/>
    <w:pPr>
      <w:autoSpaceDE w:val="0"/>
      <w:autoSpaceDN w:val="0"/>
    </w:pPr>
    <w:rPr>
      <w:rFonts w:eastAsia="Calibri"/>
      <w:color w:val="000000"/>
      <w:sz w:val="24"/>
      <w:szCs w:val="24"/>
      <w:lang w:eastAsia="en-GB"/>
    </w:rPr>
  </w:style>
  <w:style w:type="numbering" w:customStyle="1" w:styleId="NoList1">
    <w:name w:val="No List1"/>
    <w:next w:val="NoList"/>
    <w:uiPriority w:val="99"/>
    <w:semiHidden/>
    <w:unhideWhenUsed/>
    <w:rsid w:val="00990216"/>
  </w:style>
  <w:style w:type="character" w:styleId="FollowedHyperlink">
    <w:name w:val="FollowedHyperlink"/>
    <w:uiPriority w:val="99"/>
    <w:rsid w:val="00990216"/>
    <w:rPr>
      <w:rFonts w:cs="Times New Roman"/>
      <w:color w:val="800080"/>
      <w:u w:val="single"/>
    </w:rPr>
  </w:style>
  <w:style w:type="paragraph" w:styleId="TOC1">
    <w:name w:val="toc 1"/>
    <w:basedOn w:val="Normal"/>
    <w:next w:val="Normal"/>
    <w:autoRedefine/>
    <w:uiPriority w:val="39"/>
    <w:unhideWhenUsed/>
    <w:rsid w:val="00B747A6"/>
    <w:pPr>
      <w:spacing w:after="100"/>
    </w:pPr>
  </w:style>
  <w:style w:type="character" w:styleId="Emphasis">
    <w:name w:val="Emphasis"/>
    <w:basedOn w:val="DefaultParagraphFont"/>
    <w:uiPriority w:val="20"/>
    <w:qFormat/>
    <w:rsid w:val="00D26F04"/>
    <w:rPr>
      <w:i/>
      <w:iCs/>
    </w:rPr>
  </w:style>
  <w:style w:type="table" w:customStyle="1" w:styleId="TableGrid1">
    <w:name w:val="Table Grid1"/>
    <w:basedOn w:val="TableNormal"/>
    <w:next w:val="TableGrid"/>
    <w:uiPriority w:val="59"/>
    <w:rsid w:val="0085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1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Bodytext">
    <w:name w:val="09-Body text"/>
    <w:basedOn w:val="Normal"/>
    <w:qFormat/>
    <w:rsid w:val="009D230A"/>
    <w:pPr>
      <w:spacing w:before="0" w:after="0"/>
    </w:pPr>
    <w:rPr>
      <w:rFonts w:ascii="Arial" w:hAnsi="Arial"/>
      <w:sz w:val="22"/>
    </w:rPr>
  </w:style>
  <w:style w:type="character" w:customStyle="1" w:styleId="01-Bold">
    <w:name w:val="01-Bold"/>
    <w:uiPriority w:val="1"/>
    <w:qFormat/>
    <w:rsid w:val="009D230A"/>
    <w:rPr>
      <w:b/>
    </w:rPr>
  </w:style>
  <w:style w:type="character" w:customStyle="1" w:styleId="04-Normalcharacter">
    <w:name w:val="04-Normal character"/>
    <w:uiPriority w:val="1"/>
    <w:qFormat/>
    <w:rsid w:val="009D230A"/>
  </w:style>
  <w:style w:type="paragraph" w:customStyle="1" w:styleId="11-Bullet1">
    <w:name w:val="11-Bullet 1"/>
    <w:basedOn w:val="09-Bodytext"/>
    <w:qFormat/>
    <w:rsid w:val="009D230A"/>
    <w:pPr>
      <w:numPr>
        <w:numId w:val="37"/>
      </w:numPr>
      <w:tabs>
        <w:tab w:val="left" w:pos="907"/>
      </w:tabs>
      <w:ind w:left="454" w:hanging="454"/>
    </w:pPr>
    <w:rPr>
      <w:szCs w:val="22"/>
    </w:rPr>
  </w:style>
  <w:style w:type="paragraph" w:customStyle="1" w:styleId="16-Subhead2">
    <w:name w:val="16-Subhead 2"/>
    <w:basedOn w:val="Normal"/>
    <w:next w:val="Normal"/>
    <w:qFormat/>
    <w:rsid w:val="009D230A"/>
    <w:pPr>
      <w:keepNext/>
      <w:keepLines/>
      <w:spacing w:before="280" w:after="140"/>
      <w:outlineLvl w:val="2"/>
    </w:pPr>
    <w:rPr>
      <w:rFonts w:ascii="Arial" w:hAnsi="Arial"/>
      <w:b/>
      <w:color w:val="7F7F7F" w:themeColor="text1" w:themeTint="80"/>
      <w:sz w:val="26"/>
      <w:szCs w:val="26"/>
    </w:rPr>
  </w:style>
  <w:style w:type="paragraph" w:customStyle="1" w:styleId="17-Subhead3">
    <w:name w:val="17-Subhead 3"/>
    <w:basedOn w:val="16-Subhead2"/>
    <w:next w:val="Normal"/>
    <w:qFormat/>
    <w:rsid w:val="009D230A"/>
    <w:pPr>
      <w:outlineLvl w:val="3"/>
    </w:pPr>
    <w:rPr>
      <w:color w:val="000000"/>
      <w:sz w:val="22"/>
      <w:szCs w:val="22"/>
      <w14:textFill>
        <w14:solidFill>
          <w14:srgbClr w14:val="000000">
            <w14:lumMod w14:val="65000"/>
          </w14:srgbClr>
        </w14:solidFill>
      </w14:textFill>
    </w:rPr>
  </w:style>
  <w:style w:type="table" w:customStyle="1" w:styleId="TableGrid2">
    <w:name w:val="Table Grid2"/>
    <w:basedOn w:val="TableNormal"/>
    <w:next w:val="TableGrid"/>
    <w:uiPriority w:val="59"/>
    <w:rsid w:val="00EC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0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4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36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488">
      <w:bodyDiv w:val="1"/>
      <w:marLeft w:val="0"/>
      <w:marRight w:val="0"/>
      <w:marTop w:val="0"/>
      <w:marBottom w:val="0"/>
      <w:divBdr>
        <w:top w:val="none" w:sz="0" w:space="0" w:color="auto"/>
        <w:left w:val="none" w:sz="0" w:space="0" w:color="auto"/>
        <w:bottom w:val="none" w:sz="0" w:space="0" w:color="auto"/>
        <w:right w:val="none" w:sz="0" w:space="0" w:color="auto"/>
      </w:divBdr>
    </w:div>
    <w:div w:id="3557647">
      <w:bodyDiv w:val="1"/>
      <w:marLeft w:val="0"/>
      <w:marRight w:val="0"/>
      <w:marTop w:val="0"/>
      <w:marBottom w:val="0"/>
      <w:divBdr>
        <w:top w:val="none" w:sz="0" w:space="0" w:color="auto"/>
        <w:left w:val="none" w:sz="0" w:space="0" w:color="auto"/>
        <w:bottom w:val="none" w:sz="0" w:space="0" w:color="auto"/>
        <w:right w:val="none" w:sz="0" w:space="0" w:color="auto"/>
      </w:divBdr>
    </w:div>
    <w:div w:id="9576381">
      <w:bodyDiv w:val="1"/>
      <w:marLeft w:val="0"/>
      <w:marRight w:val="0"/>
      <w:marTop w:val="0"/>
      <w:marBottom w:val="0"/>
      <w:divBdr>
        <w:top w:val="none" w:sz="0" w:space="0" w:color="auto"/>
        <w:left w:val="none" w:sz="0" w:space="0" w:color="auto"/>
        <w:bottom w:val="none" w:sz="0" w:space="0" w:color="auto"/>
        <w:right w:val="none" w:sz="0" w:space="0" w:color="auto"/>
      </w:divBdr>
    </w:div>
    <w:div w:id="10958211">
      <w:bodyDiv w:val="1"/>
      <w:marLeft w:val="0"/>
      <w:marRight w:val="0"/>
      <w:marTop w:val="0"/>
      <w:marBottom w:val="0"/>
      <w:divBdr>
        <w:top w:val="none" w:sz="0" w:space="0" w:color="auto"/>
        <w:left w:val="none" w:sz="0" w:space="0" w:color="auto"/>
        <w:bottom w:val="none" w:sz="0" w:space="0" w:color="auto"/>
        <w:right w:val="none" w:sz="0" w:space="0" w:color="auto"/>
      </w:divBdr>
    </w:div>
    <w:div w:id="11416645">
      <w:bodyDiv w:val="1"/>
      <w:marLeft w:val="0"/>
      <w:marRight w:val="0"/>
      <w:marTop w:val="0"/>
      <w:marBottom w:val="0"/>
      <w:divBdr>
        <w:top w:val="none" w:sz="0" w:space="0" w:color="auto"/>
        <w:left w:val="none" w:sz="0" w:space="0" w:color="auto"/>
        <w:bottom w:val="none" w:sz="0" w:space="0" w:color="auto"/>
        <w:right w:val="none" w:sz="0" w:space="0" w:color="auto"/>
      </w:divBdr>
    </w:div>
    <w:div w:id="14157512">
      <w:bodyDiv w:val="1"/>
      <w:marLeft w:val="0"/>
      <w:marRight w:val="0"/>
      <w:marTop w:val="0"/>
      <w:marBottom w:val="0"/>
      <w:divBdr>
        <w:top w:val="none" w:sz="0" w:space="0" w:color="auto"/>
        <w:left w:val="none" w:sz="0" w:space="0" w:color="auto"/>
        <w:bottom w:val="none" w:sz="0" w:space="0" w:color="auto"/>
        <w:right w:val="none" w:sz="0" w:space="0" w:color="auto"/>
      </w:divBdr>
    </w:div>
    <w:div w:id="17856808">
      <w:bodyDiv w:val="1"/>
      <w:marLeft w:val="0"/>
      <w:marRight w:val="0"/>
      <w:marTop w:val="0"/>
      <w:marBottom w:val="0"/>
      <w:divBdr>
        <w:top w:val="none" w:sz="0" w:space="0" w:color="auto"/>
        <w:left w:val="none" w:sz="0" w:space="0" w:color="auto"/>
        <w:bottom w:val="none" w:sz="0" w:space="0" w:color="auto"/>
        <w:right w:val="none" w:sz="0" w:space="0" w:color="auto"/>
      </w:divBdr>
    </w:div>
    <w:div w:id="20596654">
      <w:bodyDiv w:val="1"/>
      <w:marLeft w:val="0"/>
      <w:marRight w:val="0"/>
      <w:marTop w:val="0"/>
      <w:marBottom w:val="0"/>
      <w:divBdr>
        <w:top w:val="none" w:sz="0" w:space="0" w:color="auto"/>
        <w:left w:val="none" w:sz="0" w:space="0" w:color="auto"/>
        <w:bottom w:val="none" w:sz="0" w:space="0" w:color="auto"/>
        <w:right w:val="none" w:sz="0" w:space="0" w:color="auto"/>
      </w:divBdr>
    </w:div>
    <w:div w:id="25831419">
      <w:bodyDiv w:val="1"/>
      <w:marLeft w:val="0"/>
      <w:marRight w:val="0"/>
      <w:marTop w:val="0"/>
      <w:marBottom w:val="0"/>
      <w:divBdr>
        <w:top w:val="none" w:sz="0" w:space="0" w:color="auto"/>
        <w:left w:val="none" w:sz="0" w:space="0" w:color="auto"/>
        <w:bottom w:val="none" w:sz="0" w:space="0" w:color="auto"/>
        <w:right w:val="none" w:sz="0" w:space="0" w:color="auto"/>
      </w:divBdr>
    </w:div>
    <w:div w:id="32923702">
      <w:bodyDiv w:val="1"/>
      <w:marLeft w:val="0"/>
      <w:marRight w:val="0"/>
      <w:marTop w:val="0"/>
      <w:marBottom w:val="0"/>
      <w:divBdr>
        <w:top w:val="none" w:sz="0" w:space="0" w:color="auto"/>
        <w:left w:val="none" w:sz="0" w:space="0" w:color="auto"/>
        <w:bottom w:val="none" w:sz="0" w:space="0" w:color="auto"/>
        <w:right w:val="none" w:sz="0" w:space="0" w:color="auto"/>
      </w:divBdr>
    </w:div>
    <w:div w:id="33579643">
      <w:bodyDiv w:val="1"/>
      <w:marLeft w:val="0"/>
      <w:marRight w:val="0"/>
      <w:marTop w:val="0"/>
      <w:marBottom w:val="0"/>
      <w:divBdr>
        <w:top w:val="none" w:sz="0" w:space="0" w:color="auto"/>
        <w:left w:val="none" w:sz="0" w:space="0" w:color="auto"/>
        <w:bottom w:val="none" w:sz="0" w:space="0" w:color="auto"/>
        <w:right w:val="none" w:sz="0" w:space="0" w:color="auto"/>
      </w:divBdr>
    </w:div>
    <w:div w:id="34283232">
      <w:bodyDiv w:val="1"/>
      <w:marLeft w:val="0"/>
      <w:marRight w:val="0"/>
      <w:marTop w:val="0"/>
      <w:marBottom w:val="0"/>
      <w:divBdr>
        <w:top w:val="none" w:sz="0" w:space="0" w:color="auto"/>
        <w:left w:val="none" w:sz="0" w:space="0" w:color="auto"/>
        <w:bottom w:val="none" w:sz="0" w:space="0" w:color="auto"/>
        <w:right w:val="none" w:sz="0" w:space="0" w:color="auto"/>
      </w:divBdr>
    </w:div>
    <w:div w:id="34621065">
      <w:bodyDiv w:val="1"/>
      <w:marLeft w:val="0"/>
      <w:marRight w:val="0"/>
      <w:marTop w:val="0"/>
      <w:marBottom w:val="0"/>
      <w:divBdr>
        <w:top w:val="none" w:sz="0" w:space="0" w:color="auto"/>
        <w:left w:val="none" w:sz="0" w:space="0" w:color="auto"/>
        <w:bottom w:val="none" w:sz="0" w:space="0" w:color="auto"/>
        <w:right w:val="none" w:sz="0" w:space="0" w:color="auto"/>
      </w:divBdr>
    </w:div>
    <w:div w:id="39861367">
      <w:bodyDiv w:val="1"/>
      <w:marLeft w:val="0"/>
      <w:marRight w:val="0"/>
      <w:marTop w:val="0"/>
      <w:marBottom w:val="0"/>
      <w:divBdr>
        <w:top w:val="none" w:sz="0" w:space="0" w:color="auto"/>
        <w:left w:val="none" w:sz="0" w:space="0" w:color="auto"/>
        <w:bottom w:val="none" w:sz="0" w:space="0" w:color="auto"/>
        <w:right w:val="none" w:sz="0" w:space="0" w:color="auto"/>
      </w:divBdr>
    </w:div>
    <w:div w:id="44642940">
      <w:bodyDiv w:val="1"/>
      <w:marLeft w:val="0"/>
      <w:marRight w:val="0"/>
      <w:marTop w:val="0"/>
      <w:marBottom w:val="0"/>
      <w:divBdr>
        <w:top w:val="none" w:sz="0" w:space="0" w:color="auto"/>
        <w:left w:val="none" w:sz="0" w:space="0" w:color="auto"/>
        <w:bottom w:val="none" w:sz="0" w:space="0" w:color="auto"/>
        <w:right w:val="none" w:sz="0" w:space="0" w:color="auto"/>
      </w:divBdr>
    </w:div>
    <w:div w:id="46300266">
      <w:bodyDiv w:val="1"/>
      <w:marLeft w:val="0"/>
      <w:marRight w:val="0"/>
      <w:marTop w:val="0"/>
      <w:marBottom w:val="0"/>
      <w:divBdr>
        <w:top w:val="none" w:sz="0" w:space="0" w:color="auto"/>
        <w:left w:val="none" w:sz="0" w:space="0" w:color="auto"/>
        <w:bottom w:val="none" w:sz="0" w:space="0" w:color="auto"/>
        <w:right w:val="none" w:sz="0" w:space="0" w:color="auto"/>
      </w:divBdr>
    </w:div>
    <w:div w:id="50157761">
      <w:bodyDiv w:val="1"/>
      <w:marLeft w:val="0"/>
      <w:marRight w:val="0"/>
      <w:marTop w:val="0"/>
      <w:marBottom w:val="0"/>
      <w:divBdr>
        <w:top w:val="none" w:sz="0" w:space="0" w:color="auto"/>
        <w:left w:val="none" w:sz="0" w:space="0" w:color="auto"/>
        <w:bottom w:val="none" w:sz="0" w:space="0" w:color="auto"/>
        <w:right w:val="none" w:sz="0" w:space="0" w:color="auto"/>
      </w:divBdr>
    </w:div>
    <w:div w:id="54820618">
      <w:bodyDiv w:val="1"/>
      <w:marLeft w:val="0"/>
      <w:marRight w:val="0"/>
      <w:marTop w:val="0"/>
      <w:marBottom w:val="0"/>
      <w:divBdr>
        <w:top w:val="none" w:sz="0" w:space="0" w:color="auto"/>
        <w:left w:val="none" w:sz="0" w:space="0" w:color="auto"/>
        <w:bottom w:val="none" w:sz="0" w:space="0" w:color="auto"/>
        <w:right w:val="none" w:sz="0" w:space="0" w:color="auto"/>
      </w:divBdr>
    </w:div>
    <w:div w:id="59909641">
      <w:bodyDiv w:val="1"/>
      <w:marLeft w:val="0"/>
      <w:marRight w:val="0"/>
      <w:marTop w:val="0"/>
      <w:marBottom w:val="0"/>
      <w:divBdr>
        <w:top w:val="none" w:sz="0" w:space="0" w:color="auto"/>
        <w:left w:val="none" w:sz="0" w:space="0" w:color="auto"/>
        <w:bottom w:val="none" w:sz="0" w:space="0" w:color="auto"/>
        <w:right w:val="none" w:sz="0" w:space="0" w:color="auto"/>
      </w:divBdr>
    </w:div>
    <w:div w:id="64767992">
      <w:bodyDiv w:val="1"/>
      <w:marLeft w:val="0"/>
      <w:marRight w:val="0"/>
      <w:marTop w:val="0"/>
      <w:marBottom w:val="0"/>
      <w:divBdr>
        <w:top w:val="none" w:sz="0" w:space="0" w:color="auto"/>
        <w:left w:val="none" w:sz="0" w:space="0" w:color="auto"/>
        <w:bottom w:val="none" w:sz="0" w:space="0" w:color="auto"/>
        <w:right w:val="none" w:sz="0" w:space="0" w:color="auto"/>
      </w:divBdr>
    </w:div>
    <w:div w:id="65033124">
      <w:bodyDiv w:val="1"/>
      <w:marLeft w:val="0"/>
      <w:marRight w:val="0"/>
      <w:marTop w:val="0"/>
      <w:marBottom w:val="0"/>
      <w:divBdr>
        <w:top w:val="none" w:sz="0" w:space="0" w:color="auto"/>
        <w:left w:val="none" w:sz="0" w:space="0" w:color="auto"/>
        <w:bottom w:val="none" w:sz="0" w:space="0" w:color="auto"/>
        <w:right w:val="none" w:sz="0" w:space="0" w:color="auto"/>
      </w:divBdr>
    </w:div>
    <w:div w:id="67119577">
      <w:bodyDiv w:val="1"/>
      <w:marLeft w:val="0"/>
      <w:marRight w:val="0"/>
      <w:marTop w:val="0"/>
      <w:marBottom w:val="0"/>
      <w:divBdr>
        <w:top w:val="none" w:sz="0" w:space="0" w:color="auto"/>
        <w:left w:val="none" w:sz="0" w:space="0" w:color="auto"/>
        <w:bottom w:val="none" w:sz="0" w:space="0" w:color="auto"/>
        <w:right w:val="none" w:sz="0" w:space="0" w:color="auto"/>
      </w:divBdr>
    </w:div>
    <w:div w:id="72433629">
      <w:bodyDiv w:val="1"/>
      <w:marLeft w:val="0"/>
      <w:marRight w:val="0"/>
      <w:marTop w:val="0"/>
      <w:marBottom w:val="0"/>
      <w:divBdr>
        <w:top w:val="none" w:sz="0" w:space="0" w:color="auto"/>
        <w:left w:val="none" w:sz="0" w:space="0" w:color="auto"/>
        <w:bottom w:val="none" w:sz="0" w:space="0" w:color="auto"/>
        <w:right w:val="none" w:sz="0" w:space="0" w:color="auto"/>
      </w:divBdr>
    </w:div>
    <w:div w:id="74325072">
      <w:bodyDiv w:val="1"/>
      <w:marLeft w:val="0"/>
      <w:marRight w:val="0"/>
      <w:marTop w:val="0"/>
      <w:marBottom w:val="0"/>
      <w:divBdr>
        <w:top w:val="none" w:sz="0" w:space="0" w:color="auto"/>
        <w:left w:val="none" w:sz="0" w:space="0" w:color="auto"/>
        <w:bottom w:val="none" w:sz="0" w:space="0" w:color="auto"/>
        <w:right w:val="none" w:sz="0" w:space="0" w:color="auto"/>
      </w:divBdr>
    </w:div>
    <w:div w:id="75055243">
      <w:bodyDiv w:val="1"/>
      <w:marLeft w:val="0"/>
      <w:marRight w:val="0"/>
      <w:marTop w:val="0"/>
      <w:marBottom w:val="0"/>
      <w:divBdr>
        <w:top w:val="none" w:sz="0" w:space="0" w:color="auto"/>
        <w:left w:val="none" w:sz="0" w:space="0" w:color="auto"/>
        <w:bottom w:val="none" w:sz="0" w:space="0" w:color="auto"/>
        <w:right w:val="none" w:sz="0" w:space="0" w:color="auto"/>
      </w:divBdr>
    </w:div>
    <w:div w:id="79105032">
      <w:bodyDiv w:val="1"/>
      <w:marLeft w:val="0"/>
      <w:marRight w:val="0"/>
      <w:marTop w:val="0"/>
      <w:marBottom w:val="0"/>
      <w:divBdr>
        <w:top w:val="none" w:sz="0" w:space="0" w:color="auto"/>
        <w:left w:val="none" w:sz="0" w:space="0" w:color="auto"/>
        <w:bottom w:val="none" w:sz="0" w:space="0" w:color="auto"/>
        <w:right w:val="none" w:sz="0" w:space="0" w:color="auto"/>
      </w:divBdr>
    </w:div>
    <w:div w:id="82848348">
      <w:bodyDiv w:val="1"/>
      <w:marLeft w:val="0"/>
      <w:marRight w:val="0"/>
      <w:marTop w:val="0"/>
      <w:marBottom w:val="0"/>
      <w:divBdr>
        <w:top w:val="none" w:sz="0" w:space="0" w:color="auto"/>
        <w:left w:val="none" w:sz="0" w:space="0" w:color="auto"/>
        <w:bottom w:val="none" w:sz="0" w:space="0" w:color="auto"/>
        <w:right w:val="none" w:sz="0" w:space="0" w:color="auto"/>
      </w:divBdr>
    </w:div>
    <w:div w:id="85270645">
      <w:bodyDiv w:val="1"/>
      <w:marLeft w:val="0"/>
      <w:marRight w:val="0"/>
      <w:marTop w:val="0"/>
      <w:marBottom w:val="0"/>
      <w:divBdr>
        <w:top w:val="none" w:sz="0" w:space="0" w:color="auto"/>
        <w:left w:val="none" w:sz="0" w:space="0" w:color="auto"/>
        <w:bottom w:val="none" w:sz="0" w:space="0" w:color="auto"/>
        <w:right w:val="none" w:sz="0" w:space="0" w:color="auto"/>
      </w:divBdr>
    </w:div>
    <w:div w:id="90132267">
      <w:bodyDiv w:val="1"/>
      <w:marLeft w:val="0"/>
      <w:marRight w:val="0"/>
      <w:marTop w:val="0"/>
      <w:marBottom w:val="0"/>
      <w:divBdr>
        <w:top w:val="none" w:sz="0" w:space="0" w:color="auto"/>
        <w:left w:val="none" w:sz="0" w:space="0" w:color="auto"/>
        <w:bottom w:val="none" w:sz="0" w:space="0" w:color="auto"/>
        <w:right w:val="none" w:sz="0" w:space="0" w:color="auto"/>
      </w:divBdr>
    </w:div>
    <w:div w:id="95372282">
      <w:bodyDiv w:val="1"/>
      <w:marLeft w:val="0"/>
      <w:marRight w:val="0"/>
      <w:marTop w:val="0"/>
      <w:marBottom w:val="0"/>
      <w:divBdr>
        <w:top w:val="none" w:sz="0" w:space="0" w:color="auto"/>
        <w:left w:val="none" w:sz="0" w:space="0" w:color="auto"/>
        <w:bottom w:val="none" w:sz="0" w:space="0" w:color="auto"/>
        <w:right w:val="none" w:sz="0" w:space="0" w:color="auto"/>
      </w:divBdr>
    </w:div>
    <w:div w:id="100951247">
      <w:bodyDiv w:val="1"/>
      <w:marLeft w:val="0"/>
      <w:marRight w:val="0"/>
      <w:marTop w:val="0"/>
      <w:marBottom w:val="0"/>
      <w:divBdr>
        <w:top w:val="none" w:sz="0" w:space="0" w:color="auto"/>
        <w:left w:val="none" w:sz="0" w:space="0" w:color="auto"/>
        <w:bottom w:val="none" w:sz="0" w:space="0" w:color="auto"/>
        <w:right w:val="none" w:sz="0" w:space="0" w:color="auto"/>
      </w:divBdr>
    </w:div>
    <w:div w:id="103888060">
      <w:bodyDiv w:val="1"/>
      <w:marLeft w:val="0"/>
      <w:marRight w:val="0"/>
      <w:marTop w:val="0"/>
      <w:marBottom w:val="0"/>
      <w:divBdr>
        <w:top w:val="none" w:sz="0" w:space="0" w:color="auto"/>
        <w:left w:val="none" w:sz="0" w:space="0" w:color="auto"/>
        <w:bottom w:val="none" w:sz="0" w:space="0" w:color="auto"/>
        <w:right w:val="none" w:sz="0" w:space="0" w:color="auto"/>
      </w:divBdr>
    </w:div>
    <w:div w:id="106508025">
      <w:bodyDiv w:val="1"/>
      <w:marLeft w:val="0"/>
      <w:marRight w:val="0"/>
      <w:marTop w:val="0"/>
      <w:marBottom w:val="0"/>
      <w:divBdr>
        <w:top w:val="none" w:sz="0" w:space="0" w:color="auto"/>
        <w:left w:val="none" w:sz="0" w:space="0" w:color="auto"/>
        <w:bottom w:val="none" w:sz="0" w:space="0" w:color="auto"/>
        <w:right w:val="none" w:sz="0" w:space="0" w:color="auto"/>
      </w:divBdr>
    </w:div>
    <w:div w:id="112018203">
      <w:bodyDiv w:val="1"/>
      <w:marLeft w:val="0"/>
      <w:marRight w:val="0"/>
      <w:marTop w:val="0"/>
      <w:marBottom w:val="0"/>
      <w:divBdr>
        <w:top w:val="none" w:sz="0" w:space="0" w:color="auto"/>
        <w:left w:val="none" w:sz="0" w:space="0" w:color="auto"/>
        <w:bottom w:val="none" w:sz="0" w:space="0" w:color="auto"/>
        <w:right w:val="none" w:sz="0" w:space="0" w:color="auto"/>
      </w:divBdr>
    </w:div>
    <w:div w:id="113136723">
      <w:bodyDiv w:val="1"/>
      <w:marLeft w:val="0"/>
      <w:marRight w:val="0"/>
      <w:marTop w:val="0"/>
      <w:marBottom w:val="0"/>
      <w:divBdr>
        <w:top w:val="none" w:sz="0" w:space="0" w:color="auto"/>
        <w:left w:val="none" w:sz="0" w:space="0" w:color="auto"/>
        <w:bottom w:val="none" w:sz="0" w:space="0" w:color="auto"/>
        <w:right w:val="none" w:sz="0" w:space="0" w:color="auto"/>
      </w:divBdr>
    </w:div>
    <w:div w:id="114443992">
      <w:bodyDiv w:val="1"/>
      <w:marLeft w:val="0"/>
      <w:marRight w:val="0"/>
      <w:marTop w:val="0"/>
      <w:marBottom w:val="0"/>
      <w:divBdr>
        <w:top w:val="none" w:sz="0" w:space="0" w:color="auto"/>
        <w:left w:val="none" w:sz="0" w:space="0" w:color="auto"/>
        <w:bottom w:val="none" w:sz="0" w:space="0" w:color="auto"/>
        <w:right w:val="none" w:sz="0" w:space="0" w:color="auto"/>
      </w:divBdr>
    </w:div>
    <w:div w:id="126553357">
      <w:bodyDiv w:val="1"/>
      <w:marLeft w:val="0"/>
      <w:marRight w:val="0"/>
      <w:marTop w:val="0"/>
      <w:marBottom w:val="0"/>
      <w:divBdr>
        <w:top w:val="none" w:sz="0" w:space="0" w:color="auto"/>
        <w:left w:val="none" w:sz="0" w:space="0" w:color="auto"/>
        <w:bottom w:val="none" w:sz="0" w:space="0" w:color="auto"/>
        <w:right w:val="none" w:sz="0" w:space="0" w:color="auto"/>
      </w:divBdr>
    </w:div>
    <w:div w:id="126902606">
      <w:bodyDiv w:val="1"/>
      <w:marLeft w:val="0"/>
      <w:marRight w:val="0"/>
      <w:marTop w:val="0"/>
      <w:marBottom w:val="0"/>
      <w:divBdr>
        <w:top w:val="none" w:sz="0" w:space="0" w:color="auto"/>
        <w:left w:val="none" w:sz="0" w:space="0" w:color="auto"/>
        <w:bottom w:val="none" w:sz="0" w:space="0" w:color="auto"/>
        <w:right w:val="none" w:sz="0" w:space="0" w:color="auto"/>
      </w:divBdr>
    </w:div>
    <w:div w:id="128013836">
      <w:bodyDiv w:val="1"/>
      <w:marLeft w:val="0"/>
      <w:marRight w:val="0"/>
      <w:marTop w:val="0"/>
      <w:marBottom w:val="0"/>
      <w:divBdr>
        <w:top w:val="none" w:sz="0" w:space="0" w:color="auto"/>
        <w:left w:val="none" w:sz="0" w:space="0" w:color="auto"/>
        <w:bottom w:val="none" w:sz="0" w:space="0" w:color="auto"/>
        <w:right w:val="none" w:sz="0" w:space="0" w:color="auto"/>
      </w:divBdr>
    </w:div>
    <w:div w:id="135999369">
      <w:bodyDiv w:val="1"/>
      <w:marLeft w:val="0"/>
      <w:marRight w:val="0"/>
      <w:marTop w:val="0"/>
      <w:marBottom w:val="0"/>
      <w:divBdr>
        <w:top w:val="none" w:sz="0" w:space="0" w:color="auto"/>
        <w:left w:val="none" w:sz="0" w:space="0" w:color="auto"/>
        <w:bottom w:val="none" w:sz="0" w:space="0" w:color="auto"/>
        <w:right w:val="none" w:sz="0" w:space="0" w:color="auto"/>
      </w:divBdr>
    </w:div>
    <w:div w:id="148791451">
      <w:bodyDiv w:val="1"/>
      <w:marLeft w:val="0"/>
      <w:marRight w:val="0"/>
      <w:marTop w:val="0"/>
      <w:marBottom w:val="0"/>
      <w:divBdr>
        <w:top w:val="none" w:sz="0" w:space="0" w:color="auto"/>
        <w:left w:val="none" w:sz="0" w:space="0" w:color="auto"/>
        <w:bottom w:val="none" w:sz="0" w:space="0" w:color="auto"/>
        <w:right w:val="none" w:sz="0" w:space="0" w:color="auto"/>
      </w:divBdr>
    </w:div>
    <w:div w:id="163206072">
      <w:bodyDiv w:val="1"/>
      <w:marLeft w:val="0"/>
      <w:marRight w:val="0"/>
      <w:marTop w:val="0"/>
      <w:marBottom w:val="0"/>
      <w:divBdr>
        <w:top w:val="none" w:sz="0" w:space="0" w:color="auto"/>
        <w:left w:val="none" w:sz="0" w:space="0" w:color="auto"/>
        <w:bottom w:val="none" w:sz="0" w:space="0" w:color="auto"/>
        <w:right w:val="none" w:sz="0" w:space="0" w:color="auto"/>
      </w:divBdr>
    </w:div>
    <w:div w:id="167259851">
      <w:bodyDiv w:val="1"/>
      <w:marLeft w:val="0"/>
      <w:marRight w:val="0"/>
      <w:marTop w:val="0"/>
      <w:marBottom w:val="0"/>
      <w:divBdr>
        <w:top w:val="none" w:sz="0" w:space="0" w:color="auto"/>
        <w:left w:val="none" w:sz="0" w:space="0" w:color="auto"/>
        <w:bottom w:val="none" w:sz="0" w:space="0" w:color="auto"/>
        <w:right w:val="none" w:sz="0" w:space="0" w:color="auto"/>
      </w:divBdr>
    </w:div>
    <w:div w:id="169027083">
      <w:bodyDiv w:val="1"/>
      <w:marLeft w:val="0"/>
      <w:marRight w:val="0"/>
      <w:marTop w:val="0"/>
      <w:marBottom w:val="0"/>
      <w:divBdr>
        <w:top w:val="none" w:sz="0" w:space="0" w:color="auto"/>
        <w:left w:val="none" w:sz="0" w:space="0" w:color="auto"/>
        <w:bottom w:val="none" w:sz="0" w:space="0" w:color="auto"/>
        <w:right w:val="none" w:sz="0" w:space="0" w:color="auto"/>
      </w:divBdr>
    </w:div>
    <w:div w:id="177623409">
      <w:bodyDiv w:val="1"/>
      <w:marLeft w:val="0"/>
      <w:marRight w:val="0"/>
      <w:marTop w:val="0"/>
      <w:marBottom w:val="0"/>
      <w:divBdr>
        <w:top w:val="none" w:sz="0" w:space="0" w:color="auto"/>
        <w:left w:val="none" w:sz="0" w:space="0" w:color="auto"/>
        <w:bottom w:val="none" w:sz="0" w:space="0" w:color="auto"/>
        <w:right w:val="none" w:sz="0" w:space="0" w:color="auto"/>
      </w:divBdr>
    </w:div>
    <w:div w:id="180440993">
      <w:bodyDiv w:val="1"/>
      <w:marLeft w:val="0"/>
      <w:marRight w:val="0"/>
      <w:marTop w:val="0"/>
      <w:marBottom w:val="0"/>
      <w:divBdr>
        <w:top w:val="none" w:sz="0" w:space="0" w:color="auto"/>
        <w:left w:val="none" w:sz="0" w:space="0" w:color="auto"/>
        <w:bottom w:val="none" w:sz="0" w:space="0" w:color="auto"/>
        <w:right w:val="none" w:sz="0" w:space="0" w:color="auto"/>
      </w:divBdr>
    </w:div>
    <w:div w:id="187958070">
      <w:bodyDiv w:val="1"/>
      <w:marLeft w:val="0"/>
      <w:marRight w:val="0"/>
      <w:marTop w:val="0"/>
      <w:marBottom w:val="0"/>
      <w:divBdr>
        <w:top w:val="none" w:sz="0" w:space="0" w:color="auto"/>
        <w:left w:val="none" w:sz="0" w:space="0" w:color="auto"/>
        <w:bottom w:val="none" w:sz="0" w:space="0" w:color="auto"/>
        <w:right w:val="none" w:sz="0" w:space="0" w:color="auto"/>
      </w:divBdr>
    </w:div>
    <w:div w:id="202595505">
      <w:bodyDiv w:val="1"/>
      <w:marLeft w:val="0"/>
      <w:marRight w:val="0"/>
      <w:marTop w:val="0"/>
      <w:marBottom w:val="0"/>
      <w:divBdr>
        <w:top w:val="none" w:sz="0" w:space="0" w:color="auto"/>
        <w:left w:val="none" w:sz="0" w:space="0" w:color="auto"/>
        <w:bottom w:val="none" w:sz="0" w:space="0" w:color="auto"/>
        <w:right w:val="none" w:sz="0" w:space="0" w:color="auto"/>
      </w:divBdr>
    </w:div>
    <w:div w:id="204946621">
      <w:bodyDiv w:val="1"/>
      <w:marLeft w:val="0"/>
      <w:marRight w:val="0"/>
      <w:marTop w:val="0"/>
      <w:marBottom w:val="0"/>
      <w:divBdr>
        <w:top w:val="none" w:sz="0" w:space="0" w:color="auto"/>
        <w:left w:val="none" w:sz="0" w:space="0" w:color="auto"/>
        <w:bottom w:val="none" w:sz="0" w:space="0" w:color="auto"/>
        <w:right w:val="none" w:sz="0" w:space="0" w:color="auto"/>
      </w:divBdr>
    </w:div>
    <w:div w:id="205719310">
      <w:bodyDiv w:val="1"/>
      <w:marLeft w:val="0"/>
      <w:marRight w:val="0"/>
      <w:marTop w:val="0"/>
      <w:marBottom w:val="0"/>
      <w:divBdr>
        <w:top w:val="none" w:sz="0" w:space="0" w:color="auto"/>
        <w:left w:val="none" w:sz="0" w:space="0" w:color="auto"/>
        <w:bottom w:val="none" w:sz="0" w:space="0" w:color="auto"/>
        <w:right w:val="none" w:sz="0" w:space="0" w:color="auto"/>
      </w:divBdr>
    </w:div>
    <w:div w:id="210726962">
      <w:bodyDiv w:val="1"/>
      <w:marLeft w:val="0"/>
      <w:marRight w:val="0"/>
      <w:marTop w:val="0"/>
      <w:marBottom w:val="0"/>
      <w:divBdr>
        <w:top w:val="none" w:sz="0" w:space="0" w:color="auto"/>
        <w:left w:val="none" w:sz="0" w:space="0" w:color="auto"/>
        <w:bottom w:val="none" w:sz="0" w:space="0" w:color="auto"/>
        <w:right w:val="none" w:sz="0" w:space="0" w:color="auto"/>
      </w:divBdr>
    </w:div>
    <w:div w:id="216670398">
      <w:bodyDiv w:val="1"/>
      <w:marLeft w:val="0"/>
      <w:marRight w:val="0"/>
      <w:marTop w:val="0"/>
      <w:marBottom w:val="0"/>
      <w:divBdr>
        <w:top w:val="none" w:sz="0" w:space="0" w:color="auto"/>
        <w:left w:val="none" w:sz="0" w:space="0" w:color="auto"/>
        <w:bottom w:val="none" w:sz="0" w:space="0" w:color="auto"/>
        <w:right w:val="none" w:sz="0" w:space="0" w:color="auto"/>
      </w:divBdr>
    </w:div>
    <w:div w:id="220987400">
      <w:bodyDiv w:val="1"/>
      <w:marLeft w:val="0"/>
      <w:marRight w:val="0"/>
      <w:marTop w:val="0"/>
      <w:marBottom w:val="0"/>
      <w:divBdr>
        <w:top w:val="none" w:sz="0" w:space="0" w:color="auto"/>
        <w:left w:val="none" w:sz="0" w:space="0" w:color="auto"/>
        <w:bottom w:val="none" w:sz="0" w:space="0" w:color="auto"/>
        <w:right w:val="none" w:sz="0" w:space="0" w:color="auto"/>
      </w:divBdr>
    </w:div>
    <w:div w:id="221527997">
      <w:bodyDiv w:val="1"/>
      <w:marLeft w:val="0"/>
      <w:marRight w:val="0"/>
      <w:marTop w:val="0"/>
      <w:marBottom w:val="0"/>
      <w:divBdr>
        <w:top w:val="none" w:sz="0" w:space="0" w:color="auto"/>
        <w:left w:val="none" w:sz="0" w:space="0" w:color="auto"/>
        <w:bottom w:val="none" w:sz="0" w:space="0" w:color="auto"/>
        <w:right w:val="none" w:sz="0" w:space="0" w:color="auto"/>
      </w:divBdr>
    </w:div>
    <w:div w:id="223175565">
      <w:bodyDiv w:val="1"/>
      <w:marLeft w:val="0"/>
      <w:marRight w:val="0"/>
      <w:marTop w:val="0"/>
      <w:marBottom w:val="0"/>
      <w:divBdr>
        <w:top w:val="none" w:sz="0" w:space="0" w:color="auto"/>
        <w:left w:val="none" w:sz="0" w:space="0" w:color="auto"/>
        <w:bottom w:val="none" w:sz="0" w:space="0" w:color="auto"/>
        <w:right w:val="none" w:sz="0" w:space="0" w:color="auto"/>
      </w:divBdr>
    </w:div>
    <w:div w:id="223954810">
      <w:bodyDiv w:val="1"/>
      <w:marLeft w:val="0"/>
      <w:marRight w:val="0"/>
      <w:marTop w:val="0"/>
      <w:marBottom w:val="0"/>
      <w:divBdr>
        <w:top w:val="none" w:sz="0" w:space="0" w:color="auto"/>
        <w:left w:val="none" w:sz="0" w:space="0" w:color="auto"/>
        <w:bottom w:val="none" w:sz="0" w:space="0" w:color="auto"/>
        <w:right w:val="none" w:sz="0" w:space="0" w:color="auto"/>
      </w:divBdr>
    </w:div>
    <w:div w:id="226452332">
      <w:bodyDiv w:val="1"/>
      <w:marLeft w:val="0"/>
      <w:marRight w:val="0"/>
      <w:marTop w:val="0"/>
      <w:marBottom w:val="0"/>
      <w:divBdr>
        <w:top w:val="none" w:sz="0" w:space="0" w:color="auto"/>
        <w:left w:val="none" w:sz="0" w:space="0" w:color="auto"/>
        <w:bottom w:val="none" w:sz="0" w:space="0" w:color="auto"/>
        <w:right w:val="none" w:sz="0" w:space="0" w:color="auto"/>
      </w:divBdr>
    </w:div>
    <w:div w:id="235209240">
      <w:bodyDiv w:val="1"/>
      <w:marLeft w:val="0"/>
      <w:marRight w:val="0"/>
      <w:marTop w:val="0"/>
      <w:marBottom w:val="0"/>
      <w:divBdr>
        <w:top w:val="none" w:sz="0" w:space="0" w:color="auto"/>
        <w:left w:val="none" w:sz="0" w:space="0" w:color="auto"/>
        <w:bottom w:val="none" w:sz="0" w:space="0" w:color="auto"/>
        <w:right w:val="none" w:sz="0" w:space="0" w:color="auto"/>
      </w:divBdr>
    </w:div>
    <w:div w:id="235945092">
      <w:bodyDiv w:val="1"/>
      <w:marLeft w:val="0"/>
      <w:marRight w:val="0"/>
      <w:marTop w:val="0"/>
      <w:marBottom w:val="0"/>
      <w:divBdr>
        <w:top w:val="none" w:sz="0" w:space="0" w:color="auto"/>
        <w:left w:val="none" w:sz="0" w:space="0" w:color="auto"/>
        <w:bottom w:val="none" w:sz="0" w:space="0" w:color="auto"/>
        <w:right w:val="none" w:sz="0" w:space="0" w:color="auto"/>
      </w:divBdr>
    </w:div>
    <w:div w:id="238640948">
      <w:bodyDiv w:val="1"/>
      <w:marLeft w:val="0"/>
      <w:marRight w:val="0"/>
      <w:marTop w:val="0"/>
      <w:marBottom w:val="0"/>
      <w:divBdr>
        <w:top w:val="none" w:sz="0" w:space="0" w:color="auto"/>
        <w:left w:val="none" w:sz="0" w:space="0" w:color="auto"/>
        <w:bottom w:val="none" w:sz="0" w:space="0" w:color="auto"/>
        <w:right w:val="none" w:sz="0" w:space="0" w:color="auto"/>
      </w:divBdr>
    </w:div>
    <w:div w:id="255674601">
      <w:bodyDiv w:val="1"/>
      <w:marLeft w:val="0"/>
      <w:marRight w:val="0"/>
      <w:marTop w:val="0"/>
      <w:marBottom w:val="0"/>
      <w:divBdr>
        <w:top w:val="none" w:sz="0" w:space="0" w:color="auto"/>
        <w:left w:val="none" w:sz="0" w:space="0" w:color="auto"/>
        <w:bottom w:val="none" w:sz="0" w:space="0" w:color="auto"/>
        <w:right w:val="none" w:sz="0" w:space="0" w:color="auto"/>
      </w:divBdr>
    </w:div>
    <w:div w:id="258366942">
      <w:bodyDiv w:val="1"/>
      <w:marLeft w:val="0"/>
      <w:marRight w:val="0"/>
      <w:marTop w:val="0"/>
      <w:marBottom w:val="0"/>
      <w:divBdr>
        <w:top w:val="none" w:sz="0" w:space="0" w:color="auto"/>
        <w:left w:val="none" w:sz="0" w:space="0" w:color="auto"/>
        <w:bottom w:val="none" w:sz="0" w:space="0" w:color="auto"/>
        <w:right w:val="none" w:sz="0" w:space="0" w:color="auto"/>
      </w:divBdr>
    </w:div>
    <w:div w:id="258758657">
      <w:bodyDiv w:val="1"/>
      <w:marLeft w:val="0"/>
      <w:marRight w:val="0"/>
      <w:marTop w:val="0"/>
      <w:marBottom w:val="0"/>
      <w:divBdr>
        <w:top w:val="none" w:sz="0" w:space="0" w:color="auto"/>
        <w:left w:val="none" w:sz="0" w:space="0" w:color="auto"/>
        <w:bottom w:val="none" w:sz="0" w:space="0" w:color="auto"/>
        <w:right w:val="none" w:sz="0" w:space="0" w:color="auto"/>
      </w:divBdr>
    </w:div>
    <w:div w:id="259682739">
      <w:bodyDiv w:val="1"/>
      <w:marLeft w:val="0"/>
      <w:marRight w:val="0"/>
      <w:marTop w:val="0"/>
      <w:marBottom w:val="0"/>
      <w:divBdr>
        <w:top w:val="none" w:sz="0" w:space="0" w:color="auto"/>
        <w:left w:val="none" w:sz="0" w:space="0" w:color="auto"/>
        <w:bottom w:val="none" w:sz="0" w:space="0" w:color="auto"/>
        <w:right w:val="none" w:sz="0" w:space="0" w:color="auto"/>
      </w:divBdr>
    </w:div>
    <w:div w:id="260183371">
      <w:bodyDiv w:val="1"/>
      <w:marLeft w:val="0"/>
      <w:marRight w:val="0"/>
      <w:marTop w:val="0"/>
      <w:marBottom w:val="0"/>
      <w:divBdr>
        <w:top w:val="none" w:sz="0" w:space="0" w:color="auto"/>
        <w:left w:val="none" w:sz="0" w:space="0" w:color="auto"/>
        <w:bottom w:val="none" w:sz="0" w:space="0" w:color="auto"/>
        <w:right w:val="none" w:sz="0" w:space="0" w:color="auto"/>
      </w:divBdr>
    </w:div>
    <w:div w:id="263802253">
      <w:bodyDiv w:val="1"/>
      <w:marLeft w:val="0"/>
      <w:marRight w:val="0"/>
      <w:marTop w:val="0"/>
      <w:marBottom w:val="0"/>
      <w:divBdr>
        <w:top w:val="none" w:sz="0" w:space="0" w:color="auto"/>
        <w:left w:val="none" w:sz="0" w:space="0" w:color="auto"/>
        <w:bottom w:val="none" w:sz="0" w:space="0" w:color="auto"/>
        <w:right w:val="none" w:sz="0" w:space="0" w:color="auto"/>
      </w:divBdr>
    </w:div>
    <w:div w:id="271472258">
      <w:bodyDiv w:val="1"/>
      <w:marLeft w:val="0"/>
      <w:marRight w:val="0"/>
      <w:marTop w:val="0"/>
      <w:marBottom w:val="0"/>
      <w:divBdr>
        <w:top w:val="none" w:sz="0" w:space="0" w:color="auto"/>
        <w:left w:val="none" w:sz="0" w:space="0" w:color="auto"/>
        <w:bottom w:val="none" w:sz="0" w:space="0" w:color="auto"/>
        <w:right w:val="none" w:sz="0" w:space="0" w:color="auto"/>
      </w:divBdr>
    </w:div>
    <w:div w:id="273904231">
      <w:bodyDiv w:val="1"/>
      <w:marLeft w:val="0"/>
      <w:marRight w:val="0"/>
      <w:marTop w:val="0"/>
      <w:marBottom w:val="0"/>
      <w:divBdr>
        <w:top w:val="none" w:sz="0" w:space="0" w:color="auto"/>
        <w:left w:val="none" w:sz="0" w:space="0" w:color="auto"/>
        <w:bottom w:val="none" w:sz="0" w:space="0" w:color="auto"/>
        <w:right w:val="none" w:sz="0" w:space="0" w:color="auto"/>
      </w:divBdr>
    </w:div>
    <w:div w:id="276721272">
      <w:bodyDiv w:val="1"/>
      <w:marLeft w:val="0"/>
      <w:marRight w:val="0"/>
      <w:marTop w:val="0"/>
      <w:marBottom w:val="0"/>
      <w:divBdr>
        <w:top w:val="none" w:sz="0" w:space="0" w:color="auto"/>
        <w:left w:val="none" w:sz="0" w:space="0" w:color="auto"/>
        <w:bottom w:val="none" w:sz="0" w:space="0" w:color="auto"/>
        <w:right w:val="none" w:sz="0" w:space="0" w:color="auto"/>
      </w:divBdr>
    </w:div>
    <w:div w:id="281573644">
      <w:bodyDiv w:val="1"/>
      <w:marLeft w:val="0"/>
      <w:marRight w:val="0"/>
      <w:marTop w:val="0"/>
      <w:marBottom w:val="0"/>
      <w:divBdr>
        <w:top w:val="none" w:sz="0" w:space="0" w:color="auto"/>
        <w:left w:val="none" w:sz="0" w:space="0" w:color="auto"/>
        <w:bottom w:val="none" w:sz="0" w:space="0" w:color="auto"/>
        <w:right w:val="none" w:sz="0" w:space="0" w:color="auto"/>
      </w:divBdr>
    </w:div>
    <w:div w:id="285624030">
      <w:bodyDiv w:val="1"/>
      <w:marLeft w:val="0"/>
      <w:marRight w:val="0"/>
      <w:marTop w:val="0"/>
      <w:marBottom w:val="0"/>
      <w:divBdr>
        <w:top w:val="none" w:sz="0" w:space="0" w:color="auto"/>
        <w:left w:val="none" w:sz="0" w:space="0" w:color="auto"/>
        <w:bottom w:val="none" w:sz="0" w:space="0" w:color="auto"/>
        <w:right w:val="none" w:sz="0" w:space="0" w:color="auto"/>
      </w:divBdr>
    </w:div>
    <w:div w:id="286815091">
      <w:bodyDiv w:val="1"/>
      <w:marLeft w:val="0"/>
      <w:marRight w:val="0"/>
      <w:marTop w:val="0"/>
      <w:marBottom w:val="0"/>
      <w:divBdr>
        <w:top w:val="none" w:sz="0" w:space="0" w:color="auto"/>
        <w:left w:val="none" w:sz="0" w:space="0" w:color="auto"/>
        <w:bottom w:val="none" w:sz="0" w:space="0" w:color="auto"/>
        <w:right w:val="none" w:sz="0" w:space="0" w:color="auto"/>
      </w:divBdr>
    </w:div>
    <w:div w:id="288517809">
      <w:bodyDiv w:val="1"/>
      <w:marLeft w:val="0"/>
      <w:marRight w:val="0"/>
      <w:marTop w:val="0"/>
      <w:marBottom w:val="0"/>
      <w:divBdr>
        <w:top w:val="none" w:sz="0" w:space="0" w:color="auto"/>
        <w:left w:val="none" w:sz="0" w:space="0" w:color="auto"/>
        <w:bottom w:val="none" w:sz="0" w:space="0" w:color="auto"/>
        <w:right w:val="none" w:sz="0" w:space="0" w:color="auto"/>
      </w:divBdr>
    </w:div>
    <w:div w:id="289550953">
      <w:bodyDiv w:val="1"/>
      <w:marLeft w:val="0"/>
      <w:marRight w:val="0"/>
      <w:marTop w:val="0"/>
      <w:marBottom w:val="0"/>
      <w:divBdr>
        <w:top w:val="none" w:sz="0" w:space="0" w:color="auto"/>
        <w:left w:val="none" w:sz="0" w:space="0" w:color="auto"/>
        <w:bottom w:val="none" w:sz="0" w:space="0" w:color="auto"/>
        <w:right w:val="none" w:sz="0" w:space="0" w:color="auto"/>
      </w:divBdr>
    </w:div>
    <w:div w:id="309214871">
      <w:bodyDiv w:val="1"/>
      <w:marLeft w:val="0"/>
      <w:marRight w:val="0"/>
      <w:marTop w:val="0"/>
      <w:marBottom w:val="0"/>
      <w:divBdr>
        <w:top w:val="none" w:sz="0" w:space="0" w:color="auto"/>
        <w:left w:val="none" w:sz="0" w:space="0" w:color="auto"/>
        <w:bottom w:val="none" w:sz="0" w:space="0" w:color="auto"/>
        <w:right w:val="none" w:sz="0" w:space="0" w:color="auto"/>
      </w:divBdr>
    </w:div>
    <w:div w:id="309751723">
      <w:bodyDiv w:val="1"/>
      <w:marLeft w:val="0"/>
      <w:marRight w:val="0"/>
      <w:marTop w:val="0"/>
      <w:marBottom w:val="0"/>
      <w:divBdr>
        <w:top w:val="none" w:sz="0" w:space="0" w:color="auto"/>
        <w:left w:val="none" w:sz="0" w:space="0" w:color="auto"/>
        <w:bottom w:val="none" w:sz="0" w:space="0" w:color="auto"/>
        <w:right w:val="none" w:sz="0" w:space="0" w:color="auto"/>
      </w:divBdr>
    </w:div>
    <w:div w:id="313877776">
      <w:bodyDiv w:val="1"/>
      <w:marLeft w:val="0"/>
      <w:marRight w:val="0"/>
      <w:marTop w:val="0"/>
      <w:marBottom w:val="0"/>
      <w:divBdr>
        <w:top w:val="none" w:sz="0" w:space="0" w:color="auto"/>
        <w:left w:val="none" w:sz="0" w:space="0" w:color="auto"/>
        <w:bottom w:val="none" w:sz="0" w:space="0" w:color="auto"/>
        <w:right w:val="none" w:sz="0" w:space="0" w:color="auto"/>
      </w:divBdr>
    </w:div>
    <w:div w:id="314575633">
      <w:bodyDiv w:val="1"/>
      <w:marLeft w:val="0"/>
      <w:marRight w:val="0"/>
      <w:marTop w:val="0"/>
      <w:marBottom w:val="0"/>
      <w:divBdr>
        <w:top w:val="none" w:sz="0" w:space="0" w:color="auto"/>
        <w:left w:val="none" w:sz="0" w:space="0" w:color="auto"/>
        <w:bottom w:val="none" w:sz="0" w:space="0" w:color="auto"/>
        <w:right w:val="none" w:sz="0" w:space="0" w:color="auto"/>
      </w:divBdr>
    </w:div>
    <w:div w:id="317853393">
      <w:bodyDiv w:val="1"/>
      <w:marLeft w:val="0"/>
      <w:marRight w:val="0"/>
      <w:marTop w:val="0"/>
      <w:marBottom w:val="0"/>
      <w:divBdr>
        <w:top w:val="none" w:sz="0" w:space="0" w:color="auto"/>
        <w:left w:val="none" w:sz="0" w:space="0" w:color="auto"/>
        <w:bottom w:val="none" w:sz="0" w:space="0" w:color="auto"/>
        <w:right w:val="none" w:sz="0" w:space="0" w:color="auto"/>
      </w:divBdr>
    </w:div>
    <w:div w:id="320279120">
      <w:bodyDiv w:val="1"/>
      <w:marLeft w:val="0"/>
      <w:marRight w:val="0"/>
      <w:marTop w:val="0"/>
      <w:marBottom w:val="0"/>
      <w:divBdr>
        <w:top w:val="none" w:sz="0" w:space="0" w:color="auto"/>
        <w:left w:val="none" w:sz="0" w:space="0" w:color="auto"/>
        <w:bottom w:val="none" w:sz="0" w:space="0" w:color="auto"/>
        <w:right w:val="none" w:sz="0" w:space="0" w:color="auto"/>
      </w:divBdr>
    </w:div>
    <w:div w:id="327173489">
      <w:bodyDiv w:val="1"/>
      <w:marLeft w:val="0"/>
      <w:marRight w:val="0"/>
      <w:marTop w:val="0"/>
      <w:marBottom w:val="0"/>
      <w:divBdr>
        <w:top w:val="none" w:sz="0" w:space="0" w:color="auto"/>
        <w:left w:val="none" w:sz="0" w:space="0" w:color="auto"/>
        <w:bottom w:val="none" w:sz="0" w:space="0" w:color="auto"/>
        <w:right w:val="none" w:sz="0" w:space="0" w:color="auto"/>
      </w:divBdr>
    </w:div>
    <w:div w:id="329990004">
      <w:bodyDiv w:val="1"/>
      <w:marLeft w:val="0"/>
      <w:marRight w:val="0"/>
      <w:marTop w:val="0"/>
      <w:marBottom w:val="0"/>
      <w:divBdr>
        <w:top w:val="none" w:sz="0" w:space="0" w:color="auto"/>
        <w:left w:val="none" w:sz="0" w:space="0" w:color="auto"/>
        <w:bottom w:val="none" w:sz="0" w:space="0" w:color="auto"/>
        <w:right w:val="none" w:sz="0" w:space="0" w:color="auto"/>
      </w:divBdr>
    </w:div>
    <w:div w:id="332341307">
      <w:bodyDiv w:val="1"/>
      <w:marLeft w:val="0"/>
      <w:marRight w:val="0"/>
      <w:marTop w:val="0"/>
      <w:marBottom w:val="0"/>
      <w:divBdr>
        <w:top w:val="none" w:sz="0" w:space="0" w:color="auto"/>
        <w:left w:val="none" w:sz="0" w:space="0" w:color="auto"/>
        <w:bottom w:val="none" w:sz="0" w:space="0" w:color="auto"/>
        <w:right w:val="none" w:sz="0" w:space="0" w:color="auto"/>
      </w:divBdr>
    </w:div>
    <w:div w:id="334309813">
      <w:bodyDiv w:val="1"/>
      <w:marLeft w:val="0"/>
      <w:marRight w:val="0"/>
      <w:marTop w:val="0"/>
      <w:marBottom w:val="0"/>
      <w:divBdr>
        <w:top w:val="none" w:sz="0" w:space="0" w:color="auto"/>
        <w:left w:val="none" w:sz="0" w:space="0" w:color="auto"/>
        <w:bottom w:val="none" w:sz="0" w:space="0" w:color="auto"/>
        <w:right w:val="none" w:sz="0" w:space="0" w:color="auto"/>
      </w:divBdr>
    </w:div>
    <w:div w:id="344212191">
      <w:bodyDiv w:val="1"/>
      <w:marLeft w:val="0"/>
      <w:marRight w:val="0"/>
      <w:marTop w:val="0"/>
      <w:marBottom w:val="0"/>
      <w:divBdr>
        <w:top w:val="none" w:sz="0" w:space="0" w:color="auto"/>
        <w:left w:val="none" w:sz="0" w:space="0" w:color="auto"/>
        <w:bottom w:val="none" w:sz="0" w:space="0" w:color="auto"/>
        <w:right w:val="none" w:sz="0" w:space="0" w:color="auto"/>
      </w:divBdr>
    </w:div>
    <w:div w:id="345399895">
      <w:bodyDiv w:val="1"/>
      <w:marLeft w:val="0"/>
      <w:marRight w:val="0"/>
      <w:marTop w:val="0"/>
      <w:marBottom w:val="0"/>
      <w:divBdr>
        <w:top w:val="none" w:sz="0" w:space="0" w:color="auto"/>
        <w:left w:val="none" w:sz="0" w:space="0" w:color="auto"/>
        <w:bottom w:val="none" w:sz="0" w:space="0" w:color="auto"/>
        <w:right w:val="none" w:sz="0" w:space="0" w:color="auto"/>
      </w:divBdr>
    </w:div>
    <w:div w:id="355273838">
      <w:bodyDiv w:val="1"/>
      <w:marLeft w:val="0"/>
      <w:marRight w:val="0"/>
      <w:marTop w:val="0"/>
      <w:marBottom w:val="0"/>
      <w:divBdr>
        <w:top w:val="none" w:sz="0" w:space="0" w:color="auto"/>
        <w:left w:val="none" w:sz="0" w:space="0" w:color="auto"/>
        <w:bottom w:val="none" w:sz="0" w:space="0" w:color="auto"/>
        <w:right w:val="none" w:sz="0" w:space="0" w:color="auto"/>
      </w:divBdr>
    </w:div>
    <w:div w:id="356976819">
      <w:bodyDiv w:val="1"/>
      <w:marLeft w:val="0"/>
      <w:marRight w:val="0"/>
      <w:marTop w:val="0"/>
      <w:marBottom w:val="0"/>
      <w:divBdr>
        <w:top w:val="none" w:sz="0" w:space="0" w:color="auto"/>
        <w:left w:val="none" w:sz="0" w:space="0" w:color="auto"/>
        <w:bottom w:val="none" w:sz="0" w:space="0" w:color="auto"/>
        <w:right w:val="none" w:sz="0" w:space="0" w:color="auto"/>
      </w:divBdr>
    </w:div>
    <w:div w:id="357779605">
      <w:bodyDiv w:val="1"/>
      <w:marLeft w:val="0"/>
      <w:marRight w:val="0"/>
      <w:marTop w:val="0"/>
      <w:marBottom w:val="0"/>
      <w:divBdr>
        <w:top w:val="none" w:sz="0" w:space="0" w:color="auto"/>
        <w:left w:val="none" w:sz="0" w:space="0" w:color="auto"/>
        <w:bottom w:val="none" w:sz="0" w:space="0" w:color="auto"/>
        <w:right w:val="none" w:sz="0" w:space="0" w:color="auto"/>
      </w:divBdr>
    </w:div>
    <w:div w:id="365981340">
      <w:bodyDiv w:val="1"/>
      <w:marLeft w:val="0"/>
      <w:marRight w:val="0"/>
      <w:marTop w:val="0"/>
      <w:marBottom w:val="0"/>
      <w:divBdr>
        <w:top w:val="none" w:sz="0" w:space="0" w:color="auto"/>
        <w:left w:val="none" w:sz="0" w:space="0" w:color="auto"/>
        <w:bottom w:val="none" w:sz="0" w:space="0" w:color="auto"/>
        <w:right w:val="none" w:sz="0" w:space="0" w:color="auto"/>
      </w:divBdr>
    </w:div>
    <w:div w:id="369259277">
      <w:bodyDiv w:val="1"/>
      <w:marLeft w:val="0"/>
      <w:marRight w:val="0"/>
      <w:marTop w:val="0"/>
      <w:marBottom w:val="0"/>
      <w:divBdr>
        <w:top w:val="none" w:sz="0" w:space="0" w:color="auto"/>
        <w:left w:val="none" w:sz="0" w:space="0" w:color="auto"/>
        <w:bottom w:val="none" w:sz="0" w:space="0" w:color="auto"/>
        <w:right w:val="none" w:sz="0" w:space="0" w:color="auto"/>
      </w:divBdr>
    </w:div>
    <w:div w:id="371155829">
      <w:bodyDiv w:val="1"/>
      <w:marLeft w:val="0"/>
      <w:marRight w:val="0"/>
      <w:marTop w:val="0"/>
      <w:marBottom w:val="0"/>
      <w:divBdr>
        <w:top w:val="none" w:sz="0" w:space="0" w:color="auto"/>
        <w:left w:val="none" w:sz="0" w:space="0" w:color="auto"/>
        <w:bottom w:val="none" w:sz="0" w:space="0" w:color="auto"/>
        <w:right w:val="none" w:sz="0" w:space="0" w:color="auto"/>
      </w:divBdr>
    </w:div>
    <w:div w:id="374891358">
      <w:bodyDiv w:val="1"/>
      <w:marLeft w:val="0"/>
      <w:marRight w:val="0"/>
      <w:marTop w:val="0"/>
      <w:marBottom w:val="0"/>
      <w:divBdr>
        <w:top w:val="none" w:sz="0" w:space="0" w:color="auto"/>
        <w:left w:val="none" w:sz="0" w:space="0" w:color="auto"/>
        <w:bottom w:val="none" w:sz="0" w:space="0" w:color="auto"/>
        <w:right w:val="none" w:sz="0" w:space="0" w:color="auto"/>
      </w:divBdr>
    </w:div>
    <w:div w:id="381490962">
      <w:bodyDiv w:val="1"/>
      <w:marLeft w:val="0"/>
      <w:marRight w:val="0"/>
      <w:marTop w:val="0"/>
      <w:marBottom w:val="0"/>
      <w:divBdr>
        <w:top w:val="none" w:sz="0" w:space="0" w:color="auto"/>
        <w:left w:val="none" w:sz="0" w:space="0" w:color="auto"/>
        <w:bottom w:val="none" w:sz="0" w:space="0" w:color="auto"/>
        <w:right w:val="none" w:sz="0" w:space="0" w:color="auto"/>
      </w:divBdr>
    </w:div>
    <w:div w:id="387653170">
      <w:bodyDiv w:val="1"/>
      <w:marLeft w:val="0"/>
      <w:marRight w:val="0"/>
      <w:marTop w:val="0"/>
      <w:marBottom w:val="0"/>
      <w:divBdr>
        <w:top w:val="none" w:sz="0" w:space="0" w:color="auto"/>
        <w:left w:val="none" w:sz="0" w:space="0" w:color="auto"/>
        <w:bottom w:val="none" w:sz="0" w:space="0" w:color="auto"/>
        <w:right w:val="none" w:sz="0" w:space="0" w:color="auto"/>
      </w:divBdr>
    </w:div>
    <w:div w:id="388725987">
      <w:bodyDiv w:val="1"/>
      <w:marLeft w:val="0"/>
      <w:marRight w:val="0"/>
      <w:marTop w:val="0"/>
      <w:marBottom w:val="0"/>
      <w:divBdr>
        <w:top w:val="none" w:sz="0" w:space="0" w:color="auto"/>
        <w:left w:val="none" w:sz="0" w:space="0" w:color="auto"/>
        <w:bottom w:val="none" w:sz="0" w:space="0" w:color="auto"/>
        <w:right w:val="none" w:sz="0" w:space="0" w:color="auto"/>
      </w:divBdr>
    </w:div>
    <w:div w:id="397753454">
      <w:bodyDiv w:val="1"/>
      <w:marLeft w:val="0"/>
      <w:marRight w:val="0"/>
      <w:marTop w:val="0"/>
      <w:marBottom w:val="0"/>
      <w:divBdr>
        <w:top w:val="none" w:sz="0" w:space="0" w:color="auto"/>
        <w:left w:val="none" w:sz="0" w:space="0" w:color="auto"/>
        <w:bottom w:val="none" w:sz="0" w:space="0" w:color="auto"/>
        <w:right w:val="none" w:sz="0" w:space="0" w:color="auto"/>
      </w:divBdr>
    </w:div>
    <w:div w:id="400829912">
      <w:bodyDiv w:val="1"/>
      <w:marLeft w:val="0"/>
      <w:marRight w:val="0"/>
      <w:marTop w:val="0"/>
      <w:marBottom w:val="0"/>
      <w:divBdr>
        <w:top w:val="none" w:sz="0" w:space="0" w:color="auto"/>
        <w:left w:val="none" w:sz="0" w:space="0" w:color="auto"/>
        <w:bottom w:val="none" w:sz="0" w:space="0" w:color="auto"/>
        <w:right w:val="none" w:sz="0" w:space="0" w:color="auto"/>
      </w:divBdr>
    </w:div>
    <w:div w:id="407962075">
      <w:bodyDiv w:val="1"/>
      <w:marLeft w:val="0"/>
      <w:marRight w:val="0"/>
      <w:marTop w:val="0"/>
      <w:marBottom w:val="0"/>
      <w:divBdr>
        <w:top w:val="none" w:sz="0" w:space="0" w:color="auto"/>
        <w:left w:val="none" w:sz="0" w:space="0" w:color="auto"/>
        <w:bottom w:val="none" w:sz="0" w:space="0" w:color="auto"/>
        <w:right w:val="none" w:sz="0" w:space="0" w:color="auto"/>
      </w:divBdr>
    </w:div>
    <w:div w:id="414253843">
      <w:bodyDiv w:val="1"/>
      <w:marLeft w:val="0"/>
      <w:marRight w:val="0"/>
      <w:marTop w:val="0"/>
      <w:marBottom w:val="0"/>
      <w:divBdr>
        <w:top w:val="none" w:sz="0" w:space="0" w:color="auto"/>
        <w:left w:val="none" w:sz="0" w:space="0" w:color="auto"/>
        <w:bottom w:val="none" w:sz="0" w:space="0" w:color="auto"/>
        <w:right w:val="none" w:sz="0" w:space="0" w:color="auto"/>
      </w:divBdr>
    </w:div>
    <w:div w:id="417794901">
      <w:bodyDiv w:val="1"/>
      <w:marLeft w:val="0"/>
      <w:marRight w:val="0"/>
      <w:marTop w:val="0"/>
      <w:marBottom w:val="0"/>
      <w:divBdr>
        <w:top w:val="none" w:sz="0" w:space="0" w:color="auto"/>
        <w:left w:val="none" w:sz="0" w:space="0" w:color="auto"/>
        <w:bottom w:val="none" w:sz="0" w:space="0" w:color="auto"/>
        <w:right w:val="none" w:sz="0" w:space="0" w:color="auto"/>
      </w:divBdr>
    </w:div>
    <w:div w:id="418330171">
      <w:bodyDiv w:val="1"/>
      <w:marLeft w:val="0"/>
      <w:marRight w:val="0"/>
      <w:marTop w:val="0"/>
      <w:marBottom w:val="0"/>
      <w:divBdr>
        <w:top w:val="none" w:sz="0" w:space="0" w:color="auto"/>
        <w:left w:val="none" w:sz="0" w:space="0" w:color="auto"/>
        <w:bottom w:val="none" w:sz="0" w:space="0" w:color="auto"/>
        <w:right w:val="none" w:sz="0" w:space="0" w:color="auto"/>
      </w:divBdr>
    </w:div>
    <w:div w:id="418723420">
      <w:bodyDiv w:val="1"/>
      <w:marLeft w:val="0"/>
      <w:marRight w:val="0"/>
      <w:marTop w:val="0"/>
      <w:marBottom w:val="0"/>
      <w:divBdr>
        <w:top w:val="none" w:sz="0" w:space="0" w:color="auto"/>
        <w:left w:val="none" w:sz="0" w:space="0" w:color="auto"/>
        <w:bottom w:val="none" w:sz="0" w:space="0" w:color="auto"/>
        <w:right w:val="none" w:sz="0" w:space="0" w:color="auto"/>
      </w:divBdr>
    </w:div>
    <w:div w:id="418992156">
      <w:bodyDiv w:val="1"/>
      <w:marLeft w:val="0"/>
      <w:marRight w:val="0"/>
      <w:marTop w:val="0"/>
      <w:marBottom w:val="0"/>
      <w:divBdr>
        <w:top w:val="none" w:sz="0" w:space="0" w:color="auto"/>
        <w:left w:val="none" w:sz="0" w:space="0" w:color="auto"/>
        <w:bottom w:val="none" w:sz="0" w:space="0" w:color="auto"/>
        <w:right w:val="none" w:sz="0" w:space="0" w:color="auto"/>
      </w:divBdr>
    </w:div>
    <w:div w:id="419447432">
      <w:bodyDiv w:val="1"/>
      <w:marLeft w:val="0"/>
      <w:marRight w:val="0"/>
      <w:marTop w:val="0"/>
      <w:marBottom w:val="0"/>
      <w:divBdr>
        <w:top w:val="none" w:sz="0" w:space="0" w:color="auto"/>
        <w:left w:val="none" w:sz="0" w:space="0" w:color="auto"/>
        <w:bottom w:val="none" w:sz="0" w:space="0" w:color="auto"/>
        <w:right w:val="none" w:sz="0" w:space="0" w:color="auto"/>
      </w:divBdr>
    </w:div>
    <w:div w:id="420948859">
      <w:bodyDiv w:val="1"/>
      <w:marLeft w:val="0"/>
      <w:marRight w:val="0"/>
      <w:marTop w:val="0"/>
      <w:marBottom w:val="0"/>
      <w:divBdr>
        <w:top w:val="none" w:sz="0" w:space="0" w:color="auto"/>
        <w:left w:val="none" w:sz="0" w:space="0" w:color="auto"/>
        <w:bottom w:val="none" w:sz="0" w:space="0" w:color="auto"/>
        <w:right w:val="none" w:sz="0" w:space="0" w:color="auto"/>
      </w:divBdr>
    </w:div>
    <w:div w:id="421462053">
      <w:bodyDiv w:val="1"/>
      <w:marLeft w:val="0"/>
      <w:marRight w:val="0"/>
      <w:marTop w:val="0"/>
      <w:marBottom w:val="0"/>
      <w:divBdr>
        <w:top w:val="none" w:sz="0" w:space="0" w:color="auto"/>
        <w:left w:val="none" w:sz="0" w:space="0" w:color="auto"/>
        <w:bottom w:val="none" w:sz="0" w:space="0" w:color="auto"/>
        <w:right w:val="none" w:sz="0" w:space="0" w:color="auto"/>
      </w:divBdr>
    </w:div>
    <w:div w:id="445317281">
      <w:bodyDiv w:val="1"/>
      <w:marLeft w:val="0"/>
      <w:marRight w:val="0"/>
      <w:marTop w:val="0"/>
      <w:marBottom w:val="0"/>
      <w:divBdr>
        <w:top w:val="none" w:sz="0" w:space="0" w:color="auto"/>
        <w:left w:val="none" w:sz="0" w:space="0" w:color="auto"/>
        <w:bottom w:val="none" w:sz="0" w:space="0" w:color="auto"/>
        <w:right w:val="none" w:sz="0" w:space="0" w:color="auto"/>
      </w:divBdr>
    </w:div>
    <w:div w:id="445778060">
      <w:bodyDiv w:val="1"/>
      <w:marLeft w:val="0"/>
      <w:marRight w:val="0"/>
      <w:marTop w:val="0"/>
      <w:marBottom w:val="0"/>
      <w:divBdr>
        <w:top w:val="none" w:sz="0" w:space="0" w:color="auto"/>
        <w:left w:val="none" w:sz="0" w:space="0" w:color="auto"/>
        <w:bottom w:val="none" w:sz="0" w:space="0" w:color="auto"/>
        <w:right w:val="none" w:sz="0" w:space="0" w:color="auto"/>
      </w:divBdr>
    </w:div>
    <w:div w:id="448596585">
      <w:bodyDiv w:val="1"/>
      <w:marLeft w:val="0"/>
      <w:marRight w:val="0"/>
      <w:marTop w:val="0"/>
      <w:marBottom w:val="0"/>
      <w:divBdr>
        <w:top w:val="none" w:sz="0" w:space="0" w:color="auto"/>
        <w:left w:val="none" w:sz="0" w:space="0" w:color="auto"/>
        <w:bottom w:val="none" w:sz="0" w:space="0" w:color="auto"/>
        <w:right w:val="none" w:sz="0" w:space="0" w:color="auto"/>
      </w:divBdr>
    </w:div>
    <w:div w:id="448669301">
      <w:bodyDiv w:val="1"/>
      <w:marLeft w:val="0"/>
      <w:marRight w:val="0"/>
      <w:marTop w:val="0"/>
      <w:marBottom w:val="0"/>
      <w:divBdr>
        <w:top w:val="none" w:sz="0" w:space="0" w:color="auto"/>
        <w:left w:val="none" w:sz="0" w:space="0" w:color="auto"/>
        <w:bottom w:val="none" w:sz="0" w:space="0" w:color="auto"/>
        <w:right w:val="none" w:sz="0" w:space="0" w:color="auto"/>
      </w:divBdr>
    </w:div>
    <w:div w:id="459498888">
      <w:bodyDiv w:val="1"/>
      <w:marLeft w:val="0"/>
      <w:marRight w:val="0"/>
      <w:marTop w:val="0"/>
      <w:marBottom w:val="0"/>
      <w:divBdr>
        <w:top w:val="none" w:sz="0" w:space="0" w:color="auto"/>
        <w:left w:val="none" w:sz="0" w:space="0" w:color="auto"/>
        <w:bottom w:val="none" w:sz="0" w:space="0" w:color="auto"/>
        <w:right w:val="none" w:sz="0" w:space="0" w:color="auto"/>
      </w:divBdr>
    </w:div>
    <w:div w:id="460195340">
      <w:bodyDiv w:val="1"/>
      <w:marLeft w:val="0"/>
      <w:marRight w:val="0"/>
      <w:marTop w:val="0"/>
      <w:marBottom w:val="0"/>
      <w:divBdr>
        <w:top w:val="none" w:sz="0" w:space="0" w:color="auto"/>
        <w:left w:val="none" w:sz="0" w:space="0" w:color="auto"/>
        <w:bottom w:val="none" w:sz="0" w:space="0" w:color="auto"/>
        <w:right w:val="none" w:sz="0" w:space="0" w:color="auto"/>
      </w:divBdr>
    </w:div>
    <w:div w:id="460654207">
      <w:bodyDiv w:val="1"/>
      <w:marLeft w:val="0"/>
      <w:marRight w:val="0"/>
      <w:marTop w:val="0"/>
      <w:marBottom w:val="0"/>
      <w:divBdr>
        <w:top w:val="none" w:sz="0" w:space="0" w:color="auto"/>
        <w:left w:val="none" w:sz="0" w:space="0" w:color="auto"/>
        <w:bottom w:val="none" w:sz="0" w:space="0" w:color="auto"/>
        <w:right w:val="none" w:sz="0" w:space="0" w:color="auto"/>
      </w:divBdr>
    </w:div>
    <w:div w:id="475949655">
      <w:bodyDiv w:val="1"/>
      <w:marLeft w:val="0"/>
      <w:marRight w:val="0"/>
      <w:marTop w:val="0"/>
      <w:marBottom w:val="0"/>
      <w:divBdr>
        <w:top w:val="none" w:sz="0" w:space="0" w:color="auto"/>
        <w:left w:val="none" w:sz="0" w:space="0" w:color="auto"/>
        <w:bottom w:val="none" w:sz="0" w:space="0" w:color="auto"/>
        <w:right w:val="none" w:sz="0" w:space="0" w:color="auto"/>
      </w:divBdr>
    </w:div>
    <w:div w:id="475997566">
      <w:bodyDiv w:val="1"/>
      <w:marLeft w:val="0"/>
      <w:marRight w:val="0"/>
      <w:marTop w:val="0"/>
      <w:marBottom w:val="0"/>
      <w:divBdr>
        <w:top w:val="none" w:sz="0" w:space="0" w:color="auto"/>
        <w:left w:val="none" w:sz="0" w:space="0" w:color="auto"/>
        <w:bottom w:val="none" w:sz="0" w:space="0" w:color="auto"/>
        <w:right w:val="none" w:sz="0" w:space="0" w:color="auto"/>
      </w:divBdr>
    </w:div>
    <w:div w:id="476264613">
      <w:bodyDiv w:val="1"/>
      <w:marLeft w:val="0"/>
      <w:marRight w:val="0"/>
      <w:marTop w:val="0"/>
      <w:marBottom w:val="0"/>
      <w:divBdr>
        <w:top w:val="none" w:sz="0" w:space="0" w:color="auto"/>
        <w:left w:val="none" w:sz="0" w:space="0" w:color="auto"/>
        <w:bottom w:val="none" w:sz="0" w:space="0" w:color="auto"/>
        <w:right w:val="none" w:sz="0" w:space="0" w:color="auto"/>
      </w:divBdr>
    </w:div>
    <w:div w:id="480848587">
      <w:bodyDiv w:val="1"/>
      <w:marLeft w:val="0"/>
      <w:marRight w:val="0"/>
      <w:marTop w:val="0"/>
      <w:marBottom w:val="0"/>
      <w:divBdr>
        <w:top w:val="none" w:sz="0" w:space="0" w:color="auto"/>
        <w:left w:val="none" w:sz="0" w:space="0" w:color="auto"/>
        <w:bottom w:val="none" w:sz="0" w:space="0" w:color="auto"/>
        <w:right w:val="none" w:sz="0" w:space="0" w:color="auto"/>
      </w:divBdr>
    </w:div>
    <w:div w:id="487865688">
      <w:bodyDiv w:val="1"/>
      <w:marLeft w:val="0"/>
      <w:marRight w:val="0"/>
      <w:marTop w:val="0"/>
      <w:marBottom w:val="0"/>
      <w:divBdr>
        <w:top w:val="none" w:sz="0" w:space="0" w:color="auto"/>
        <w:left w:val="none" w:sz="0" w:space="0" w:color="auto"/>
        <w:bottom w:val="none" w:sz="0" w:space="0" w:color="auto"/>
        <w:right w:val="none" w:sz="0" w:space="0" w:color="auto"/>
      </w:divBdr>
    </w:div>
    <w:div w:id="508259461">
      <w:bodyDiv w:val="1"/>
      <w:marLeft w:val="0"/>
      <w:marRight w:val="0"/>
      <w:marTop w:val="0"/>
      <w:marBottom w:val="0"/>
      <w:divBdr>
        <w:top w:val="none" w:sz="0" w:space="0" w:color="auto"/>
        <w:left w:val="none" w:sz="0" w:space="0" w:color="auto"/>
        <w:bottom w:val="none" w:sz="0" w:space="0" w:color="auto"/>
        <w:right w:val="none" w:sz="0" w:space="0" w:color="auto"/>
      </w:divBdr>
    </w:div>
    <w:div w:id="508564288">
      <w:bodyDiv w:val="1"/>
      <w:marLeft w:val="0"/>
      <w:marRight w:val="0"/>
      <w:marTop w:val="0"/>
      <w:marBottom w:val="0"/>
      <w:divBdr>
        <w:top w:val="none" w:sz="0" w:space="0" w:color="auto"/>
        <w:left w:val="none" w:sz="0" w:space="0" w:color="auto"/>
        <w:bottom w:val="none" w:sz="0" w:space="0" w:color="auto"/>
        <w:right w:val="none" w:sz="0" w:space="0" w:color="auto"/>
      </w:divBdr>
    </w:div>
    <w:div w:id="511266459">
      <w:bodyDiv w:val="1"/>
      <w:marLeft w:val="0"/>
      <w:marRight w:val="0"/>
      <w:marTop w:val="0"/>
      <w:marBottom w:val="0"/>
      <w:divBdr>
        <w:top w:val="none" w:sz="0" w:space="0" w:color="auto"/>
        <w:left w:val="none" w:sz="0" w:space="0" w:color="auto"/>
        <w:bottom w:val="none" w:sz="0" w:space="0" w:color="auto"/>
        <w:right w:val="none" w:sz="0" w:space="0" w:color="auto"/>
      </w:divBdr>
    </w:div>
    <w:div w:id="513764463">
      <w:bodyDiv w:val="1"/>
      <w:marLeft w:val="0"/>
      <w:marRight w:val="0"/>
      <w:marTop w:val="0"/>
      <w:marBottom w:val="0"/>
      <w:divBdr>
        <w:top w:val="none" w:sz="0" w:space="0" w:color="auto"/>
        <w:left w:val="none" w:sz="0" w:space="0" w:color="auto"/>
        <w:bottom w:val="none" w:sz="0" w:space="0" w:color="auto"/>
        <w:right w:val="none" w:sz="0" w:space="0" w:color="auto"/>
      </w:divBdr>
    </w:div>
    <w:div w:id="524485350">
      <w:bodyDiv w:val="1"/>
      <w:marLeft w:val="0"/>
      <w:marRight w:val="0"/>
      <w:marTop w:val="0"/>
      <w:marBottom w:val="0"/>
      <w:divBdr>
        <w:top w:val="none" w:sz="0" w:space="0" w:color="auto"/>
        <w:left w:val="none" w:sz="0" w:space="0" w:color="auto"/>
        <w:bottom w:val="none" w:sz="0" w:space="0" w:color="auto"/>
        <w:right w:val="none" w:sz="0" w:space="0" w:color="auto"/>
      </w:divBdr>
    </w:div>
    <w:div w:id="525296173">
      <w:bodyDiv w:val="1"/>
      <w:marLeft w:val="0"/>
      <w:marRight w:val="0"/>
      <w:marTop w:val="0"/>
      <w:marBottom w:val="0"/>
      <w:divBdr>
        <w:top w:val="none" w:sz="0" w:space="0" w:color="auto"/>
        <w:left w:val="none" w:sz="0" w:space="0" w:color="auto"/>
        <w:bottom w:val="none" w:sz="0" w:space="0" w:color="auto"/>
        <w:right w:val="none" w:sz="0" w:space="0" w:color="auto"/>
      </w:divBdr>
    </w:div>
    <w:div w:id="527834718">
      <w:bodyDiv w:val="1"/>
      <w:marLeft w:val="0"/>
      <w:marRight w:val="0"/>
      <w:marTop w:val="0"/>
      <w:marBottom w:val="0"/>
      <w:divBdr>
        <w:top w:val="none" w:sz="0" w:space="0" w:color="auto"/>
        <w:left w:val="none" w:sz="0" w:space="0" w:color="auto"/>
        <w:bottom w:val="none" w:sz="0" w:space="0" w:color="auto"/>
        <w:right w:val="none" w:sz="0" w:space="0" w:color="auto"/>
      </w:divBdr>
    </w:div>
    <w:div w:id="529531542">
      <w:bodyDiv w:val="1"/>
      <w:marLeft w:val="0"/>
      <w:marRight w:val="0"/>
      <w:marTop w:val="0"/>
      <w:marBottom w:val="0"/>
      <w:divBdr>
        <w:top w:val="none" w:sz="0" w:space="0" w:color="auto"/>
        <w:left w:val="none" w:sz="0" w:space="0" w:color="auto"/>
        <w:bottom w:val="none" w:sz="0" w:space="0" w:color="auto"/>
        <w:right w:val="none" w:sz="0" w:space="0" w:color="auto"/>
      </w:divBdr>
    </w:div>
    <w:div w:id="542595838">
      <w:bodyDiv w:val="1"/>
      <w:marLeft w:val="0"/>
      <w:marRight w:val="0"/>
      <w:marTop w:val="0"/>
      <w:marBottom w:val="0"/>
      <w:divBdr>
        <w:top w:val="none" w:sz="0" w:space="0" w:color="auto"/>
        <w:left w:val="none" w:sz="0" w:space="0" w:color="auto"/>
        <w:bottom w:val="none" w:sz="0" w:space="0" w:color="auto"/>
        <w:right w:val="none" w:sz="0" w:space="0" w:color="auto"/>
      </w:divBdr>
    </w:div>
    <w:div w:id="543520565">
      <w:bodyDiv w:val="1"/>
      <w:marLeft w:val="0"/>
      <w:marRight w:val="0"/>
      <w:marTop w:val="0"/>
      <w:marBottom w:val="0"/>
      <w:divBdr>
        <w:top w:val="none" w:sz="0" w:space="0" w:color="auto"/>
        <w:left w:val="none" w:sz="0" w:space="0" w:color="auto"/>
        <w:bottom w:val="none" w:sz="0" w:space="0" w:color="auto"/>
        <w:right w:val="none" w:sz="0" w:space="0" w:color="auto"/>
      </w:divBdr>
    </w:div>
    <w:div w:id="549417592">
      <w:bodyDiv w:val="1"/>
      <w:marLeft w:val="0"/>
      <w:marRight w:val="0"/>
      <w:marTop w:val="0"/>
      <w:marBottom w:val="0"/>
      <w:divBdr>
        <w:top w:val="none" w:sz="0" w:space="0" w:color="auto"/>
        <w:left w:val="none" w:sz="0" w:space="0" w:color="auto"/>
        <w:bottom w:val="none" w:sz="0" w:space="0" w:color="auto"/>
        <w:right w:val="none" w:sz="0" w:space="0" w:color="auto"/>
      </w:divBdr>
    </w:div>
    <w:div w:id="551623693">
      <w:bodyDiv w:val="1"/>
      <w:marLeft w:val="0"/>
      <w:marRight w:val="0"/>
      <w:marTop w:val="0"/>
      <w:marBottom w:val="0"/>
      <w:divBdr>
        <w:top w:val="none" w:sz="0" w:space="0" w:color="auto"/>
        <w:left w:val="none" w:sz="0" w:space="0" w:color="auto"/>
        <w:bottom w:val="none" w:sz="0" w:space="0" w:color="auto"/>
        <w:right w:val="none" w:sz="0" w:space="0" w:color="auto"/>
      </w:divBdr>
    </w:div>
    <w:div w:id="557014457">
      <w:bodyDiv w:val="1"/>
      <w:marLeft w:val="0"/>
      <w:marRight w:val="0"/>
      <w:marTop w:val="0"/>
      <w:marBottom w:val="0"/>
      <w:divBdr>
        <w:top w:val="none" w:sz="0" w:space="0" w:color="auto"/>
        <w:left w:val="none" w:sz="0" w:space="0" w:color="auto"/>
        <w:bottom w:val="none" w:sz="0" w:space="0" w:color="auto"/>
        <w:right w:val="none" w:sz="0" w:space="0" w:color="auto"/>
      </w:divBdr>
    </w:div>
    <w:div w:id="559294397">
      <w:bodyDiv w:val="1"/>
      <w:marLeft w:val="0"/>
      <w:marRight w:val="0"/>
      <w:marTop w:val="0"/>
      <w:marBottom w:val="0"/>
      <w:divBdr>
        <w:top w:val="none" w:sz="0" w:space="0" w:color="auto"/>
        <w:left w:val="none" w:sz="0" w:space="0" w:color="auto"/>
        <w:bottom w:val="none" w:sz="0" w:space="0" w:color="auto"/>
        <w:right w:val="none" w:sz="0" w:space="0" w:color="auto"/>
      </w:divBdr>
    </w:div>
    <w:div w:id="560218355">
      <w:bodyDiv w:val="1"/>
      <w:marLeft w:val="0"/>
      <w:marRight w:val="0"/>
      <w:marTop w:val="0"/>
      <w:marBottom w:val="0"/>
      <w:divBdr>
        <w:top w:val="none" w:sz="0" w:space="0" w:color="auto"/>
        <w:left w:val="none" w:sz="0" w:space="0" w:color="auto"/>
        <w:bottom w:val="none" w:sz="0" w:space="0" w:color="auto"/>
        <w:right w:val="none" w:sz="0" w:space="0" w:color="auto"/>
      </w:divBdr>
    </w:div>
    <w:div w:id="560991466">
      <w:bodyDiv w:val="1"/>
      <w:marLeft w:val="0"/>
      <w:marRight w:val="0"/>
      <w:marTop w:val="0"/>
      <w:marBottom w:val="0"/>
      <w:divBdr>
        <w:top w:val="none" w:sz="0" w:space="0" w:color="auto"/>
        <w:left w:val="none" w:sz="0" w:space="0" w:color="auto"/>
        <w:bottom w:val="none" w:sz="0" w:space="0" w:color="auto"/>
        <w:right w:val="none" w:sz="0" w:space="0" w:color="auto"/>
      </w:divBdr>
    </w:div>
    <w:div w:id="561065816">
      <w:bodyDiv w:val="1"/>
      <w:marLeft w:val="0"/>
      <w:marRight w:val="0"/>
      <w:marTop w:val="0"/>
      <w:marBottom w:val="0"/>
      <w:divBdr>
        <w:top w:val="none" w:sz="0" w:space="0" w:color="auto"/>
        <w:left w:val="none" w:sz="0" w:space="0" w:color="auto"/>
        <w:bottom w:val="none" w:sz="0" w:space="0" w:color="auto"/>
        <w:right w:val="none" w:sz="0" w:space="0" w:color="auto"/>
      </w:divBdr>
    </w:div>
    <w:div w:id="566837995">
      <w:bodyDiv w:val="1"/>
      <w:marLeft w:val="0"/>
      <w:marRight w:val="0"/>
      <w:marTop w:val="0"/>
      <w:marBottom w:val="0"/>
      <w:divBdr>
        <w:top w:val="none" w:sz="0" w:space="0" w:color="auto"/>
        <w:left w:val="none" w:sz="0" w:space="0" w:color="auto"/>
        <w:bottom w:val="none" w:sz="0" w:space="0" w:color="auto"/>
        <w:right w:val="none" w:sz="0" w:space="0" w:color="auto"/>
      </w:divBdr>
    </w:div>
    <w:div w:id="566959407">
      <w:bodyDiv w:val="1"/>
      <w:marLeft w:val="0"/>
      <w:marRight w:val="0"/>
      <w:marTop w:val="0"/>
      <w:marBottom w:val="0"/>
      <w:divBdr>
        <w:top w:val="none" w:sz="0" w:space="0" w:color="auto"/>
        <w:left w:val="none" w:sz="0" w:space="0" w:color="auto"/>
        <w:bottom w:val="none" w:sz="0" w:space="0" w:color="auto"/>
        <w:right w:val="none" w:sz="0" w:space="0" w:color="auto"/>
      </w:divBdr>
    </w:div>
    <w:div w:id="567569376">
      <w:bodyDiv w:val="1"/>
      <w:marLeft w:val="0"/>
      <w:marRight w:val="0"/>
      <w:marTop w:val="0"/>
      <w:marBottom w:val="0"/>
      <w:divBdr>
        <w:top w:val="none" w:sz="0" w:space="0" w:color="auto"/>
        <w:left w:val="none" w:sz="0" w:space="0" w:color="auto"/>
        <w:bottom w:val="none" w:sz="0" w:space="0" w:color="auto"/>
        <w:right w:val="none" w:sz="0" w:space="0" w:color="auto"/>
      </w:divBdr>
    </w:div>
    <w:div w:id="571164782">
      <w:bodyDiv w:val="1"/>
      <w:marLeft w:val="0"/>
      <w:marRight w:val="0"/>
      <w:marTop w:val="0"/>
      <w:marBottom w:val="0"/>
      <w:divBdr>
        <w:top w:val="none" w:sz="0" w:space="0" w:color="auto"/>
        <w:left w:val="none" w:sz="0" w:space="0" w:color="auto"/>
        <w:bottom w:val="none" w:sz="0" w:space="0" w:color="auto"/>
        <w:right w:val="none" w:sz="0" w:space="0" w:color="auto"/>
      </w:divBdr>
    </w:div>
    <w:div w:id="573971122">
      <w:bodyDiv w:val="1"/>
      <w:marLeft w:val="0"/>
      <w:marRight w:val="0"/>
      <w:marTop w:val="0"/>
      <w:marBottom w:val="0"/>
      <w:divBdr>
        <w:top w:val="none" w:sz="0" w:space="0" w:color="auto"/>
        <w:left w:val="none" w:sz="0" w:space="0" w:color="auto"/>
        <w:bottom w:val="none" w:sz="0" w:space="0" w:color="auto"/>
        <w:right w:val="none" w:sz="0" w:space="0" w:color="auto"/>
      </w:divBdr>
    </w:div>
    <w:div w:id="577401558">
      <w:bodyDiv w:val="1"/>
      <w:marLeft w:val="0"/>
      <w:marRight w:val="0"/>
      <w:marTop w:val="0"/>
      <w:marBottom w:val="0"/>
      <w:divBdr>
        <w:top w:val="none" w:sz="0" w:space="0" w:color="auto"/>
        <w:left w:val="none" w:sz="0" w:space="0" w:color="auto"/>
        <w:bottom w:val="none" w:sz="0" w:space="0" w:color="auto"/>
        <w:right w:val="none" w:sz="0" w:space="0" w:color="auto"/>
      </w:divBdr>
    </w:div>
    <w:div w:id="578102158">
      <w:bodyDiv w:val="1"/>
      <w:marLeft w:val="0"/>
      <w:marRight w:val="0"/>
      <w:marTop w:val="0"/>
      <w:marBottom w:val="0"/>
      <w:divBdr>
        <w:top w:val="none" w:sz="0" w:space="0" w:color="auto"/>
        <w:left w:val="none" w:sz="0" w:space="0" w:color="auto"/>
        <w:bottom w:val="none" w:sz="0" w:space="0" w:color="auto"/>
        <w:right w:val="none" w:sz="0" w:space="0" w:color="auto"/>
      </w:divBdr>
    </w:div>
    <w:div w:id="584803301">
      <w:bodyDiv w:val="1"/>
      <w:marLeft w:val="0"/>
      <w:marRight w:val="0"/>
      <w:marTop w:val="0"/>
      <w:marBottom w:val="0"/>
      <w:divBdr>
        <w:top w:val="none" w:sz="0" w:space="0" w:color="auto"/>
        <w:left w:val="none" w:sz="0" w:space="0" w:color="auto"/>
        <w:bottom w:val="none" w:sz="0" w:space="0" w:color="auto"/>
        <w:right w:val="none" w:sz="0" w:space="0" w:color="auto"/>
      </w:divBdr>
    </w:div>
    <w:div w:id="587889005">
      <w:bodyDiv w:val="1"/>
      <w:marLeft w:val="0"/>
      <w:marRight w:val="0"/>
      <w:marTop w:val="0"/>
      <w:marBottom w:val="0"/>
      <w:divBdr>
        <w:top w:val="none" w:sz="0" w:space="0" w:color="auto"/>
        <w:left w:val="none" w:sz="0" w:space="0" w:color="auto"/>
        <w:bottom w:val="none" w:sz="0" w:space="0" w:color="auto"/>
        <w:right w:val="none" w:sz="0" w:space="0" w:color="auto"/>
      </w:divBdr>
    </w:div>
    <w:div w:id="589699845">
      <w:bodyDiv w:val="1"/>
      <w:marLeft w:val="0"/>
      <w:marRight w:val="0"/>
      <w:marTop w:val="0"/>
      <w:marBottom w:val="0"/>
      <w:divBdr>
        <w:top w:val="none" w:sz="0" w:space="0" w:color="auto"/>
        <w:left w:val="none" w:sz="0" w:space="0" w:color="auto"/>
        <w:bottom w:val="none" w:sz="0" w:space="0" w:color="auto"/>
        <w:right w:val="none" w:sz="0" w:space="0" w:color="auto"/>
      </w:divBdr>
    </w:div>
    <w:div w:id="590622352">
      <w:bodyDiv w:val="1"/>
      <w:marLeft w:val="0"/>
      <w:marRight w:val="0"/>
      <w:marTop w:val="0"/>
      <w:marBottom w:val="0"/>
      <w:divBdr>
        <w:top w:val="none" w:sz="0" w:space="0" w:color="auto"/>
        <w:left w:val="none" w:sz="0" w:space="0" w:color="auto"/>
        <w:bottom w:val="none" w:sz="0" w:space="0" w:color="auto"/>
        <w:right w:val="none" w:sz="0" w:space="0" w:color="auto"/>
      </w:divBdr>
    </w:div>
    <w:div w:id="595551626">
      <w:bodyDiv w:val="1"/>
      <w:marLeft w:val="0"/>
      <w:marRight w:val="0"/>
      <w:marTop w:val="0"/>
      <w:marBottom w:val="0"/>
      <w:divBdr>
        <w:top w:val="none" w:sz="0" w:space="0" w:color="auto"/>
        <w:left w:val="none" w:sz="0" w:space="0" w:color="auto"/>
        <w:bottom w:val="none" w:sz="0" w:space="0" w:color="auto"/>
        <w:right w:val="none" w:sz="0" w:space="0" w:color="auto"/>
      </w:divBdr>
    </w:div>
    <w:div w:id="602153907">
      <w:bodyDiv w:val="1"/>
      <w:marLeft w:val="0"/>
      <w:marRight w:val="0"/>
      <w:marTop w:val="0"/>
      <w:marBottom w:val="0"/>
      <w:divBdr>
        <w:top w:val="none" w:sz="0" w:space="0" w:color="auto"/>
        <w:left w:val="none" w:sz="0" w:space="0" w:color="auto"/>
        <w:bottom w:val="none" w:sz="0" w:space="0" w:color="auto"/>
        <w:right w:val="none" w:sz="0" w:space="0" w:color="auto"/>
      </w:divBdr>
    </w:div>
    <w:div w:id="603072321">
      <w:bodyDiv w:val="1"/>
      <w:marLeft w:val="0"/>
      <w:marRight w:val="0"/>
      <w:marTop w:val="0"/>
      <w:marBottom w:val="0"/>
      <w:divBdr>
        <w:top w:val="none" w:sz="0" w:space="0" w:color="auto"/>
        <w:left w:val="none" w:sz="0" w:space="0" w:color="auto"/>
        <w:bottom w:val="none" w:sz="0" w:space="0" w:color="auto"/>
        <w:right w:val="none" w:sz="0" w:space="0" w:color="auto"/>
      </w:divBdr>
    </w:div>
    <w:div w:id="609899084">
      <w:bodyDiv w:val="1"/>
      <w:marLeft w:val="0"/>
      <w:marRight w:val="0"/>
      <w:marTop w:val="0"/>
      <w:marBottom w:val="0"/>
      <w:divBdr>
        <w:top w:val="none" w:sz="0" w:space="0" w:color="auto"/>
        <w:left w:val="none" w:sz="0" w:space="0" w:color="auto"/>
        <w:bottom w:val="none" w:sz="0" w:space="0" w:color="auto"/>
        <w:right w:val="none" w:sz="0" w:space="0" w:color="auto"/>
      </w:divBdr>
    </w:div>
    <w:div w:id="611203600">
      <w:bodyDiv w:val="1"/>
      <w:marLeft w:val="0"/>
      <w:marRight w:val="0"/>
      <w:marTop w:val="0"/>
      <w:marBottom w:val="0"/>
      <w:divBdr>
        <w:top w:val="none" w:sz="0" w:space="0" w:color="auto"/>
        <w:left w:val="none" w:sz="0" w:space="0" w:color="auto"/>
        <w:bottom w:val="none" w:sz="0" w:space="0" w:color="auto"/>
        <w:right w:val="none" w:sz="0" w:space="0" w:color="auto"/>
      </w:divBdr>
    </w:div>
    <w:div w:id="624122684">
      <w:bodyDiv w:val="1"/>
      <w:marLeft w:val="0"/>
      <w:marRight w:val="0"/>
      <w:marTop w:val="0"/>
      <w:marBottom w:val="0"/>
      <w:divBdr>
        <w:top w:val="none" w:sz="0" w:space="0" w:color="auto"/>
        <w:left w:val="none" w:sz="0" w:space="0" w:color="auto"/>
        <w:bottom w:val="none" w:sz="0" w:space="0" w:color="auto"/>
        <w:right w:val="none" w:sz="0" w:space="0" w:color="auto"/>
      </w:divBdr>
    </w:div>
    <w:div w:id="626009948">
      <w:bodyDiv w:val="1"/>
      <w:marLeft w:val="0"/>
      <w:marRight w:val="0"/>
      <w:marTop w:val="0"/>
      <w:marBottom w:val="0"/>
      <w:divBdr>
        <w:top w:val="none" w:sz="0" w:space="0" w:color="auto"/>
        <w:left w:val="none" w:sz="0" w:space="0" w:color="auto"/>
        <w:bottom w:val="none" w:sz="0" w:space="0" w:color="auto"/>
        <w:right w:val="none" w:sz="0" w:space="0" w:color="auto"/>
      </w:divBdr>
    </w:div>
    <w:div w:id="627322203">
      <w:bodyDiv w:val="1"/>
      <w:marLeft w:val="0"/>
      <w:marRight w:val="0"/>
      <w:marTop w:val="0"/>
      <w:marBottom w:val="0"/>
      <w:divBdr>
        <w:top w:val="none" w:sz="0" w:space="0" w:color="auto"/>
        <w:left w:val="none" w:sz="0" w:space="0" w:color="auto"/>
        <w:bottom w:val="none" w:sz="0" w:space="0" w:color="auto"/>
        <w:right w:val="none" w:sz="0" w:space="0" w:color="auto"/>
      </w:divBdr>
    </w:div>
    <w:div w:id="630088334">
      <w:bodyDiv w:val="1"/>
      <w:marLeft w:val="0"/>
      <w:marRight w:val="0"/>
      <w:marTop w:val="0"/>
      <w:marBottom w:val="0"/>
      <w:divBdr>
        <w:top w:val="none" w:sz="0" w:space="0" w:color="auto"/>
        <w:left w:val="none" w:sz="0" w:space="0" w:color="auto"/>
        <w:bottom w:val="none" w:sz="0" w:space="0" w:color="auto"/>
        <w:right w:val="none" w:sz="0" w:space="0" w:color="auto"/>
      </w:divBdr>
    </w:div>
    <w:div w:id="630356152">
      <w:bodyDiv w:val="1"/>
      <w:marLeft w:val="0"/>
      <w:marRight w:val="0"/>
      <w:marTop w:val="0"/>
      <w:marBottom w:val="0"/>
      <w:divBdr>
        <w:top w:val="none" w:sz="0" w:space="0" w:color="auto"/>
        <w:left w:val="none" w:sz="0" w:space="0" w:color="auto"/>
        <w:bottom w:val="none" w:sz="0" w:space="0" w:color="auto"/>
        <w:right w:val="none" w:sz="0" w:space="0" w:color="auto"/>
      </w:divBdr>
    </w:div>
    <w:div w:id="636840902">
      <w:bodyDiv w:val="1"/>
      <w:marLeft w:val="0"/>
      <w:marRight w:val="0"/>
      <w:marTop w:val="0"/>
      <w:marBottom w:val="0"/>
      <w:divBdr>
        <w:top w:val="none" w:sz="0" w:space="0" w:color="auto"/>
        <w:left w:val="none" w:sz="0" w:space="0" w:color="auto"/>
        <w:bottom w:val="none" w:sz="0" w:space="0" w:color="auto"/>
        <w:right w:val="none" w:sz="0" w:space="0" w:color="auto"/>
      </w:divBdr>
    </w:div>
    <w:div w:id="638000704">
      <w:bodyDiv w:val="1"/>
      <w:marLeft w:val="0"/>
      <w:marRight w:val="0"/>
      <w:marTop w:val="0"/>
      <w:marBottom w:val="0"/>
      <w:divBdr>
        <w:top w:val="none" w:sz="0" w:space="0" w:color="auto"/>
        <w:left w:val="none" w:sz="0" w:space="0" w:color="auto"/>
        <w:bottom w:val="none" w:sz="0" w:space="0" w:color="auto"/>
        <w:right w:val="none" w:sz="0" w:space="0" w:color="auto"/>
      </w:divBdr>
    </w:div>
    <w:div w:id="638346707">
      <w:bodyDiv w:val="1"/>
      <w:marLeft w:val="0"/>
      <w:marRight w:val="0"/>
      <w:marTop w:val="0"/>
      <w:marBottom w:val="0"/>
      <w:divBdr>
        <w:top w:val="none" w:sz="0" w:space="0" w:color="auto"/>
        <w:left w:val="none" w:sz="0" w:space="0" w:color="auto"/>
        <w:bottom w:val="none" w:sz="0" w:space="0" w:color="auto"/>
        <w:right w:val="none" w:sz="0" w:space="0" w:color="auto"/>
      </w:divBdr>
    </w:div>
    <w:div w:id="638418776">
      <w:bodyDiv w:val="1"/>
      <w:marLeft w:val="0"/>
      <w:marRight w:val="0"/>
      <w:marTop w:val="0"/>
      <w:marBottom w:val="0"/>
      <w:divBdr>
        <w:top w:val="none" w:sz="0" w:space="0" w:color="auto"/>
        <w:left w:val="none" w:sz="0" w:space="0" w:color="auto"/>
        <w:bottom w:val="none" w:sz="0" w:space="0" w:color="auto"/>
        <w:right w:val="none" w:sz="0" w:space="0" w:color="auto"/>
      </w:divBdr>
    </w:div>
    <w:div w:id="640891030">
      <w:bodyDiv w:val="1"/>
      <w:marLeft w:val="0"/>
      <w:marRight w:val="0"/>
      <w:marTop w:val="0"/>
      <w:marBottom w:val="0"/>
      <w:divBdr>
        <w:top w:val="none" w:sz="0" w:space="0" w:color="auto"/>
        <w:left w:val="none" w:sz="0" w:space="0" w:color="auto"/>
        <w:bottom w:val="none" w:sz="0" w:space="0" w:color="auto"/>
        <w:right w:val="none" w:sz="0" w:space="0" w:color="auto"/>
      </w:divBdr>
    </w:div>
    <w:div w:id="646592894">
      <w:bodyDiv w:val="1"/>
      <w:marLeft w:val="0"/>
      <w:marRight w:val="0"/>
      <w:marTop w:val="0"/>
      <w:marBottom w:val="0"/>
      <w:divBdr>
        <w:top w:val="none" w:sz="0" w:space="0" w:color="auto"/>
        <w:left w:val="none" w:sz="0" w:space="0" w:color="auto"/>
        <w:bottom w:val="none" w:sz="0" w:space="0" w:color="auto"/>
        <w:right w:val="none" w:sz="0" w:space="0" w:color="auto"/>
      </w:divBdr>
    </w:div>
    <w:div w:id="648902387">
      <w:bodyDiv w:val="1"/>
      <w:marLeft w:val="0"/>
      <w:marRight w:val="0"/>
      <w:marTop w:val="0"/>
      <w:marBottom w:val="0"/>
      <w:divBdr>
        <w:top w:val="none" w:sz="0" w:space="0" w:color="auto"/>
        <w:left w:val="none" w:sz="0" w:space="0" w:color="auto"/>
        <w:bottom w:val="none" w:sz="0" w:space="0" w:color="auto"/>
        <w:right w:val="none" w:sz="0" w:space="0" w:color="auto"/>
      </w:divBdr>
    </w:div>
    <w:div w:id="652491907">
      <w:bodyDiv w:val="1"/>
      <w:marLeft w:val="0"/>
      <w:marRight w:val="0"/>
      <w:marTop w:val="0"/>
      <w:marBottom w:val="0"/>
      <w:divBdr>
        <w:top w:val="none" w:sz="0" w:space="0" w:color="auto"/>
        <w:left w:val="none" w:sz="0" w:space="0" w:color="auto"/>
        <w:bottom w:val="none" w:sz="0" w:space="0" w:color="auto"/>
        <w:right w:val="none" w:sz="0" w:space="0" w:color="auto"/>
      </w:divBdr>
    </w:div>
    <w:div w:id="652608556">
      <w:bodyDiv w:val="1"/>
      <w:marLeft w:val="0"/>
      <w:marRight w:val="0"/>
      <w:marTop w:val="0"/>
      <w:marBottom w:val="0"/>
      <w:divBdr>
        <w:top w:val="none" w:sz="0" w:space="0" w:color="auto"/>
        <w:left w:val="none" w:sz="0" w:space="0" w:color="auto"/>
        <w:bottom w:val="none" w:sz="0" w:space="0" w:color="auto"/>
        <w:right w:val="none" w:sz="0" w:space="0" w:color="auto"/>
      </w:divBdr>
    </w:div>
    <w:div w:id="655718829">
      <w:bodyDiv w:val="1"/>
      <w:marLeft w:val="0"/>
      <w:marRight w:val="0"/>
      <w:marTop w:val="0"/>
      <w:marBottom w:val="0"/>
      <w:divBdr>
        <w:top w:val="none" w:sz="0" w:space="0" w:color="auto"/>
        <w:left w:val="none" w:sz="0" w:space="0" w:color="auto"/>
        <w:bottom w:val="none" w:sz="0" w:space="0" w:color="auto"/>
        <w:right w:val="none" w:sz="0" w:space="0" w:color="auto"/>
      </w:divBdr>
    </w:div>
    <w:div w:id="656152172">
      <w:bodyDiv w:val="1"/>
      <w:marLeft w:val="0"/>
      <w:marRight w:val="0"/>
      <w:marTop w:val="0"/>
      <w:marBottom w:val="0"/>
      <w:divBdr>
        <w:top w:val="none" w:sz="0" w:space="0" w:color="auto"/>
        <w:left w:val="none" w:sz="0" w:space="0" w:color="auto"/>
        <w:bottom w:val="none" w:sz="0" w:space="0" w:color="auto"/>
        <w:right w:val="none" w:sz="0" w:space="0" w:color="auto"/>
      </w:divBdr>
    </w:div>
    <w:div w:id="657538396">
      <w:bodyDiv w:val="1"/>
      <w:marLeft w:val="0"/>
      <w:marRight w:val="0"/>
      <w:marTop w:val="0"/>
      <w:marBottom w:val="0"/>
      <w:divBdr>
        <w:top w:val="none" w:sz="0" w:space="0" w:color="auto"/>
        <w:left w:val="none" w:sz="0" w:space="0" w:color="auto"/>
        <w:bottom w:val="none" w:sz="0" w:space="0" w:color="auto"/>
        <w:right w:val="none" w:sz="0" w:space="0" w:color="auto"/>
      </w:divBdr>
    </w:div>
    <w:div w:id="657684224">
      <w:bodyDiv w:val="1"/>
      <w:marLeft w:val="0"/>
      <w:marRight w:val="0"/>
      <w:marTop w:val="0"/>
      <w:marBottom w:val="0"/>
      <w:divBdr>
        <w:top w:val="none" w:sz="0" w:space="0" w:color="auto"/>
        <w:left w:val="none" w:sz="0" w:space="0" w:color="auto"/>
        <w:bottom w:val="none" w:sz="0" w:space="0" w:color="auto"/>
        <w:right w:val="none" w:sz="0" w:space="0" w:color="auto"/>
      </w:divBdr>
    </w:div>
    <w:div w:id="658340280">
      <w:bodyDiv w:val="1"/>
      <w:marLeft w:val="0"/>
      <w:marRight w:val="0"/>
      <w:marTop w:val="0"/>
      <w:marBottom w:val="0"/>
      <w:divBdr>
        <w:top w:val="none" w:sz="0" w:space="0" w:color="auto"/>
        <w:left w:val="none" w:sz="0" w:space="0" w:color="auto"/>
        <w:bottom w:val="none" w:sz="0" w:space="0" w:color="auto"/>
        <w:right w:val="none" w:sz="0" w:space="0" w:color="auto"/>
      </w:divBdr>
    </w:div>
    <w:div w:id="661855196">
      <w:bodyDiv w:val="1"/>
      <w:marLeft w:val="0"/>
      <w:marRight w:val="0"/>
      <w:marTop w:val="0"/>
      <w:marBottom w:val="0"/>
      <w:divBdr>
        <w:top w:val="none" w:sz="0" w:space="0" w:color="auto"/>
        <w:left w:val="none" w:sz="0" w:space="0" w:color="auto"/>
        <w:bottom w:val="none" w:sz="0" w:space="0" w:color="auto"/>
        <w:right w:val="none" w:sz="0" w:space="0" w:color="auto"/>
      </w:divBdr>
    </w:div>
    <w:div w:id="669649004">
      <w:bodyDiv w:val="1"/>
      <w:marLeft w:val="0"/>
      <w:marRight w:val="0"/>
      <w:marTop w:val="0"/>
      <w:marBottom w:val="0"/>
      <w:divBdr>
        <w:top w:val="none" w:sz="0" w:space="0" w:color="auto"/>
        <w:left w:val="none" w:sz="0" w:space="0" w:color="auto"/>
        <w:bottom w:val="none" w:sz="0" w:space="0" w:color="auto"/>
        <w:right w:val="none" w:sz="0" w:space="0" w:color="auto"/>
      </w:divBdr>
    </w:div>
    <w:div w:id="670378615">
      <w:bodyDiv w:val="1"/>
      <w:marLeft w:val="0"/>
      <w:marRight w:val="0"/>
      <w:marTop w:val="0"/>
      <w:marBottom w:val="0"/>
      <w:divBdr>
        <w:top w:val="none" w:sz="0" w:space="0" w:color="auto"/>
        <w:left w:val="none" w:sz="0" w:space="0" w:color="auto"/>
        <w:bottom w:val="none" w:sz="0" w:space="0" w:color="auto"/>
        <w:right w:val="none" w:sz="0" w:space="0" w:color="auto"/>
      </w:divBdr>
    </w:div>
    <w:div w:id="678778401">
      <w:bodyDiv w:val="1"/>
      <w:marLeft w:val="0"/>
      <w:marRight w:val="0"/>
      <w:marTop w:val="0"/>
      <w:marBottom w:val="0"/>
      <w:divBdr>
        <w:top w:val="none" w:sz="0" w:space="0" w:color="auto"/>
        <w:left w:val="none" w:sz="0" w:space="0" w:color="auto"/>
        <w:bottom w:val="none" w:sz="0" w:space="0" w:color="auto"/>
        <w:right w:val="none" w:sz="0" w:space="0" w:color="auto"/>
      </w:divBdr>
    </w:div>
    <w:div w:id="680618989">
      <w:bodyDiv w:val="1"/>
      <w:marLeft w:val="0"/>
      <w:marRight w:val="0"/>
      <w:marTop w:val="0"/>
      <w:marBottom w:val="0"/>
      <w:divBdr>
        <w:top w:val="none" w:sz="0" w:space="0" w:color="auto"/>
        <w:left w:val="none" w:sz="0" w:space="0" w:color="auto"/>
        <w:bottom w:val="none" w:sz="0" w:space="0" w:color="auto"/>
        <w:right w:val="none" w:sz="0" w:space="0" w:color="auto"/>
      </w:divBdr>
    </w:div>
    <w:div w:id="681125636">
      <w:bodyDiv w:val="1"/>
      <w:marLeft w:val="0"/>
      <w:marRight w:val="0"/>
      <w:marTop w:val="0"/>
      <w:marBottom w:val="0"/>
      <w:divBdr>
        <w:top w:val="none" w:sz="0" w:space="0" w:color="auto"/>
        <w:left w:val="none" w:sz="0" w:space="0" w:color="auto"/>
        <w:bottom w:val="none" w:sz="0" w:space="0" w:color="auto"/>
        <w:right w:val="none" w:sz="0" w:space="0" w:color="auto"/>
      </w:divBdr>
    </w:div>
    <w:div w:id="681590413">
      <w:bodyDiv w:val="1"/>
      <w:marLeft w:val="0"/>
      <w:marRight w:val="0"/>
      <w:marTop w:val="0"/>
      <w:marBottom w:val="0"/>
      <w:divBdr>
        <w:top w:val="none" w:sz="0" w:space="0" w:color="auto"/>
        <w:left w:val="none" w:sz="0" w:space="0" w:color="auto"/>
        <w:bottom w:val="none" w:sz="0" w:space="0" w:color="auto"/>
        <w:right w:val="none" w:sz="0" w:space="0" w:color="auto"/>
      </w:divBdr>
    </w:div>
    <w:div w:id="685836825">
      <w:bodyDiv w:val="1"/>
      <w:marLeft w:val="0"/>
      <w:marRight w:val="0"/>
      <w:marTop w:val="0"/>
      <w:marBottom w:val="0"/>
      <w:divBdr>
        <w:top w:val="none" w:sz="0" w:space="0" w:color="auto"/>
        <w:left w:val="none" w:sz="0" w:space="0" w:color="auto"/>
        <w:bottom w:val="none" w:sz="0" w:space="0" w:color="auto"/>
        <w:right w:val="none" w:sz="0" w:space="0" w:color="auto"/>
      </w:divBdr>
    </w:div>
    <w:div w:id="688601747">
      <w:bodyDiv w:val="1"/>
      <w:marLeft w:val="0"/>
      <w:marRight w:val="0"/>
      <w:marTop w:val="0"/>
      <w:marBottom w:val="0"/>
      <w:divBdr>
        <w:top w:val="none" w:sz="0" w:space="0" w:color="auto"/>
        <w:left w:val="none" w:sz="0" w:space="0" w:color="auto"/>
        <w:bottom w:val="none" w:sz="0" w:space="0" w:color="auto"/>
        <w:right w:val="none" w:sz="0" w:space="0" w:color="auto"/>
      </w:divBdr>
    </w:div>
    <w:div w:id="690956060">
      <w:bodyDiv w:val="1"/>
      <w:marLeft w:val="0"/>
      <w:marRight w:val="0"/>
      <w:marTop w:val="0"/>
      <w:marBottom w:val="0"/>
      <w:divBdr>
        <w:top w:val="none" w:sz="0" w:space="0" w:color="auto"/>
        <w:left w:val="none" w:sz="0" w:space="0" w:color="auto"/>
        <w:bottom w:val="none" w:sz="0" w:space="0" w:color="auto"/>
        <w:right w:val="none" w:sz="0" w:space="0" w:color="auto"/>
      </w:divBdr>
    </w:div>
    <w:div w:id="699624567">
      <w:bodyDiv w:val="1"/>
      <w:marLeft w:val="0"/>
      <w:marRight w:val="0"/>
      <w:marTop w:val="0"/>
      <w:marBottom w:val="0"/>
      <w:divBdr>
        <w:top w:val="none" w:sz="0" w:space="0" w:color="auto"/>
        <w:left w:val="none" w:sz="0" w:space="0" w:color="auto"/>
        <w:bottom w:val="none" w:sz="0" w:space="0" w:color="auto"/>
        <w:right w:val="none" w:sz="0" w:space="0" w:color="auto"/>
      </w:divBdr>
    </w:div>
    <w:div w:id="712462478">
      <w:bodyDiv w:val="1"/>
      <w:marLeft w:val="0"/>
      <w:marRight w:val="0"/>
      <w:marTop w:val="0"/>
      <w:marBottom w:val="0"/>
      <w:divBdr>
        <w:top w:val="none" w:sz="0" w:space="0" w:color="auto"/>
        <w:left w:val="none" w:sz="0" w:space="0" w:color="auto"/>
        <w:bottom w:val="none" w:sz="0" w:space="0" w:color="auto"/>
        <w:right w:val="none" w:sz="0" w:space="0" w:color="auto"/>
      </w:divBdr>
    </w:div>
    <w:div w:id="713504992">
      <w:bodyDiv w:val="1"/>
      <w:marLeft w:val="0"/>
      <w:marRight w:val="0"/>
      <w:marTop w:val="0"/>
      <w:marBottom w:val="0"/>
      <w:divBdr>
        <w:top w:val="none" w:sz="0" w:space="0" w:color="auto"/>
        <w:left w:val="none" w:sz="0" w:space="0" w:color="auto"/>
        <w:bottom w:val="none" w:sz="0" w:space="0" w:color="auto"/>
        <w:right w:val="none" w:sz="0" w:space="0" w:color="auto"/>
      </w:divBdr>
    </w:div>
    <w:div w:id="728040924">
      <w:bodyDiv w:val="1"/>
      <w:marLeft w:val="0"/>
      <w:marRight w:val="0"/>
      <w:marTop w:val="0"/>
      <w:marBottom w:val="0"/>
      <w:divBdr>
        <w:top w:val="none" w:sz="0" w:space="0" w:color="auto"/>
        <w:left w:val="none" w:sz="0" w:space="0" w:color="auto"/>
        <w:bottom w:val="none" w:sz="0" w:space="0" w:color="auto"/>
        <w:right w:val="none" w:sz="0" w:space="0" w:color="auto"/>
      </w:divBdr>
    </w:div>
    <w:div w:id="729958036">
      <w:bodyDiv w:val="1"/>
      <w:marLeft w:val="0"/>
      <w:marRight w:val="0"/>
      <w:marTop w:val="0"/>
      <w:marBottom w:val="0"/>
      <w:divBdr>
        <w:top w:val="none" w:sz="0" w:space="0" w:color="auto"/>
        <w:left w:val="none" w:sz="0" w:space="0" w:color="auto"/>
        <w:bottom w:val="none" w:sz="0" w:space="0" w:color="auto"/>
        <w:right w:val="none" w:sz="0" w:space="0" w:color="auto"/>
      </w:divBdr>
    </w:div>
    <w:div w:id="736628362">
      <w:bodyDiv w:val="1"/>
      <w:marLeft w:val="0"/>
      <w:marRight w:val="0"/>
      <w:marTop w:val="0"/>
      <w:marBottom w:val="0"/>
      <w:divBdr>
        <w:top w:val="none" w:sz="0" w:space="0" w:color="auto"/>
        <w:left w:val="none" w:sz="0" w:space="0" w:color="auto"/>
        <w:bottom w:val="none" w:sz="0" w:space="0" w:color="auto"/>
        <w:right w:val="none" w:sz="0" w:space="0" w:color="auto"/>
      </w:divBdr>
    </w:div>
    <w:div w:id="736973400">
      <w:bodyDiv w:val="1"/>
      <w:marLeft w:val="0"/>
      <w:marRight w:val="0"/>
      <w:marTop w:val="0"/>
      <w:marBottom w:val="0"/>
      <w:divBdr>
        <w:top w:val="none" w:sz="0" w:space="0" w:color="auto"/>
        <w:left w:val="none" w:sz="0" w:space="0" w:color="auto"/>
        <w:bottom w:val="none" w:sz="0" w:space="0" w:color="auto"/>
        <w:right w:val="none" w:sz="0" w:space="0" w:color="auto"/>
      </w:divBdr>
    </w:div>
    <w:div w:id="742337617">
      <w:bodyDiv w:val="1"/>
      <w:marLeft w:val="0"/>
      <w:marRight w:val="0"/>
      <w:marTop w:val="0"/>
      <w:marBottom w:val="0"/>
      <w:divBdr>
        <w:top w:val="none" w:sz="0" w:space="0" w:color="auto"/>
        <w:left w:val="none" w:sz="0" w:space="0" w:color="auto"/>
        <w:bottom w:val="none" w:sz="0" w:space="0" w:color="auto"/>
        <w:right w:val="none" w:sz="0" w:space="0" w:color="auto"/>
      </w:divBdr>
    </w:div>
    <w:div w:id="747730166">
      <w:bodyDiv w:val="1"/>
      <w:marLeft w:val="0"/>
      <w:marRight w:val="0"/>
      <w:marTop w:val="0"/>
      <w:marBottom w:val="0"/>
      <w:divBdr>
        <w:top w:val="none" w:sz="0" w:space="0" w:color="auto"/>
        <w:left w:val="none" w:sz="0" w:space="0" w:color="auto"/>
        <w:bottom w:val="none" w:sz="0" w:space="0" w:color="auto"/>
        <w:right w:val="none" w:sz="0" w:space="0" w:color="auto"/>
      </w:divBdr>
    </w:div>
    <w:div w:id="752360560">
      <w:bodyDiv w:val="1"/>
      <w:marLeft w:val="0"/>
      <w:marRight w:val="0"/>
      <w:marTop w:val="0"/>
      <w:marBottom w:val="0"/>
      <w:divBdr>
        <w:top w:val="none" w:sz="0" w:space="0" w:color="auto"/>
        <w:left w:val="none" w:sz="0" w:space="0" w:color="auto"/>
        <w:bottom w:val="none" w:sz="0" w:space="0" w:color="auto"/>
        <w:right w:val="none" w:sz="0" w:space="0" w:color="auto"/>
      </w:divBdr>
    </w:div>
    <w:div w:id="755826796">
      <w:bodyDiv w:val="1"/>
      <w:marLeft w:val="0"/>
      <w:marRight w:val="0"/>
      <w:marTop w:val="0"/>
      <w:marBottom w:val="0"/>
      <w:divBdr>
        <w:top w:val="none" w:sz="0" w:space="0" w:color="auto"/>
        <w:left w:val="none" w:sz="0" w:space="0" w:color="auto"/>
        <w:bottom w:val="none" w:sz="0" w:space="0" w:color="auto"/>
        <w:right w:val="none" w:sz="0" w:space="0" w:color="auto"/>
      </w:divBdr>
    </w:div>
    <w:div w:id="760033691">
      <w:bodyDiv w:val="1"/>
      <w:marLeft w:val="0"/>
      <w:marRight w:val="0"/>
      <w:marTop w:val="0"/>
      <w:marBottom w:val="0"/>
      <w:divBdr>
        <w:top w:val="none" w:sz="0" w:space="0" w:color="auto"/>
        <w:left w:val="none" w:sz="0" w:space="0" w:color="auto"/>
        <w:bottom w:val="none" w:sz="0" w:space="0" w:color="auto"/>
        <w:right w:val="none" w:sz="0" w:space="0" w:color="auto"/>
      </w:divBdr>
    </w:div>
    <w:div w:id="762068263">
      <w:bodyDiv w:val="1"/>
      <w:marLeft w:val="0"/>
      <w:marRight w:val="0"/>
      <w:marTop w:val="0"/>
      <w:marBottom w:val="0"/>
      <w:divBdr>
        <w:top w:val="none" w:sz="0" w:space="0" w:color="auto"/>
        <w:left w:val="none" w:sz="0" w:space="0" w:color="auto"/>
        <w:bottom w:val="none" w:sz="0" w:space="0" w:color="auto"/>
        <w:right w:val="none" w:sz="0" w:space="0" w:color="auto"/>
      </w:divBdr>
    </w:div>
    <w:div w:id="764153254">
      <w:bodyDiv w:val="1"/>
      <w:marLeft w:val="0"/>
      <w:marRight w:val="0"/>
      <w:marTop w:val="0"/>
      <w:marBottom w:val="0"/>
      <w:divBdr>
        <w:top w:val="none" w:sz="0" w:space="0" w:color="auto"/>
        <w:left w:val="none" w:sz="0" w:space="0" w:color="auto"/>
        <w:bottom w:val="none" w:sz="0" w:space="0" w:color="auto"/>
        <w:right w:val="none" w:sz="0" w:space="0" w:color="auto"/>
      </w:divBdr>
    </w:div>
    <w:div w:id="764498308">
      <w:bodyDiv w:val="1"/>
      <w:marLeft w:val="0"/>
      <w:marRight w:val="0"/>
      <w:marTop w:val="0"/>
      <w:marBottom w:val="0"/>
      <w:divBdr>
        <w:top w:val="none" w:sz="0" w:space="0" w:color="auto"/>
        <w:left w:val="none" w:sz="0" w:space="0" w:color="auto"/>
        <w:bottom w:val="none" w:sz="0" w:space="0" w:color="auto"/>
        <w:right w:val="none" w:sz="0" w:space="0" w:color="auto"/>
      </w:divBdr>
    </w:div>
    <w:div w:id="767852373">
      <w:bodyDiv w:val="1"/>
      <w:marLeft w:val="0"/>
      <w:marRight w:val="0"/>
      <w:marTop w:val="0"/>
      <w:marBottom w:val="0"/>
      <w:divBdr>
        <w:top w:val="none" w:sz="0" w:space="0" w:color="auto"/>
        <w:left w:val="none" w:sz="0" w:space="0" w:color="auto"/>
        <w:bottom w:val="none" w:sz="0" w:space="0" w:color="auto"/>
        <w:right w:val="none" w:sz="0" w:space="0" w:color="auto"/>
      </w:divBdr>
    </w:div>
    <w:div w:id="779840842">
      <w:bodyDiv w:val="1"/>
      <w:marLeft w:val="0"/>
      <w:marRight w:val="0"/>
      <w:marTop w:val="0"/>
      <w:marBottom w:val="0"/>
      <w:divBdr>
        <w:top w:val="none" w:sz="0" w:space="0" w:color="auto"/>
        <w:left w:val="none" w:sz="0" w:space="0" w:color="auto"/>
        <w:bottom w:val="none" w:sz="0" w:space="0" w:color="auto"/>
        <w:right w:val="none" w:sz="0" w:space="0" w:color="auto"/>
      </w:divBdr>
    </w:div>
    <w:div w:id="780339372">
      <w:bodyDiv w:val="1"/>
      <w:marLeft w:val="0"/>
      <w:marRight w:val="0"/>
      <w:marTop w:val="0"/>
      <w:marBottom w:val="0"/>
      <w:divBdr>
        <w:top w:val="none" w:sz="0" w:space="0" w:color="auto"/>
        <w:left w:val="none" w:sz="0" w:space="0" w:color="auto"/>
        <w:bottom w:val="none" w:sz="0" w:space="0" w:color="auto"/>
        <w:right w:val="none" w:sz="0" w:space="0" w:color="auto"/>
      </w:divBdr>
    </w:div>
    <w:div w:id="784691333">
      <w:bodyDiv w:val="1"/>
      <w:marLeft w:val="0"/>
      <w:marRight w:val="0"/>
      <w:marTop w:val="0"/>
      <w:marBottom w:val="0"/>
      <w:divBdr>
        <w:top w:val="none" w:sz="0" w:space="0" w:color="auto"/>
        <w:left w:val="none" w:sz="0" w:space="0" w:color="auto"/>
        <w:bottom w:val="none" w:sz="0" w:space="0" w:color="auto"/>
        <w:right w:val="none" w:sz="0" w:space="0" w:color="auto"/>
      </w:divBdr>
    </w:div>
    <w:div w:id="789477186">
      <w:bodyDiv w:val="1"/>
      <w:marLeft w:val="0"/>
      <w:marRight w:val="0"/>
      <w:marTop w:val="0"/>
      <w:marBottom w:val="0"/>
      <w:divBdr>
        <w:top w:val="none" w:sz="0" w:space="0" w:color="auto"/>
        <w:left w:val="none" w:sz="0" w:space="0" w:color="auto"/>
        <w:bottom w:val="none" w:sz="0" w:space="0" w:color="auto"/>
        <w:right w:val="none" w:sz="0" w:space="0" w:color="auto"/>
      </w:divBdr>
    </w:div>
    <w:div w:id="797916476">
      <w:bodyDiv w:val="1"/>
      <w:marLeft w:val="0"/>
      <w:marRight w:val="0"/>
      <w:marTop w:val="0"/>
      <w:marBottom w:val="0"/>
      <w:divBdr>
        <w:top w:val="none" w:sz="0" w:space="0" w:color="auto"/>
        <w:left w:val="none" w:sz="0" w:space="0" w:color="auto"/>
        <w:bottom w:val="none" w:sz="0" w:space="0" w:color="auto"/>
        <w:right w:val="none" w:sz="0" w:space="0" w:color="auto"/>
      </w:divBdr>
    </w:div>
    <w:div w:id="817570625">
      <w:bodyDiv w:val="1"/>
      <w:marLeft w:val="0"/>
      <w:marRight w:val="0"/>
      <w:marTop w:val="0"/>
      <w:marBottom w:val="0"/>
      <w:divBdr>
        <w:top w:val="none" w:sz="0" w:space="0" w:color="auto"/>
        <w:left w:val="none" w:sz="0" w:space="0" w:color="auto"/>
        <w:bottom w:val="none" w:sz="0" w:space="0" w:color="auto"/>
        <w:right w:val="none" w:sz="0" w:space="0" w:color="auto"/>
      </w:divBdr>
    </w:div>
    <w:div w:id="822356854">
      <w:bodyDiv w:val="1"/>
      <w:marLeft w:val="0"/>
      <w:marRight w:val="0"/>
      <w:marTop w:val="0"/>
      <w:marBottom w:val="0"/>
      <w:divBdr>
        <w:top w:val="none" w:sz="0" w:space="0" w:color="auto"/>
        <w:left w:val="none" w:sz="0" w:space="0" w:color="auto"/>
        <w:bottom w:val="none" w:sz="0" w:space="0" w:color="auto"/>
        <w:right w:val="none" w:sz="0" w:space="0" w:color="auto"/>
      </w:divBdr>
    </w:div>
    <w:div w:id="823660921">
      <w:bodyDiv w:val="1"/>
      <w:marLeft w:val="0"/>
      <w:marRight w:val="0"/>
      <w:marTop w:val="0"/>
      <w:marBottom w:val="0"/>
      <w:divBdr>
        <w:top w:val="none" w:sz="0" w:space="0" w:color="auto"/>
        <w:left w:val="none" w:sz="0" w:space="0" w:color="auto"/>
        <w:bottom w:val="none" w:sz="0" w:space="0" w:color="auto"/>
        <w:right w:val="none" w:sz="0" w:space="0" w:color="auto"/>
      </w:divBdr>
    </w:div>
    <w:div w:id="824855994">
      <w:bodyDiv w:val="1"/>
      <w:marLeft w:val="0"/>
      <w:marRight w:val="0"/>
      <w:marTop w:val="0"/>
      <w:marBottom w:val="0"/>
      <w:divBdr>
        <w:top w:val="none" w:sz="0" w:space="0" w:color="auto"/>
        <w:left w:val="none" w:sz="0" w:space="0" w:color="auto"/>
        <w:bottom w:val="none" w:sz="0" w:space="0" w:color="auto"/>
        <w:right w:val="none" w:sz="0" w:space="0" w:color="auto"/>
      </w:divBdr>
    </w:div>
    <w:div w:id="825902625">
      <w:bodyDiv w:val="1"/>
      <w:marLeft w:val="0"/>
      <w:marRight w:val="0"/>
      <w:marTop w:val="0"/>
      <w:marBottom w:val="0"/>
      <w:divBdr>
        <w:top w:val="none" w:sz="0" w:space="0" w:color="auto"/>
        <w:left w:val="none" w:sz="0" w:space="0" w:color="auto"/>
        <w:bottom w:val="none" w:sz="0" w:space="0" w:color="auto"/>
        <w:right w:val="none" w:sz="0" w:space="0" w:color="auto"/>
      </w:divBdr>
    </w:div>
    <w:div w:id="826479155">
      <w:bodyDiv w:val="1"/>
      <w:marLeft w:val="0"/>
      <w:marRight w:val="0"/>
      <w:marTop w:val="0"/>
      <w:marBottom w:val="0"/>
      <w:divBdr>
        <w:top w:val="none" w:sz="0" w:space="0" w:color="auto"/>
        <w:left w:val="none" w:sz="0" w:space="0" w:color="auto"/>
        <w:bottom w:val="none" w:sz="0" w:space="0" w:color="auto"/>
        <w:right w:val="none" w:sz="0" w:space="0" w:color="auto"/>
      </w:divBdr>
    </w:div>
    <w:div w:id="830293304">
      <w:bodyDiv w:val="1"/>
      <w:marLeft w:val="0"/>
      <w:marRight w:val="0"/>
      <w:marTop w:val="0"/>
      <w:marBottom w:val="0"/>
      <w:divBdr>
        <w:top w:val="none" w:sz="0" w:space="0" w:color="auto"/>
        <w:left w:val="none" w:sz="0" w:space="0" w:color="auto"/>
        <w:bottom w:val="none" w:sz="0" w:space="0" w:color="auto"/>
        <w:right w:val="none" w:sz="0" w:space="0" w:color="auto"/>
      </w:divBdr>
    </w:div>
    <w:div w:id="831532213">
      <w:bodyDiv w:val="1"/>
      <w:marLeft w:val="0"/>
      <w:marRight w:val="0"/>
      <w:marTop w:val="0"/>
      <w:marBottom w:val="0"/>
      <w:divBdr>
        <w:top w:val="none" w:sz="0" w:space="0" w:color="auto"/>
        <w:left w:val="none" w:sz="0" w:space="0" w:color="auto"/>
        <w:bottom w:val="none" w:sz="0" w:space="0" w:color="auto"/>
        <w:right w:val="none" w:sz="0" w:space="0" w:color="auto"/>
      </w:divBdr>
    </w:div>
    <w:div w:id="831675656">
      <w:bodyDiv w:val="1"/>
      <w:marLeft w:val="0"/>
      <w:marRight w:val="0"/>
      <w:marTop w:val="0"/>
      <w:marBottom w:val="0"/>
      <w:divBdr>
        <w:top w:val="none" w:sz="0" w:space="0" w:color="auto"/>
        <w:left w:val="none" w:sz="0" w:space="0" w:color="auto"/>
        <w:bottom w:val="none" w:sz="0" w:space="0" w:color="auto"/>
        <w:right w:val="none" w:sz="0" w:space="0" w:color="auto"/>
      </w:divBdr>
    </w:div>
    <w:div w:id="841050785">
      <w:bodyDiv w:val="1"/>
      <w:marLeft w:val="0"/>
      <w:marRight w:val="0"/>
      <w:marTop w:val="0"/>
      <w:marBottom w:val="0"/>
      <w:divBdr>
        <w:top w:val="none" w:sz="0" w:space="0" w:color="auto"/>
        <w:left w:val="none" w:sz="0" w:space="0" w:color="auto"/>
        <w:bottom w:val="none" w:sz="0" w:space="0" w:color="auto"/>
        <w:right w:val="none" w:sz="0" w:space="0" w:color="auto"/>
      </w:divBdr>
    </w:div>
    <w:div w:id="844825568">
      <w:bodyDiv w:val="1"/>
      <w:marLeft w:val="0"/>
      <w:marRight w:val="0"/>
      <w:marTop w:val="0"/>
      <w:marBottom w:val="0"/>
      <w:divBdr>
        <w:top w:val="none" w:sz="0" w:space="0" w:color="auto"/>
        <w:left w:val="none" w:sz="0" w:space="0" w:color="auto"/>
        <w:bottom w:val="none" w:sz="0" w:space="0" w:color="auto"/>
        <w:right w:val="none" w:sz="0" w:space="0" w:color="auto"/>
      </w:divBdr>
    </w:div>
    <w:div w:id="845676724">
      <w:bodyDiv w:val="1"/>
      <w:marLeft w:val="0"/>
      <w:marRight w:val="0"/>
      <w:marTop w:val="0"/>
      <w:marBottom w:val="0"/>
      <w:divBdr>
        <w:top w:val="none" w:sz="0" w:space="0" w:color="auto"/>
        <w:left w:val="none" w:sz="0" w:space="0" w:color="auto"/>
        <w:bottom w:val="none" w:sz="0" w:space="0" w:color="auto"/>
        <w:right w:val="none" w:sz="0" w:space="0" w:color="auto"/>
      </w:divBdr>
    </w:div>
    <w:div w:id="849950119">
      <w:bodyDiv w:val="1"/>
      <w:marLeft w:val="0"/>
      <w:marRight w:val="0"/>
      <w:marTop w:val="0"/>
      <w:marBottom w:val="0"/>
      <w:divBdr>
        <w:top w:val="none" w:sz="0" w:space="0" w:color="auto"/>
        <w:left w:val="none" w:sz="0" w:space="0" w:color="auto"/>
        <w:bottom w:val="none" w:sz="0" w:space="0" w:color="auto"/>
        <w:right w:val="none" w:sz="0" w:space="0" w:color="auto"/>
      </w:divBdr>
    </w:div>
    <w:div w:id="852568653">
      <w:bodyDiv w:val="1"/>
      <w:marLeft w:val="0"/>
      <w:marRight w:val="0"/>
      <w:marTop w:val="0"/>
      <w:marBottom w:val="0"/>
      <w:divBdr>
        <w:top w:val="none" w:sz="0" w:space="0" w:color="auto"/>
        <w:left w:val="none" w:sz="0" w:space="0" w:color="auto"/>
        <w:bottom w:val="none" w:sz="0" w:space="0" w:color="auto"/>
        <w:right w:val="none" w:sz="0" w:space="0" w:color="auto"/>
      </w:divBdr>
    </w:div>
    <w:div w:id="855848314">
      <w:bodyDiv w:val="1"/>
      <w:marLeft w:val="0"/>
      <w:marRight w:val="0"/>
      <w:marTop w:val="0"/>
      <w:marBottom w:val="0"/>
      <w:divBdr>
        <w:top w:val="none" w:sz="0" w:space="0" w:color="auto"/>
        <w:left w:val="none" w:sz="0" w:space="0" w:color="auto"/>
        <w:bottom w:val="none" w:sz="0" w:space="0" w:color="auto"/>
        <w:right w:val="none" w:sz="0" w:space="0" w:color="auto"/>
      </w:divBdr>
    </w:div>
    <w:div w:id="865294330">
      <w:bodyDiv w:val="1"/>
      <w:marLeft w:val="0"/>
      <w:marRight w:val="0"/>
      <w:marTop w:val="0"/>
      <w:marBottom w:val="0"/>
      <w:divBdr>
        <w:top w:val="none" w:sz="0" w:space="0" w:color="auto"/>
        <w:left w:val="none" w:sz="0" w:space="0" w:color="auto"/>
        <w:bottom w:val="none" w:sz="0" w:space="0" w:color="auto"/>
        <w:right w:val="none" w:sz="0" w:space="0" w:color="auto"/>
      </w:divBdr>
    </w:div>
    <w:div w:id="869613175">
      <w:bodyDiv w:val="1"/>
      <w:marLeft w:val="0"/>
      <w:marRight w:val="0"/>
      <w:marTop w:val="0"/>
      <w:marBottom w:val="0"/>
      <w:divBdr>
        <w:top w:val="none" w:sz="0" w:space="0" w:color="auto"/>
        <w:left w:val="none" w:sz="0" w:space="0" w:color="auto"/>
        <w:bottom w:val="none" w:sz="0" w:space="0" w:color="auto"/>
        <w:right w:val="none" w:sz="0" w:space="0" w:color="auto"/>
      </w:divBdr>
    </w:div>
    <w:div w:id="869882393">
      <w:bodyDiv w:val="1"/>
      <w:marLeft w:val="0"/>
      <w:marRight w:val="0"/>
      <w:marTop w:val="0"/>
      <w:marBottom w:val="0"/>
      <w:divBdr>
        <w:top w:val="none" w:sz="0" w:space="0" w:color="auto"/>
        <w:left w:val="none" w:sz="0" w:space="0" w:color="auto"/>
        <w:bottom w:val="none" w:sz="0" w:space="0" w:color="auto"/>
        <w:right w:val="none" w:sz="0" w:space="0" w:color="auto"/>
      </w:divBdr>
    </w:div>
    <w:div w:id="876043833">
      <w:bodyDiv w:val="1"/>
      <w:marLeft w:val="0"/>
      <w:marRight w:val="0"/>
      <w:marTop w:val="0"/>
      <w:marBottom w:val="0"/>
      <w:divBdr>
        <w:top w:val="none" w:sz="0" w:space="0" w:color="auto"/>
        <w:left w:val="none" w:sz="0" w:space="0" w:color="auto"/>
        <w:bottom w:val="none" w:sz="0" w:space="0" w:color="auto"/>
        <w:right w:val="none" w:sz="0" w:space="0" w:color="auto"/>
      </w:divBdr>
    </w:div>
    <w:div w:id="880627242">
      <w:bodyDiv w:val="1"/>
      <w:marLeft w:val="0"/>
      <w:marRight w:val="0"/>
      <w:marTop w:val="0"/>
      <w:marBottom w:val="0"/>
      <w:divBdr>
        <w:top w:val="none" w:sz="0" w:space="0" w:color="auto"/>
        <w:left w:val="none" w:sz="0" w:space="0" w:color="auto"/>
        <w:bottom w:val="none" w:sz="0" w:space="0" w:color="auto"/>
        <w:right w:val="none" w:sz="0" w:space="0" w:color="auto"/>
      </w:divBdr>
    </w:div>
    <w:div w:id="886142631">
      <w:bodyDiv w:val="1"/>
      <w:marLeft w:val="0"/>
      <w:marRight w:val="0"/>
      <w:marTop w:val="0"/>
      <w:marBottom w:val="0"/>
      <w:divBdr>
        <w:top w:val="none" w:sz="0" w:space="0" w:color="auto"/>
        <w:left w:val="none" w:sz="0" w:space="0" w:color="auto"/>
        <w:bottom w:val="none" w:sz="0" w:space="0" w:color="auto"/>
        <w:right w:val="none" w:sz="0" w:space="0" w:color="auto"/>
      </w:divBdr>
    </w:div>
    <w:div w:id="888303759">
      <w:bodyDiv w:val="1"/>
      <w:marLeft w:val="0"/>
      <w:marRight w:val="0"/>
      <w:marTop w:val="0"/>
      <w:marBottom w:val="0"/>
      <w:divBdr>
        <w:top w:val="none" w:sz="0" w:space="0" w:color="auto"/>
        <w:left w:val="none" w:sz="0" w:space="0" w:color="auto"/>
        <w:bottom w:val="none" w:sz="0" w:space="0" w:color="auto"/>
        <w:right w:val="none" w:sz="0" w:space="0" w:color="auto"/>
      </w:divBdr>
    </w:div>
    <w:div w:id="888345708">
      <w:bodyDiv w:val="1"/>
      <w:marLeft w:val="0"/>
      <w:marRight w:val="0"/>
      <w:marTop w:val="0"/>
      <w:marBottom w:val="0"/>
      <w:divBdr>
        <w:top w:val="none" w:sz="0" w:space="0" w:color="auto"/>
        <w:left w:val="none" w:sz="0" w:space="0" w:color="auto"/>
        <w:bottom w:val="none" w:sz="0" w:space="0" w:color="auto"/>
        <w:right w:val="none" w:sz="0" w:space="0" w:color="auto"/>
      </w:divBdr>
    </w:div>
    <w:div w:id="892546260">
      <w:bodyDiv w:val="1"/>
      <w:marLeft w:val="0"/>
      <w:marRight w:val="0"/>
      <w:marTop w:val="0"/>
      <w:marBottom w:val="0"/>
      <w:divBdr>
        <w:top w:val="none" w:sz="0" w:space="0" w:color="auto"/>
        <w:left w:val="none" w:sz="0" w:space="0" w:color="auto"/>
        <w:bottom w:val="none" w:sz="0" w:space="0" w:color="auto"/>
        <w:right w:val="none" w:sz="0" w:space="0" w:color="auto"/>
      </w:divBdr>
    </w:div>
    <w:div w:id="903683176">
      <w:bodyDiv w:val="1"/>
      <w:marLeft w:val="0"/>
      <w:marRight w:val="0"/>
      <w:marTop w:val="0"/>
      <w:marBottom w:val="0"/>
      <w:divBdr>
        <w:top w:val="none" w:sz="0" w:space="0" w:color="auto"/>
        <w:left w:val="none" w:sz="0" w:space="0" w:color="auto"/>
        <w:bottom w:val="none" w:sz="0" w:space="0" w:color="auto"/>
        <w:right w:val="none" w:sz="0" w:space="0" w:color="auto"/>
      </w:divBdr>
    </w:div>
    <w:div w:id="909000086">
      <w:bodyDiv w:val="1"/>
      <w:marLeft w:val="0"/>
      <w:marRight w:val="0"/>
      <w:marTop w:val="0"/>
      <w:marBottom w:val="0"/>
      <w:divBdr>
        <w:top w:val="none" w:sz="0" w:space="0" w:color="auto"/>
        <w:left w:val="none" w:sz="0" w:space="0" w:color="auto"/>
        <w:bottom w:val="none" w:sz="0" w:space="0" w:color="auto"/>
        <w:right w:val="none" w:sz="0" w:space="0" w:color="auto"/>
      </w:divBdr>
    </w:div>
    <w:div w:id="910625925">
      <w:bodyDiv w:val="1"/>
      <w:marLeft w:val="0"/>
      <w:marRight w:val="0"/>
      <w:marTop w:val="0"/>
      <w:marBottom w:val="0"/>
      <w:divBdr>
        <w:top w:val="none" w:sz="0" w:space="0" w:color="auto"/>
        <w:left w:val="none" w:sz="0" w:space="0" w:color="auto"/>
        <w:bottom w:val="none" w:sz="0" w:space="0" w:color="auto"/>
        <w:right w:val="none" w:sz="0" w:space="0" w:color="auto"/>
      </w:divBdr>
    </w:div>
    <w:div w:id="918558303">
      <w:bodyDiv w:val="1"/>
      <w:marLeft w:val="0"/>
      <w:marRight w:val="0"/>
      <w:marTop w:val="0"/>
      <w:marBottom w:val="0"/>
      <w:divBdr>
        <w:top w:val="none" w:sz="0" w:space="0" w:color="auto"/>
        <w:left w:val="none" w:sz="0" w:space="0" w:color="auto"/>
        <w:bottom w:val="none" w:sz="0" w:space="0" w:color="auto"/>
        <w:right w:val="none" w:sz="0" w:space="0" w:color="auto"/>
      </w:divBdr>
    </w:div>
    <w:div w:id="919025467">
      <w:bodyDiv w:val="1"/>
      <w:marLeft w:val="0"/>
      <w:marRight w:val="0"/>
      <w:marTop w:val="0"/>
      <w:marBottom w:val="0"/>
      <w:divBdr>
        <w:top w:val="none" w:sz="0" w:space="0" w:color="auto"/>
        <w:left w:val="none" w:sz="0" w:space="0" w:color="auto"/>
        <w:bottom w:val="none" w:sz="0" w:space="0" w:color="auto"/>
        <w:right w:val="none" w:sz="0" w:space="0" w:color="auto"/>
      </w:divBdr>
    </w:div>
    <w:div w:id="927540664">
      <w:bodyDiv w:val="1"/>
      <w:marLeft w:val="0"/>
      <w:marRight w:val="0"/>
      <w:marTop w:val="0"/>
      <w:marBottom w:val="0"/>
      <w:divBdr>
        <w:top w:val="none" w:sz="0" w:space="0" w:color="auto"/>
        <w:left w:val="none" w:sz="0" w:space="0" w:color="auto"/>
        <w:bottom w:val="none" w:sz="0" w:space="0" w:color="auto"/>
        <w:right w:val="none" w:sz="0" w:space="0" w:color="auto"/>
      </w:divBdr>
    </w:div>
    <w:div w:id="931818801">
      <w:bodyDiv w:val="1"/>
      <w:marLeft w:val="0"/>
      <w:marRight w:val="0"/>
      <w:marTop w:val="0"/>
      <w:marBottom w:val="0"/>
      <w:divBdr>
        <w:top w:val="none" w:sz="0" w:space="0" w:color="auto"/>
        <w:left w:val="none" w:sz="0" w:space="0" w:color="auto"/>
        <w:bottom w:val="none" w:sz="0" w:space="0" w:color="auto"/>
        <w:right w:val="none" w:sz="0" w:space="0" w:color="auto"/>
      </w:divBdr>
    </w:div>
    <w:div w:id="938485629">
      <w:bodyDiv w:val="1"/>
      <w:marLeft w:val="0"/>
      <w:marRight w:val="0"/>
      <w:marTop w:val="0"/>
      <w:marBottom w:val="0"/>
      <w:divBdr>
        <w:top w:val="none" w:sz="0" w:space="0" w:color="auto"/>
        <w:left w:val="none" w:sz="0" w:space="0" w:color="auto"/>
        <w:bottom w:val="none" w:sz="0" w:space="0" w:color="auto"/>
        <w:right w:val="none" w:sz="0" w:space="0" w:color="auto"/>
      </w:divBdr>
    </w:div>
    <w:div w:id="939341114">
      <w:bodyDiv w:val="1"/>
      <w:marLeft w:val="0"/>
      <w:marRight w:val="0"/>
      <w:marTop w:val="0"/>
      <w:marBottom w:val="0"/>
      <w:divBdr>
        <w:top w:val="none" w:sz="0" w:space="0" w:color="auto"/>
        <w:left w:val="none" w:sz="0" w:space="0" w:color="auto"/>
        <w:bottom w:val="none" w:sz="0" w:space="0" w:color="auto"/>
        <w:right w:val="none" w:sz="0" w:space="0" w:color="auto"/>
      </w:divBdr>
    </w:div>
    <w:div w:id="942765075">
      <w:bodyDiv w:val="1"/>
      <w:marLeft w:val="0"/>
      <w:marRight w:val="0"/>
      <w:marTop w:val="0"/>
      <w:marBottom w:val="0"/>
      <w:divBdr>
        <w:top w:val="none" w:sz="0" w:space="0" w:color="auto"/>
        <w:left w:val="none" w:sz="0" w:space="0" w:color="auto"/>
        <w:bottom w:val="none" w:sz="0" w:space="0" w:color="auto"/>
        <w:right w:val="none" w:sz="0" w:space="0" w:color="auto"/>
      </w:divBdr>
    </w:div>
    <w:div w:id="944191731">
      <w:bodyDiv w:val="1"/>
      <w:marLeft w:val="0"/>
      <w:marRight w:val="0"/>
      <w:marTop w:val="0"/>
      <w:marBottom w:val="0"/>
      <w:divBdr>
        <w:top w:val="none" w:sz="0" w:space="0" w:color="auto"/>
        <w:left w:val="none" w:sz="0" w:space="0" w:color="auto"/>
        <w:bottom w:val="none" w:sz="0" w:space="0" w:color="auto"/>
        <w:right w:val="none" w:sz="0" w:space="0" w:color="auto"/>
      </w:divBdr>
    </w:div>
    <w:div w:id="948968095">
      <w:bodyDiv w:val="1"/>
      <w:marLeft w:val="0"/>
      <w:marRight w:val="0"/>
      <w:marTop w:val="0"/>
      <w:marBottom w:val="0"/>
      <w:divBdr>
        <w:top w:val="none" w:sz="0" w:space="0" w:color="auto"/>
        <w:left w:val="none" w:sz="0" w:space="0" w:color="auto"/>
        <w:bottom w:val="none" w:sz="0" w:space="0" w:color="auto"/>
        <w:right w:val="none" w:sz="0" w:space="0" w:color="auto"/>
      </w:divBdr>
    </w:div>
    <w:div w:id="951518459">
      <w:bodyDiv w:val="1"/>
      <w:marLeft w:val="0"/>
      <w:marRight w:val="0"/>
      <w:marTop w:val="0"/>
      <w:marBottom w:val="0"/>
      <w:divBdr>
        <w:top w:val="none" w:sz="0" w:space="0" w:color="auto"/>
        <w:left w:val="none" w:sz="0" w:space="0" w:color="auto"/>
        <w:bottom w:val="none" w:sz="0" w:space="0" w:color="auto"/>
        <w:right w:val="none" w:sz="0" w:space="0" w:color="auto"/>
      </w:divBdr>
    </w:div>
    <w:div w:id="951519190">
      <w:bodyDiv w:val="1"/>
      <w:marLeft w:val="0"/>
      <w:marRight w:val="0"/>
      <w:marTop w:val="0"/>
      <w:marBottom w:val="0"/>
      <w:divBdr>
        <w:top w:val="none" w:sz="0" w:space="0" w:color="auto"/>
        <w:left w:val="none" w:sz="0" w:space="0" w:color="auto"/>
        <w:bottom w:val="none" w:sz="0" w:space="0" w:color="auto"/>
        <w:right w:val="none" w:sz="0" w:space="0" w:color="auto"/>
      </w:divBdr>
    </w:div>
    <w:div w:id="957569392">
      <w:bodyDiv w:val="1"/>
      <w:marLeft w:val="0"/>
      <w:marRight w:val="0"/>
      <w:marTop w:val="0"/>
      <w:marBottom w:val="0"/>
      <w:divBdr>
        <w:top w:val="none" w:sz="0" w:space="0" w:color="auto"/>
        <w:left w:val="none" w:sz="0" w:space="0" w:color="auto"/>
        <w:bottom w:val="none" w:sz="0" w:space="0" w:color="auto"/>
        <w:right w:val="none" w:sz="0" w:space="0" w:color="auto"/>
      </w:divBdr>
    </w:div>
    <w:div w:id="959068796">
      <w:bodyDiv w:val="1"/>
      <w:marLeft w:val="0"/>
      <w:marRight w:val="0"/>
      <w:marTop w:val="0"/>
      <w:marBottom w:val="0"/>
      <w:divBdr>
        <w:top w:val="none" w:sz="0" w:space="0" w:color="auto"/>
        <w:left w:val="none" w:sz="0" w:space="0" w:color="auto"/>
        <w:bottom w:val="none" w:sz="0" w:space="0" w:color="auto"/>
        <w:right w:val="none" w:sz="0" w:space="0" w:color="auto"/>
      </w:divBdr>
    </w:div>
    <w:div w:id="963392618">
      <w:bodyDiv w:val="1"/>
      <w:marLeft w:val="0"/>
      <w:marRight w:val="0"/>
      <w:marTop w:val="0"/>
      <w:marBottom w:val="0"/>
      <w:divBdr>
        <w:top w:val="none" w:sz="0" w:space="0" w:color="auto"/>
        <w:left w:val="none" w:sz="0" w:space="0" w:color="auto"/>
        <w:bottom w:val="none" w:sz="0" w:space="0" w:color="auto"/>
        <w:right w:val="none" w:sz="0" w:space="0" w:color="auto"/>
      </w:divBdr>
    </w:div>
    <w:div w:id="965697520">
      <w:bodyDiv w:val="1"/>
      <w:marLeft w:val="0"/>
      <w:marRight w:val="0"/>
      <w:marTop w:val="0"/>
      <w:marBottom w:val="0"/>
      <w:divBdr>
        <w:top w:val="none" w:sz="0" w:space="0" w:color="auto"/>
        <w:left w:val="none" w:sz="0" w:space="0" w:color="auto"/>
        <w:bottom w:val="none" w:sz="0" w:space="0" w:color="auto"/>
        <w:right w:val="none" w:sz="0" w:space="0" w:color="auto"/>
      </w:divBdr>
    </w:div>
    <w:div w:id="967584613">
      <w:bodyDiv w:val="1"/>
      <w:marLeft w:val="0"/>
      <w:marRight w:val="0"/>
      <w:marTop w:val="0"/>
      <w:marBottom w:val="0"/>
      <w:divBdr>
        <w:top w:val="none" w:sz="0" w:space="0" w:color="auto"/>
        <w:left w:val="none" w:sz="0" w:space="0" w:color="auto"/>
        <w:bottom w:val="none" w:sz="0" w:space="0" w:color="auto"/>
        <w:right w:val="none" w:sz="0" w:space="0" w:color="auto"/>
      </w:divBdr>
    </w:div>
    <w:div w:id="968172576">
      <w:bodyDiv w:val="1"/>
      <w:marLeft w:val="0"/>
      <w:marRight w:val="0"/>
      <w:marTop w:val="0"/>
      <w:marBottom w:val="0"/>
      <w:divBdr>
        <w:top w:val="none" w:sz="0" w:space="0" w:color="auto"/>
        <w:left w:val="none" w:sz="0" w:space="0" w:color="auto"/>
        <w:bottom w:val="none" w:sz="0" w:space="0" w:color="auto"/>
        <w:right w:val="none" w:sz="0" w:space="0" w:color="auto"/>
      </w:divBdr>
    </w:div>
    <w:div w:id="969169708">
      <w:bodyDiv w:val="1"/>
      <w:marLeft w:val="0"/>
      <w:marRight w:val="0"/>
      <w:marTop w:val="0"/>
      <w:marBottom w:val="0"/>
      <w:divBdr>
        <w:top w:val="none" w:sz="0" w:space="0" w:color="auto"/>
        <w:left w:val="none" w:sz="0" w:space="0" w:color="auto"/>
        <w:bottom w:val="none" w:sz="0" w:space="0" w:color="auto"/>
        <w:right w:val="none" w:sz="0" w:space="0" w:color="auto"/>
      </w:divBdr>
    </w:div>
    <w:div w:id="970478400">
      <w:bodyDiv w:val="1"/>
      <w:marLeft w:val="0"/>
      <w:marRight w:val="0"/>
      <w:marTop w:val="0"/>
      <w:marBottom w:val="0"/>
      <w:divBdr>
        <w:top w:val="none" w:sz="0" w:space="0" w:color="auto"/>
        <w:left w:val="none" w:sz="0" w:space="0" w:color="auto"/>
        <w:bottom w:val="none" w:sz="0" w:space="0" w:color="auto"/>
        <w:right w:val="none" w:sz="0" w:space="0" w:color="auto"/>
      </w:divBdr>
    </w:div>
    <w:div w:id="974799683">
      <w:bodyDiv w:val="1"/>
      <w:marLeft w:val="0"/>
      <w:marRight w:val="0"/>
      <w:marTop w:val="0"/>
      <w:marBottom w:val="0"/>
      <w:divBdr>
        <w:top w:val="none" w:sz="0" w:space="0" w:color="auto"/>
        <w:left w:val="none" w:sz="0" w:space="0" w:color="auto"/>
        <w:bottom w:val="none" w:sz="0" w:space="0" w:color="auto"/>
        <w:right w:val="none" w:sz="0" w:space="0" w:color="auto"/>
      </w:divBdr>
    </w:div>
    <w:div w:id="979189456">
      <w:bodyDiv w:val="1"/>
      <w:marLeft w:val="0"/>
      <w:marRight w:val="0"/>
      <w:marTop w:val="0"/>
      <w:marBottom w:val="0"/>
      <w:divBdr>
        <w:top w:val="none" w:sz="0" w:space="0" w:color="auto"/>
        <w:left w:val="none" w:sz="0" w:space="0" w:color="auto"/>
        <w:bottom w:val="none" w:sz="0" w:space="0" w:color="auto"/>
        <w:right w:val="none" w:sz="0" w:space="0" w:color="auto"/>
      </w:divBdr>
    </w:div>
    <w:div w:id="979845121">
      <w:bodyDiv w:val="1"/>
      <w:marLeft w:val="0"/>
      <w:marRight w:val="0"/>
      <w:marTop w:val="0"/>
      <w:marBottom w:val="0"/>
      <w:divBdr>
        <w:top w:val="none" w:sz="0" w:space="0" w:color="auto"/>
        <w:left w:val="none" w:sz="0" w:space="0" w:color="auto"/>
        <w:bottom w:val="none" w:sz="0" w:space="0" w:color="auto"/>
        <w:right w:val="none" w:sz="0" w:space="0" w:color="auto"/>
      </w:divBdr>
    </w:div>
    <w:div w:id="980116070">
      <w:bodyDiv w:val="1"/>
      <w:marLeft w:val="0"/>
      <w:marRight w:val="0"/>
      <w:marTop w:val="0"/>
      <w:marBottom w:val="0"/>
      <w:divBdr>
        <w:top w:val="none" w:sz="0" w:space="0" w:color="auto"/>
        <w:left w:val="none" w:sz="0" w:space="0" w:color="auto"/>
        <w:bottom w:val="none" w:sz="0" w:space="0" w:color="auto"/>
        <w:right w:val="none" w:sz="0" w:space="0" w:color="auto"/>
      </w:divBdr>
    </w:div>
    <w:div w:id="982470653">
      <w:bodyDiv w:val="1"/>
      <w:marLeft w:val="0"/>
      <w:marRight w:val="0"/>
      <w:marTop w:val="0"/>
      <w:marBottom w:val="0"/>
      <w:divBdr>
        <w:top w:val="none" w:sz="0" w:space="0" w:color="auto"/>
        <w:left w:val="none" w:sz="0" w:space="0" w:color="auto"/>
        <w:bottom w:val="none" w:sz="0" w:space="0" w:color="auto"/>
        <w:right w:val="none" w:sz="0" w:space="0" w:color="auto"/>
      </w:divBdr>
    </w:div>
    <w:div w:id="987518410">
      <w:bodyDiv w:val="1"/>
      <w:marLeft w:val="0"/>
      <w:marRight w:val="0"/>
      <w:marTop w:val="0"/>
      <w:marBottom w:val="0"/>
      <w:divBdr>
        <w:top w:val="none" w:sz="0" w:space="0" w:color="auto"/>
        <w:left w:val="none" w:sz="0" w:space="0" w:color="auto"/>
        <w:bottom w:val="none" w:sz="0" w:space="0" w:color="auto"/>
        <w:right w:val="none" w:sz="0" w:space="0" w:color="auto"/>
      </w:divBdr>
    </w:div>
    <w:div w:id="994332363">
      <w:bodyDiv w:val="1"/>
      <w:marLeft w:val="0"/>
      <w:marRight w:val="0"/>
      <w:marTop w:val="0"/>
      <w:marBottom w:val="0"/>
      <w:divBdr>
        <w:top w:val="none" w:sz="0" w:space="0" w:color="auto"/>
        <w:left w:val="none" w:sz="0" w:space="0" w:color="auto"/>
        <w:bottom w:val="none" w:sz="0" w:space="0" w:color="auto"/>
        <w:right w:val="none" w:sz="0" w:space="0" w:color="auto"/>
      </w:divBdr>
    </w:div>
    <w:div w:id="995648422">
      <w:bodyDiv w:val="1"/>
      <w:marLeft w:val="0"/>
      <w:marRight w:val="0"/>
      <w:marTop w:val="0"/>
      <w:marBottom w:val="0"/>
      <w:divBdr>
        <w:top w:val="none" w:sz="0" w:space="0" w:color="auto"/>
        <w:left w:val="none" w:sz="0" w:space="0" w:color="auto"/>
        <w:bottom w:val="none" w:sz="0" w:space="0" w:color="auto"/>
        <w:right w:val="none" w:sz="0" w:space="0" w:color="auto"/>
      </w:divBdr>
    </w:div>
    <w:div w:id="1002272699">
      <w:bodyDiv w:val="1"/>
      <w:marLeft w:val="0"/>
      <w:marRight w:val="0"/>
      <w:marTop w:val="0"/>
      <w:marBottom w:val="0"/>
      <w:divBdr>
        <w:top w:val="none" w:sz="0" w:space="0" w:color="auto"/>
        <w:left w:val="none" w:sz="0" w:space="0" w:color="auto"/>
        <w:bottom w:val="none" w:sz="0" w:space="0" w:color="auto"/>
        <w:right w:val="none" w:sz="0" w:space="0" w:color="auto"/>
      </w:divBdr>
    </w:div>
    <w:div w:id="1010445238">
      <w:bodyDiv w:val="1"/>
      <w:marLeft w:val="0"/>
      <w:marRight w:val="0"/>
      <w:marTop w:val="0"/>
      <w:marBottom w:val="0"/>
      <w:divBdr>
        <w:top w:val="none" w:sz="0" w:space="0" w:color="auto"/>
        <w:left w:val="none" w:sz="0" w:space="0" w:color="auto"/>
        <w:bottom w:val="none" w:sz="0" w:space="0" w:color="auto"/>
        <w:right w:val="none" w:sz="0" w:space="0" w:color="auto"/>
      </w:divBdr>
    </w:div>
    <w:div w:id="1011570730">
      <w:bodyDiv w:val="1"/>
      <w:marLeft w:val="0"/>
      <w:marRight w:val="0"/>
      <w:marTop w:val="0"/>
      <w:marBottom w:val="0"/>
      <w:divBdr>
        <w:top w:val="none" w:sz="0" w:space="0" w:color="auto"/>
        <w:left w:val="none" w:sz="0" w:space="0" w:color="auto"/>
        <w:bottom w:val="none" w:sz="0" w:space="0" w:color="auto"/>
        <w:right w:val="none" w:sz="0" w:space="0" w:color="auto"/>
      </w:divBdr>
    </w:div>
    <w:div w:id="1012029872">
      <w:bodyDiv w:val="1"/>
      <w:marLeft w:val="0"/>
      <w:marRight w:val="0"/>
      <w:marTop w:val="0"/>
      <w:marBottom w:val="0"/>
      <w:divBdr>
        <w:top w:val="none" w:sz="0" w:space="0" w:color="auto"/>
        <w:left w:val="none" w:sz="0" w:space="0" w:color="auto"/>
        <w:bottom w:val="none" w:sz="0" w:space="0" w:color="auto"/>
        <w:right w:val="none" w:sz="0" w:space="0" w:color="auto"/>
      </w:divBdr>
    </w:div>
    <w:div w:id="1016082588">
      <w:bodyDiv w:val="1"/>
      <w:marLeft w:val="0"/>
      <w:marRight w:val="0"/>
      <w:marTop w:val="0"/>
      <w:marBottom w:val="0"/>
      <w:divBdr>
        <w:top w:val="none" w:sz="0" w:space="0" w:color="auto"/>
        <w:left w:val="none" w:sz="0" w:space="0" w:color="auto"/>
        <w:bottom w:val="none" w:sz="0" w:space="0" w:color="auto"/>
        <w:right w:val="none" w:sz="0" w:space="0" w:color="auto"/>
      </w:divBdr>
    </w:div>
    <w:div w:id="1018048343">
      <w:bodyDiv w:val="1"/>
      <w:marLeft w:val="0"/>
      <w:marRight w:val="0"/>
      <w:marTop w:val="0"/>
      <w:marBottom w:val="0"/>
      <w:divBdr>
        <w:top w:val="none" w:sz="0" w:space="0" w:color="auto"/>
        <w:left w:val="none" w:sz="0" w:space="0" w:color="auto"/>
        <w:bottom w:val="none" w:sz="0" w:space="0" w:color="auto"/>
        <w:right w:val="none" w:sz="0" w:space="0" w:color="auto"/>
      </w:divBdr>
    </w:div>
    <w:div w:id="1030227140">
      <w:bodyDiv w:val="1"/>
      <w:marLeft w:val="0"/>
      <w:marRight w:val="0"/>
      <w:marTop w:val="0"/>
      <w:marBottom w:val="0"/>
      <w:divBdr>
        <w:top w:val="none" w:sz="0" w:space="0" w:color="auto"/>
        <w:left w:val="none" w:sz="0" w:space="0" w:color="auto"/>
        <w:bottom w:val="none" w:sz="0" w:space="0" w:color="auto"/>
        <w:right w:val="none" w:sz="0" w:space="0" w:color="auto"/>
      </w:divBdr>
    </w:div>
    <w:div w:id="1031540270">
      <w:bodyDiv w:val="1"/>
      <w:marLeft w:val="0"/>
      <w:marRight w:val="0"/>
      <w:marTop w:val="0"/>
      <w:marBottom w:val="0"/>
      <w:divBdr>
        <w:top w:val="none" w:sz="0" w:space="0" w:color="auto"/>
        <w:left w:val="none" w:sz="0" w:space="0" w:color="auto"/>
        <w:bottom w:val="none" w:sz="0" w:space="0" w:color="auto"/>
        <w:right w:val="none" w:sz="0" w:space="0" w:color="auto"/>
      </w:divBdr>
    </w:div>
    <w:div w:id="1031609775">
      <w:bodyDiv w:val="1"/>
      <w:marLeft w:val="0"/>
      <w:marRight w:val="0"/>
      <w:marTop w:val="0"/>
      <w:marBottom w:val="0"/>
      <w:divBdr>
        <w:top w:val="none" w:sz="0" w:space="0" w:color="auto"/>
        <w:left w:val="none" w:sz="0" w:space="0" w:color="auto"/>
        <w:bottom w:val="none" w:sz="0" w:space="0" w:color="auto"/>
        <w:right w:val="none" w:sz="0" w:space="0" w:color="auto"/>
      </w:divBdr>
    </w:div>
    <w:div w:id="1034883172">
      <w:bodyDiv w:val="1"/>
      <w:marLeft w:val="0"/>
      <w:marRight w:val="0"/>
      <w:marTop w:val="0"/>
      <w:marBottom w:val="0"/>
      <w:divBdr>
        <w:top w:val="none" w:sz="0" w:space="0" w:color="auto"/>
        <w:left w:val="none" w:sz="0" w:space="0" w:color="auto"/>
        <w:bottom w:val="none" w:sz="0" w:space="0" w:color="auto"/>
        <w:right w:val="none" w:sz="0" w:space="0" w:color="auto"/>
      </w:divBdr>
    </w:div>
    <w:div w:id="1037268324">
      <w:bodyDiv w:val="1"/>
      <w:marLeft w:val="0"/>
      <w:marRight w:val="0"/>
      <w:marTop w:val="0"/>
      <w:marBottom w:val="0"/>
      <w:divBdr>
        <w:top w:val="none" w:sz="0" w:space="0" w:color="auto"/>
        <w:left w:val="none" w:sz="0" w:space="0" w:color="auto"/>
        <w:bottom w:val="none" w:sz="0" w:space="0" w:color="auto"/>
        <w:right w:val="none" w:sz="0" w:space="0" w:color="auto"/>
      </w:divBdr>
    </w:div>
    <w:div w:id="1038625185">
      <w:bodyDiv w:val="1"/>
      <w:marLeft w:val="0"/>
      <w:marRight w:val="0"/>
      <w:marTop w:val="0"/>
      <w:marBottom w:val="0"/>
      <w:divBdr>
        <w:top w:val="none" w:sz="0" w:space="0" w:color="auto"/>
        <w:left w:val="none" w:sz="0" w:space="0" w:color="auto"/>
        <w:bottom w:val="none" w:sz="0" w:space="0" w:color="auto"/>
        <w:right w:val="none" w:sz="0" w:space="0" w:color="auto"/>
      </w:divBdr>
    </w:div>
    <w:div w:id="1038702552">
      <w:bodyDiv w:val="1"/>
      <w:marLeft w:val="0"/>
      <w:marRight w:val="0"/>
      <w:marTop w:val="0"/>
      <w:marBottom w:val="0"/>
      <w:divBdr>
        <w:top w:val="none" w:sz="0" w:space="0" w:color="auto"/>
        <w:left w:val="none" w:sz="0" w:space="0" w:color="auto"/>
        <w:bottom w:val="none" w:sz="0" w:space="0" w:color="auto"/>
        <w:right w:val="none" w:sz="0" w:space="0" w:color="auto"/>
      </w:divBdr>
    </w:div>
    <w:div w:id="1040132955">
      <w:bodyDiv w:val="1"/>
      <w:marLeft w:val="0"/>
      <w:marRight w:val="0"/>
      <w:marTop w:val="0"/>
      <w:marBottom w:val="0"/>
      <w:divBdr>
        <w:top w:val="none" w:sz="0" w:space="0" w:color="auto"/>
        <w:left w:val="none" w:sz="0" w:space="0" w:color="auto"/>
        <w:bottom w:val="none" w:sz="0" w:space="0" w:color="auto"/>
        <w:right w:val="none" w:sz="0" w:space="0" w:color="auto"/>
      </w:divBdr>
    </w:div>
    <w:div w:id="1043988989">
      <w:bodyDiv w:val="1"/>
      <w:marLeft w:val="0"/>
      <w:marRight w:val="0"/>
      <w:marTop w:val="0"/>
      <w:marBottom w:val="0"/>
      <w:divBdr>
        <w:top w:val="none" w:sz="0" w:space="0" w:color="auto"/>
        <w:left w:val="none" w:sz="0" w:space="0" w:color="auto"/>
        <w:bottom w:val="none" w:sz="0" w:space="0" w:color="auto"/>
        <w:right w:val="none" w:sz="0" w:space="0" w:color="auto"/>
      </w:divBdr>
    </w:div>
    <w:div w:id="1044328056">
      <w:bodyDiv w:val="1"/>
      <w:marLeft w:val="0"/>
      <w:marRight w:val="0"/>
      <w:marTop w:val="0"/>
      <w:marBottom w:val="0"/>
      <w:divBdr>
        <w:top w:val="none" w:sz="0" w:space="0" w:color="auto"/>
        <w:left w:val="none" w:sz="0" w:space="0" w:color="auto"/>
        <w:bottom w:val="none" w:sz="0" w:space="0" w:color="auto"/>
        <w:right w:val="none" w:sz="0" w:space="0" w:color="auto"/>
      </w:divBdr>
    </w:div>
    <w:div w:id="1048183575">
      <w:bodyDiv w:val="1"/>
      <w:marLeft w:val="0"/>
      <w:marRight w:val="0"/>
      <w:marTop w:val="0"/>
      <w:marBottom w:val="0"/>
      <w:divBdr>
        <w:top w:val="none" w:sz="0" w:space="0" w:color="auto"/>
        <w:left w:val="none" w:sz="0" w:space="0" w:color="auto"/>
        <w:bottom w:val="none" w:sz="0" w:space="0" w:color="auto"/>
        <w:right w:val="none" w:sz="0" w:space="0" w:color="auto"/>
      </w:divBdr>
    </w:div>
    <w:div w:id="1048997112">
      <w:bodyDiv w:val="1"/>
      <w:marLeft w:val="0"/>
      <w:marRight w:val="0"/>
      <w:marTop w:val="0"/>
      <w:marBottom w:val="0"/>
      <w:divBdr>
        <w:top w:val="none" w:sz="0" w:space="0" w:color="auto"/>
        <w:left w:val="none" w:sz="0" w:space="0" w:color="auto"/>
        <w:bottom w:val="none" w:sz="0" w:space="0" w:color="auto"/>
        <w:right w:val="none" w:sz="0" w:space="0" w:color="auto"/>
      </w:divBdr>
    </w:div>
    <w:div w:id="1055741199">
      <w:bodyDiv w:val="1"/>
      <w:marLeft w:val="0"/>
      <w:marRight w:val="0"/>
      <w:marTop w:val="0"/>
      <w:marBottom w:val="0"/>
      <w:divBdr>
        <w:top w:val="none" w:sz="0" w:space="0" w:color="auto"/>
        <w:left w:val="none" w:sz="0" w:space="0" w:color="auto"/>
        <w:bottom w:val="none" w:sz="0" w:space="0" w:color="auto"/>
        <w:right w:val="none" w:sz="0" w:space="0" w:color="auto"/>
      </w:divBdr>
    </w:div>
    <w:div w:id="1068579619">
      <w:bodyDiv w:val="1"/>
      <w:marLeft w:val="0"/>
      <w:marRight w:val="0"/>
      <w:marTop w:val="0"/>
      <w:marBottom w:val="0"/>
      <w:divBdr>
        <w:top w:val="none" w:sz="0" w:space="0" w:color="auto"/>
        <w:left w:val="none" w:sz="0" w:space="0" w:color="auto"/>
        <w:bottom w:val="none" w:sz="0" w:space="0" w:color="auto"/>
        <w:right w:val="none" w:sz="0" w:space="0" w:color="auto"/>
      </w:divBdr>
    </w:div>
    <w:div w:id="1070346600">
      <w:bodyDiv w:val="1"/>
      <w:marLeft w:val="0"/>
      <w:marRight w:val="0"/>
      <w:marTop w:val="0"/>
      <w:marBottom w:val="0"/>
      <w:divBdr>
        <w:top w:val="none" w:sz="0" w:space="0" w:color="auto"/>
        <w:left w:val="none" w:sz="0" w:space="0" w:color="auto"/>
        <w:bottom w:val="none" w:sz="0" w:space="0" w:color="auto"/>
        <w:right w:val="none" w:sz="0" w:space="0" w:color="auto"/>
      </w:divBdr>
    </w:div>
    <w:div w:id="1071586302">
      <w:bodyDiv w:val="1"/>
      <w:marLeft w:val="0"/>
      <w:marRight w:val="0"/>
      <w:marTop w:val="0"/>
      <w:marBottom w:val="0"/>
      <w:divBdr>
        <w:top w:val="none" w:sz="0" w:space="0" w:color="auto"/>
        <w:left w:val="none" w:sz="0" w:space="0" w:color="auto"/>
        <w:bottom w:val="none" w:sz="0" w:space="0" w:color="auto"/>
        <w:right w:val="none" w:sz="0" w:space="0" w:color="auto"/>
      </w:divBdr>
    </w:div>
    <w:div w:id="1073970707">
      <w:bodyDiv w:val="1"/>
      <w:marLeft w:val="0"/>
      <w:marRight w:val="0"/>
      <w:marTop w:val="0"/>
      <w:marBottom w:val="0"/>
      <w:divBdr>
        <w:top w:val="none" w:sz="0" w:space="0" w:color="auto"/>
        <w:left w:val="none" w:sz="0" w:space="0" w:color="auto"/>
        <w:bottom w:val="none" w:sz="0" w:space="0" w:color="auto"/>
        <w:right w:val="none" w:sz="0" w:space="0" w:color="auto"/>
      </w:divBdr>
    </w:div>
    <w:div w:id="1074354346">
      <w:bodyDiv w:val="1"/>
      <w:marLeft w:val="0"/>
      <w:marRight w:val="0"/>
      <w:marTop w:val="0"/>
      <w:marBottom w:val="0"/>
      <w:divBdr>
        <w:top w:val="none" w:sz="0" w:space="0" w:color="auto"/>
        <w:left w:val="none" w:sz="0" w:space="0" w:color="auto"/>
        <w:bottom w:val="none" w:sz="0" w:space="0" w:color="auto"/>
        <w:right w:val="none" w:sz="0" w:space="0" w:color="auto"/>
      </w:divBdr>
    </w:div>
    <w:div w:id="1079641864">
      <w:bodyDiv w:val="1"/>
      <w:marLeft w:val="0"/>
      <w:marRight w:val="0"/>
      <w:marTop w:val="0"/>
      <w:marBottom w:val="0"/>
      <w:divBdr>
        <w:top w:val="none" w:sz="0" w:space="0" w:color="auto"/>
        <w:left w:val="none" w:sz="0" w:space="0" w:color="auto"/>
        <w:bottom w:val="none" w:sz="0" w:space="0" w:color="auto"/>
        <w:right w:val="none" w:sz="0" w:space="0" w:color="auto"/>
      </w:divBdr>
    </w:div>
    <w:div w:id="1082024902">
      <w:bodyDiv w:val="1"/>
      <w:marLeft w:val="0"/>
      <w:marRight w:val="0"/>
      <w:marTop w:val="0"/>
      <w:marBottom w:val="0"/>
      <w:divBdr>
        <w:top w:val="none" w:sz="0" w:space="0" w:color="auto"/>
        <w:left w:val="none" w:sz="0" w:space="0" w:color="auto"/>
        <w:bottom w:val="none" w:sz="0" w:space="0" w:color="auto"/>
        <w:right w:val="none" w:sz="0" w:space="0" w:color="auto"/>
      </w:divBdr>
    </w:div>
    <w:div w:id="1087729894">
      <w:bodyDiv w:val="1"/>
      <w:marLeft w:val="0"/>
      <w:marRight w:val="0"/>
      <w:marTop w:val="0"/>
      <w:marBottom w:val="0"/>
      <w:divBdr>
        <w:top w:val="none" w:sz="0" w:space="0" w:color="auto"/>
        <w:left w:val="none" w:sz="0" w:space="0" w:color="auto"/>
        <w:bottom w:val="none" w:sz="0" w:space="0" w:color="auto"/>
        <w:right w:val="none" w:sz="0" w:space="0" w:color="auto"/>
      </w:divBdr>
    </w:div>
    <w:div w:id="1096097473">
      <w:bodyDiv w:val="1"/>
      <w:marLeft w:val="0"/>
      <w:marRight w:val="0"/>
      <w:marTop w:val="0"/>
      <w:marBottom w:val="0"/>
      <w:divBdr>
        <w:top w:val="none" w:sz="0" w:space="0" w:color="auto"/>
        <w:left w:val="none" w:sz="0" w:space="0" w:color="auto"/>
        <w:bottom w:val="none" w:sz="0" w:space="0" w:color="auto"/>
        <w:right w:val="none" w:sz="0" w:space="0" w:color="auto"/>
      </w:divBdr>
    </w:div>
    <w:div w:id="1100031412">
      <w:bodyDiv w:val="1"/>
      <w:marLeft w:val="0"/>
      <w:marRight w:val="0"/>
      <w:marTop w:val="0"/>
      <w:marBottom w:val="0"/>
      <w:divBdr>
        <w:top w:val="none" w:sz="0" w:space="0" w:color="auto"/>
        <w:left w:val="none" w:sz="0" w:space="0" w:color="auto"/>
        <w:bottom w:val="none" w:sz="0" w:space="0" w:color="auto"/>
        <w:right w:val="none" w:sz="0" w:space="0" w:color="auto"/>
      </w:divBdr>
    </w:div>
    <w:div w:id="1107315776">
      <w:bodyDiv w:val="1"/>
      <w:marLeft w:val="0"/>
      <w:marRight w:val="0"/>
      <w:marTop w:val="0"/>
      <w:marBottom w:val="0"/>
      <w:divBdr>
        <w:top w:val="none" w:sz="0" w:space="0" w:color="auto"/>
        <w:left w:val="none" w:sz="0" w:space="0" w:color="auto"/>
        <w:bottom w:val="none" w:sz="0" w:space="0" w:color="auto"/>
        <w:right w:val="none" w:sz="0" w:space="0" w:color="auto"/>
      </w:divBdr>
    </w:div>
    <w:div w:id="1115516134">
      <w:bodyDiv w:val="1"/>
      <w:marLeft w:val="0"/>
      <w:marRight w:val="0"/>
      <w:marTop w:val="0"/>
      <w:marBottom w:val="0"/>
      <w:divBdr>
        <w:top w:val="none" w:sz="0" w:space="0" w:color="auto"/>
        <w:left w:val="none" w:sz="0" w:space="0" w:color="auto"/>
        <w:bottom w:val="none" w:sz="0" w:space="0" w:color="auto"/>
        <w:right w:val="none" w:sz="0" w:space="0" w:color="auto"/>
      </w:divBdr>
    </w:div>
    <w:div w:id="1121650626">
      <w:bodyDiv w:val="1"/>
      <w:marLeft w:val="0"/>
      <w:marRight w:val="0"/>
      <w:marTop w:val="0"/>
      <w:marBottom w:val="0"/>
      <w:divBdr>
        <w:top w:val="none" w:sz="0" w:space="0" w:color="auto"/>
        <w:left w:val="none" w:sz="0" w:space="0" w:color="auto"/>
        <w:bottom w:val="none" w:sz="0" w:space="0" w:color="auto"/>
        <w:right w:val="none" w:sz="0" w:space="0" w:color="auto"/>
      </w:divBdr>
    </w:div>
    <w:div w:id="1125006062">
      <w:bodyDiv w:val="1"/>
      <w:marLeft w:val="0"/>
      <w:marRight w:val="0"/>
      <w:marTop w:val="0"/>
      <w:marBottom w:val="0"/>
      <w:divBdr>
        <w:top w:val="none" w:sz="0" w:space="0" w:color="auto"/>
        <w:left w:val="none" w:sz="0" w:space="0" w:color="auto"/>
        <w:bottom w:val="none" w:sz="0" w:space="0" w:color="auto"/>
        <w:right w:val="none" w:sz="0" w:space="0" w:color="auto"/>
      </w:divBdr>
    </w:div>
    <w:div w:id="1126654025">
      <w:bodyDiv w:val="1"/>
      <w:marLeft w:val="0"/>
      <w:marRight w:val="0"/>
      <w:marTop w:val="0"/>
      <w:marBottom w:val="0"/>
      <w:divBdr>
        <w:top w:val="none" w:sz="0" w:space="0" w:color="auto"/>
        <w:left w:val="none" w:sz="0" w:space="0" w:color="auto"/>
        <w:bottom w:val="none" w:sz="0" w:space="0" w:color="auto"/>
        <w:right w:val="none" w:sz="0" w:space="0" w:color="auto"/>
      </w:divBdr>
    </w:div>
    <w:div w:id="1129083166">
      <w:bodyDiv w:val="1"/>
      <w:marLeft w:val="0"/>
      <w:marRight w:val="0"/>
      <w:marTop w:val="0"/>
      <w:marBottom w:val="0"/>
      <w:divBdr>
        <w:top w:val="none" w:sz="0" w:space="0" w:color="auto"/>
        <w:left w:val="none" w:sz="0" w:space="0" w:color="auto"/>
        <w:bottom w:val="none" w:sz="0" w:space="0" w:color="auto"/>
        <w:right w:val="none" w:sz="0" w:space="0" w:color="auto"/>
      </w:divBdr>
    </w:div>
    <w:div w:id="1133643571">
      <w:bodyDiv w:val="1"/>
      <w:marLeft w:val="0"/>
      <w:marRight w:val="0"/>
      <w:marTop w:val="0"/>
      <w:marBottom w:val="0"/>
      <w:divBdr>
        <w:top w:val="none" w:sz="0" w:space="0" w:color="auto"/>
        <w:left w:val="none" w:sz="0" w:space="0" w:color="auto"/>
        <w:bottom w:val="none" w:sz="0" w:space="0" w:color="auto"/>
        <w:right w:val="none" w:sz="0" w:space="0" w:color="auto"/>
      </w:divBdr>
    </w:div>
    <w:div w:id="1134256871">
      <w:bodyDiv w:val="1"/>
      <w:marLeft w:val="0"/>
      <w:marRight w:val="0"/>
      <w:marTop w:val="0"/>
      <w:marBottom w:val="0"/>
      <w:divBdr>
        <w:top w:val="none" w:sz="0" w:space="0" w:color="auto"/>
        <w:left w:val="none" w:sz="0" w:space="0" w:color="auto"/>
        <w:bottom w:val="none" w:sz="0" w:space="0" w:color="auto"/>
        <w:right w:val="none" w:sz="0" w:space="0" w:color="auto"/>
      </w:divBdr>
    </w:div>
    <w:div w:id="1145122723">
      <w:bodyDiv w:val="1"/>
      <w:marLeft w:val="0"/>
      <w:marRight w:val="0"/>
      <w:marTop w:val="0"/>
      <w:marBottom w:val="0"/>
      <w:divBdr>
        <w:top w:val="none" w:sz="0" w:space="0" w:color="auto"/>
        <w:left w:val="none" w:sz="0" w:space="0" w:color="auto"/>
        <w:bottom w:val="none" w:sz="0" w:space="0" w:color="auto"/>
        <w:right w:val="none" w:sz="0" w:space="0" w:color="auto"/>
      </w:divBdr>
    </w:div>
    <w:div w:id="1146164506">
      <w:bodyDiv w:val="1"/>
      <w:marLeft w:val="0"/>
      <w:marRight w:val="0"/>
      <w:marTop w:val="0"/>
      <w:marBottom w:val="0"/>
      <w:divBdr>
        <w:top w:val="none" w:sz="0" w:space="0" w:color="auto"/>
        <w:left w:val="none" w:sz="0" w:space="0" w:color="auto"/>
        <w:bottom w:val="none" w:sz="0" w:space="0" w:color="auto"/>
        <w:right w:val="none" w:sz="0" w:space="0" w:color="auto"/>
      </w:divBdr>
    </w:div>
    <w:div w:id="1156071420">
      <w:bodyDiv w:val="1"/>
      <w:marLeft w:val="0"/>
      <w:marRight w:val="0"/>
      <w:marTop w:val="0"/>
      <w:marBottom w:val="0"/>
      <w:divBdr>
        <w:top w:val="none" w:sz="0" w:space="0" w:color="auto"/>
        <w:left w:val="none" w:sz="0" w:space="0" w:color="auto"/>
        <w:bottom w:val="none" w:sz="0" w:space="0" w:color="auto"/>
        <w:right w:val="none" w:sz="0" w:space="0" w:color="auto"/>
      </w:divBdr>
    </w:div>
    <w:div w:id="1159687204">
      <w:bodyDiv w:val="1"/>
      <w:marLeft w:val="0"/>
      <w:marRight w:val="0"/>
      <w:marTop w:val="0"/>
      <w:marBottom w:val="0"/>
      <w:divBdr>
        <w:top w:val="none" w:sz="0" w:space="0" w:color="auto"/>
        <w:left w:val="none" w:sz="0" w:space="0" w:color="auto"/>
        <w:bottom w:val="none" w:sz="0" w:space="0" w:color="auto"/>
        <w:right w:val="none" w:sz="0" w:space="0" w:color="auto"/>
      </w:divBdr>
    </w:div>
    <w:div w:id="1162892603">
      <w:bodyDiv w:val="1"/>
      <w:marLeft w:val="0"/>
      <w:marRight w:val="0"/>
      <w:marTop w:val="0"/>
      <w:marBottom w:val="0"/>
      <w:divBdr>
        <w:top w:val="none" w:sz="0" w:space="0" w:color="auto"/>
        <w:left w:val="none" w:sz="0" w:space="0" w:color="auto"/>
        <w:bottom w:val="none" w:sz="0" w:space="0" w:color="auto"/>
        <w:right w:val="none" w:sz="0" w:space="0" w:color="auto"/>
      </w:divBdr>
    </w:div>
    <w:div w:id="1172986871">
      <w:bodyDiv w:val="1"/>
      <w:marLeft w:val="0"/>
      <w:marRight w:val="0"/>
      <w:marTop w:val="0"/>
      <w:marBottom w:val="0"/>
      <w:divBdr>
        <w:top w:val="none" w:sz="0" w:space="0" w:color="auto"/>
        <w:left w:val="none" w:sz="0" w:space="0" w:color="auto"/>
        <w:bottom w:val="none" w:sz="0" w:space="0" w:color="auto"/>
        <w:right w:val="none" w:sz="0" w:space="0" w:color="auto"/>
      </w:divBdr>
    </w:div>
    <w:div w:id="1175144167">
      <w:bodyDiv w:val="1"/>
      <w:marLeft w:val="0"/>
      <w:marRight w:val="0"/>
      <w:marTop w:val="0"/>
      <w:marBottom w:val="0"/>
      <w:divBdr>
        <w:top w:val="none" w:sz="0" w:space="0" w:color="auto"/>
        <w:left w:val="none" w:sz="0" w:space="0" w:color="auto"/>
        <w:bottom w:val="none" w:sz="0" w:space="0" w:color="auto"/>
        <w:right w:val="none" w:sz="0" w:space="0" w:color="auto"/>
      </w:divBdr>
    </w:div>
    <w:div w:id="1176460440">
      <w:bodyDiv w:val="1"/>
      <w:marLeft w:val="0"/>
      <w:marRight w:val="0"/>
      <w:marTop w:val="0"/>
      <w:marBottom w:val="0"/>
      <w:divBdr>
        <w:top w:val="none" w:sz="0" w:space="0" w:color="auto"/>
        <w:left w:val="none" w:sz="0" w:space="0" w:color="auto"/>
        <w:bottom w:val="none" w:sz="0" w:space="0" w:color="auto"/>
        <w:right w:val="none" w:sz="0" w:space="0" w:color="auto"/>
      </w:divBdr>
    </w:div>
    <w:div w:id="1180196272">
      <w:bodyDiv w:val="1"/>
      <w:marLeft w:val="0"/>
      <w:marRight w:val="0"/>
      <w:marTop w:val="0"/>
      <w:marBottom w:val="0"/>
      <w:divBdr>
        <w:top w:val="none" w:sz="0" w:space="0" w:color="auto"/>
        <w:left w:val="none" w:sz="0" w:space="0" w:color="auto"/>
        <w:bottom w:val="none" w:sz="0" w:space="0" w:color="auto"/>
        <w:right w:val="none" w:sz="0" w:space="0" w:color="auto"/>
      </w:divBdr>
    </w:div>
    <w:div w:id="1183284672">
      <w:bodyDiv w:val="1"/>
      <w:marLeft w:val="0"/>
      <w:marRight w:val="0"/>
      <w:marTop w:val="0"/>
      <w:marBottom w:val="0"/>
      <w:divBdr>
        <w:top w:val="none" w:sz="0" w:space="0" w:color="auto"/>
        <w:left w:val="none" w:sz="0" w:space="0" w:color="auto"/>
        <w:bottom w:val="none" w:sz="0" w:space="0" w:color="auto"/>
        <w:right w:val="none" w:sz="0" w:space="0" w:color="auto"/>
      </w:divBdr>
    </w:div>
    <w:div w:id="1185632402">
      <w:bodyDiv w:val="1"/>
      <w:marLeft w:val="0"/>
      <w:marRight w:val="0"/>
      <w:marTop w:val="0"/>
      <w:marBottom w:val="0"/>
      <w:divBdr>
        <w:top w:val="none" w:sz="0" w:space="0" w:color="auto"/>
        <w:left w:val="none" w:sz="0" w:space="0" w:color="auto"/>
        <w:bottom w:val="none" w:sz="0" w:space="0" w:color="auto"/>
        <w:right w:val="none" w:sz="0" w:space="0" w:color="auto"/>
      </w:divBdr>
    </w:div>
    <w:div w:id="1190334647">
      <w:bodyDiv w:val="1"/>
      <w:marLeft w:val="0"/>
      <w:marRight w:val="0"/>
      <w:marTop w:val="0"/>
      <w:marBottom w:val="0"/>
      <w:divBdr>
        <w:top w:val="none" w:sz="0" w:space="0" w:color="auto"/>
        <w:left w:val="none" w:sz="0" w:space="0" w:color="auto"/>
        <w:bottom w:val="none" w:sz="0" w:space="0" w:color="auto"/>
        <w:right w:val="none" w:sz="0" w:space="0" w:color="auto"/>
      </w:divBdr>
    </w:div>
    <w:div w:id="1192261536">
      <w:bodyDiv w:val="1"/>
      <w:marLeft w:val="0"/>
      <w:marRight w:val="0"/>
      <w:marTop w:val="0"/>
      <w:marBottom w:val="0"/>
      <w:divBdr>
        <w:top w:val="none" w:sz="0" w:space="0" w:color="auto"/>
        <w:left w:val="none" w:sz="0" w:space="0" w:color="auto"/>
        <w:bottom w:val="none" w:sz="0" w:space="0" w:color="auto"/>
        <w:right w:val="none" w:sz="0" w:space="0" w:color="auto"/>
      </w:divBdr>
    </w:div>
    <w:div w:id="1196624379">
      <w:bodyDiv w:val="1"/>
      <w:marLeft w:val="0"/>
      <w:marRight w:val="0"/>
      <w:marTop w:val="0"/>
      <w:marBottom w:val="0"/>
      <w:divBdr>
        <w:top w:val="none" w:sz="0" w:space="0" w:color="auto"/>
        <w:left w:val="none" w:sz="0" w:space="0" w:color="auto"/>
        <w:bottom w:val="none" w:sz="0" w:space="0" w:color="auto"/>
        <w:right w:val="none" w:sz="0" w:space="0" w:color="auto"/>
      </w:divBdr>
    </w:div>
    <w:div w:id="1197545301">
      <w:bodyDiv w:val="1"/>
      <w:marLeft w:val="0"/>
      <w:marRight w:val="0"/>
      <w:marTop w:val="0"/>
      <w:marBottom w:val="0"/>
      <w:divBdr>
        <w:top w:val="none" w:sz="0" w:space="0" w:color="auto"/>
        <w:left w:val="none" w:sz="0" w:space="0" w:color="auto"/>
        <w:bottom w:val="none" w:sz="0" w:space="0" w:color="auto"/>
        <w:right w:val="none" w:sz="0" w:space="0" w:color="auto"/>
      </w:divBdr>
    </w:div>
    <w:div w:id="1199009603">
      <w:bodyDiv w:val="1"/>
      <w:marLeft w:val="0"/>
      <w:marRight w:val="0"/>
      <w:marTop w:val="0"/>
      <w:marBottom w:val="0"/>
      <w:divBdr>
        <w:top w:val="none" w:sz="0" w:space="0" w:color="auto"/>
        <w:left w:val="none" w:sz="0" w:space="0" w:color="auto"/>
        <w:bottom w:val="none" w:sz="0" w:space="0" w:color="auto"/>
        <w:right w:val="none" w:sz="0" w:space="0" w:color="auto"/>
      </w:divBdr>
    </w:div>
    <w:div w:id="1204905774">
      <w:bodyDiv w:val="1"/>
      <w:marLeft w:val="0"/>
      <w:marRight w:val="0"/>
      <w:marTop w:val="0"/>
      <w:marBottom w:val="0"/>
      <w:divBdr>
        <w:top w:val="none" w:sz="0" w:space="0" w:color="auto"/>
        <w:left w:val="none" w:sz="0" w:space="0" w:color="auto"/>
        <w:bottom w:val="none" w:sz="0" w:space="0" w:color="auto"/>
        <w:right w:val="none" w:sz="0" w:space="0" w:color="auto"/>
      </w:divBdr>
    </w:div>
    <w:div w:id="1209075193">
      <w:bodyDiv w:val="1"/>
      <w:marLeft w:val="0"/>
      <w:marRight w:val="0"/>
      <w:marTop w:val="0"/>
      <w:marBottom w:val="0"/>
      <w:divBdr>
        <w:top w:val="none" w:sz="0" w:space="0" w:color="auto"/>
        <w:left w:val="none" w:sz="0" w:space="0" w:color="auto"/>
        <w:bottom w:val="none" w:sz="0" w:space="0" w:color="auto"/>
        <w:right w:val="none" w:sz="0" w:space="0" w:color="auto"/>
      </w:divBdr>
    </w:div>
    <w:div w:id="1209993349">
      <w:bodyDiv w:val="1"/>
      <w:marLeft w:val="0"/>
      <w:marRight w:val="0"/>
      <w:marTop w:val="0"/>
      <w:marBottom w:val="0"/>
      <w:divBdr>
        <w:top w:val="none" w:sz="0" w:space="0" w:color="auto"/>
        <w:left w:val="none" w:sz="0" w:space="0" w:color="auto"/>
        <w:bottom w:val="none" w:sz="0" w:space="0" w:color="auto"/>
        <w:right w:val="none" w:sz="0" w:space="0" w:color="auto"/>
      </w:divBdr>
    </w:div>
    <w:div w:id="1211264807">
      <w:bodyDiv w:val="1"/>
      <w:marLeft w:val="0"/>
      <w:marRight w:val="0"/>
      <w:marTop w:val="0"/>
      <w:marBottom w:val="0"/>
      <w:divBdr>
        <w:top w:val="none" w:sz="0" w:space="0" w:color="auto"/>
        <w:left w:val="none" w:sz="0" w:space="0" w:color="auto"/>
        <w:bottom w:val="none" w:sz="0" w:space="0" w:color="auto"/>
        <w:right w:val="none" w:sz="0" w:space="0" w:color="auto"/>
      </w:divBdr>
    </w:div>
    <w:div w:id="1212350950">
      <w:bodyDiv w:val="1"/>
      <w:marLeft w:val="0"/>
      <w:marRight w:val="0"/>
      <w:marTop w:val="0"/>
      <w:marBottom w:val="0"/>
      <w:divBdr>
        <w:top w:val="none" w:sz="0" w:space="0" w:color="auto"/>
        <w:left w:val="none" w:sz="0" w:space="0" w:color="auto"/>
        <w:bottom w:val="none" w:sz="0" w:space="0" w:color="auto"/>
        <w:right w:val="none" w:sz="0" w:space="0" w:color="auto"/>
      </w:divBdr>
    </w:div>
    <w:div w:id="1225990011">
      <w:bodyDiv w:val="1"/>
      <w:marLeft w:val="0"/>
      <w:marRight w:val="0"/>
      <w:marTop w:val="0"/>
      <w:marBottom w:val="0"/>
      <w:divBdr>
        <w:top w:val="none" w:sz="0" w:space="0" w:color="auto"/>
        <w:left w:val="none" w:sz="0" w:space="0" w:color="auto"/>
        <w:bottom w:val="none" w:sz="0" w:space="0" w:color="auto"/>
        <w:right w:val="none" w:sz="0" w:space="0" w:color="auto"/>
      </w:divBdr>
    </w:div>
    <w:div w:id="1227573206">
      <w:bodyDiv w:val="1"/>
      <w:marLeft w:val="0"/>
      <w:marRight w:val="0"/>
      <w:marTop w:val="0"/>
      <w:marBottom w:val="0"/>
      <w:divBdr>
        <w:top w:val="none" w:sz="0" w:space="0" w:color="auto"/>
        <w:left w:val="none" w:sz="0" w:space="0" w:color="auto"/>
        <w:bottom w:val="none" w:sz="0" w:space="0" w:color="auto"/>
        <w:right w:val="none" w:sz="0" w:space="0" w:color="auto"/>
      </w:divBdr>
    </w:div>
    <w:div w:id="1227842433">
      <w:bodyDiv w:val="1"/>
      <w:marLeft w:val="0"/>
      <w:marRight w:val="0"/>
      <w:marTop w:val="0"/>
      <w:marBottom w:val="0"/>
      <w:divBdr>
        <w:top w:val="none" w:sz="0" w:space="0" w:color="auto"/>
        <w:left w:val="none" w:sz="0" w:space="0" w:color="auto"/>
        <w:bottom w:val="none" w:sz="0" w:space="0" w:color="auto"/>
        <w:right w:val="none" w:sz="0" w:space="0" w:color="auto"/>
      </w:divBdr>
    </w:div>
    <w:div w:id="1228957007">
      <w:bodyDiv w:val="1"/>
      <w:marLeft w:val="0"/>
      <w:marRight w:val="0"/>
      <w:marTop w:val="0"/>
      <w:marBottom w:val="0"/>
      <w:divBdr>
        <w:top w:val="none" w:sz="0" w:space="0" w:color="auto"/>
        <w:left w:val="none" w:sz="0" w:space="0" w:color="auto"/>
        <w:bottom w:val="none" w:sz="0" w:space="0" w:color="auto"/>
        <w:right w:val="none" w:sz="0" w:space="0" w:color="auto"/>
      </w:divBdr>
    </w:div>
    <w:div w:id="1237206572">
      <w:bodyDiv w:val="1"/>
      <w:marLeft w:val="0"/>
      <w:marRight w:val="0"/>
      <w:marTop w:val="0"/>
      <w:marBottom w:val="0"/>
      <w:divBdr>
        <w:top w:val="none" w:sz="0" w:space="0" w:color="auto"/>
        <w:left w:val="none" w:sz="0" w:space="0" w:color="auto"/>
        <w:bottom w:val="none" w:sz="0" w:space="0" w:color="auto"/>
        <w:right w:val="none" w:sz="0" w:space="0" w:color="auto"/>
      </w:divBdr>
    </w:div>
    <w:div w:id="1239091903">
      <w:bodyDiv w:val="1"/>
      <w:marLeft w:val="0"/>
      <w:marRight w:val="0"/>
      <w:marTop w:val="0"/>
      <w:marBottom w:val="0"/>
      <w:divBdr>
        <w:top w:val="none" w:sz="0" w:space="0" w:color="auto"/>
        <w:left w:val="none" w:sz="0" w:space="0" w:color="auto"/>
        <w:bottom w:val="none" w:sz="0" w:space="0" w:color="auto"/>
        <w:right w:val="none" w:sz="0" w:space="0" w:color="auto"/>
      </w:divBdr>
    </w:div>
    <w:div w:id="1240481281">
      <w:bodyDiv w:val="1"/>
      <w:marLeft w:val="0"/>
      <w:marRight w:val="0"/>
      <w:marTop w:val="0"/>
      <w:marBottom w:val="0"/>
      <w:divBdr>
        <w:top w:val="none" w:sz="0" w:space="0" w:color="auto"/>
        <w:left w:val="none" w:sz="0" w:space="0" w:color="auto"/>
        <w:bottom w:val="none" w:sz="0" w:space="0" w:color="auto"/>
        <w:right w:val="none" w:sz="0" w:space="0" w:color="auto"/>
      </w:divBdr>
    </w:div>
    <w:div w:id="1241520519">
      <w:bodyDiv w:val="1"/>
      <w:marLeft w:val="0"/>
      <w:marRight w:val="0"/>
      <w:marTop w:val="0"/>
      <w:marBottom w:val="0"/>
      <w:divBdr>
        <w:top w:val="none" w:sz="0" w:space="0" w:color="auto"/>
        <w:left w:val="none" w:sz="0" w:space="0" w:color="auto"/>
        <w:bottom w:val="none" w:sz="0" w:space="0" w:color="auto"/>
        <w:right w:val="none" w:sz="0" w:space="0" w:color="auto"/>
      </w:divBdr>
    </w:div>
    <w:div w:id="1250506323">
      <w:bodyDiv w:val="1"/>
      <w:marLeft w:val="0"/>
      <w:marRight w:val="0"/>
      <w:marTop w:val="0"/>
      <w:marBottom w:val="0"/>
      <w:divBdr>
        <w:top w:val="none" w:sz="0" w:space="0" w:color="auto"/>
        <w:left w:val="none" w:sz="0" w:space="0" w:color="auto"/>
        <w:bottom w:val="none" w:sz="0" w:space="0" w:color="auto"/>
        <w:right w:val="none" w:sz="0" w:space="0" w:color="auto"/>
      </w:divBdr>
    </w:div>
    <w:div w:id="1252661517">
      <w:bodyDiv w:val="1"/>
      <w:marLeft w:val="0"/>
      <w:marRight w:val="0"/>
      <w:marTop w:val="0"/>
      <w:marBottom w:val="0"/>
      <w:divBdr>
        <w:top w:val="none" w:sz="0" w:space="0" w:color="auto"/>
        <w:left w:val="none" w:sz="0" w:space="0" w:color="auto"/>
        <w:bottom w:val="none" w:sz="0" w:space="0" w:color="auto"/>
        <w:right w:val="none" w:sz="0" w:space="0" w:color="auto"/>
      </w:divBdr>
    </w:div>
    <w:div w:id="1258708247">
      <w:bodyDiv w:val="1"/>
      <w:marLeft w:val="0"/>
      <w:marRight w:val="0"/>
      <w:marTop w:val="0"/>
      <w:marBottom w:val="0"/>
      <w:divBdr>
        <w:top w:val="none" w:sz="0" w:space="0" w:color="auto"/>
        <w:left w:val="none" w:sz="0" w:space="0" w:color="auto"/>
        <w:bottom w:val="none" w:sz="0" w:space="0" w:color="auto"/>
        <w:right w:val="none" w:sz="0" w:space="0" w:color="auto"/>
      </w:divBdr>
    </w:div>
    <w:div w:id="1259871319">
      <w:bodyDiv w:val="1"/>
      <w:marLeft w:val="0"/>
      <w:marRight w:val="0"/>
      <w:marTop w:val="0"/>
      <w:marBottom w:val="0"/>
      <w:divBdr>
        <w:top w:val="none" w:sz="0" w:space="0" w:color="auto"/>
        <w:left w:val="none" w:sz="0" w:space="0" w:color="auto"/>
        <w:bottom w:val="none" w:sz="0" w:space="0" w:color="auto"/>
        <w:right w:val="none" w:sz="0" w:space="0" w:color="auto"/>
      </w:divBdr>
    </w:div>
    <w:div w:id="1263800780">
      <w:bodyDiv w:val="1"/>
      <w:marLeft w:val="0"/>
      <w:marRight w:val="0"/>
      <w:marTop w:val="0"/>
      <w:marBottom w:val="0"/>
      <w:divBdr>
        <w:top w:val="none" w:sz="0" w:space="0" w:color="auto"/>
        <w:left w:val="none" w:sz="0" w:space="0" w:color="auto"/>
        <w:bottom w:val="none" w:sz="0" w:space="0" w:color="auto"/>
        <w:right w:val="none" w:sz="0" w:space="0" w:color="auto"/>
      </w:divBdr>
    </w:div>
    <w:div w:id="1269898357">
      <w:bodyDiv w:val="1"/>
      <w:marLeft w:val="0"/>
      <w:marRight w:val="0"/>
      <w:marTop w:val="0"/>
      <w:marBottom w:val="0"/>
      <w:divBdr>
        <w:top w:val="none" w:sz="0" w:space="0" w:color="auto"/>
        <w:left w:val="none" w:sz="0" w:space="0" w:color="auto"/>
        <w:bottom w:val="none" w:sz="0" w:space="0" w:color="auto"/>
        <w:right w:val="none" w:sz="0" w:space="0" w:color="auto"/>
      </w:divBdr>
    </w:div>
    <w:div w:id="1273047654">
      <w:bodyDiv w:val="1"/>
      <w:marLeft w:val="0"/>
      <w:marRight w:val="0"/>
      <w:marTop w:val="0"/>
      <w:marBottom w:val="0"/>
      <w:divBdr>
        <w:top w:val="none" w:sz="0" w:space="0" w:color="auto"/>
        <w:left w:val="none" w:sz="0" w:space="0" w:color="auto"/>
        <w:bottom w:val="none" w:sz="0" w:space="0" w:color="auto"/>
        <w:right w:val="none" w:sz="0" w:space="0" w:color="auto"/>
      </w:divBdr>
    </w:div>
    <w:div w:id="1276398924">
      <w:bodyDiv w:val="1"/>
      <w:marLeft w:val="0"/>
      <w:marRight w:val="0"/>
      <w:marTop w:val="0"/>
      <w:marBottom w:val="0"/>
      <w:divBdr>
        <w:top w:val="none" w:sz="0" w:space="0" w:color="auto"/>
        <w:left w:val="none" w:sz="0" w:space="0" w:color="auto"/>
        <w:bottom w:val="none" w:sz="0" w:space="0" w:color="auto"/>
        <w:right w:val="none" w:sz="0" w:space="0" w:color="auto"/>
      </w:divBdr>
    </w:div>
    <w:div w:id="1279606257">
      <w:bodyDiv w:val="1"/>
      <w:marLeft w:val="0"/>
      <w:marRight w:val="0"/>
      <w:marTop w:val="0"/>
      <w:marBottom w:val="0"/>
      <w:divBdr>
        <w:top w:val="none" w:sz="0" w:space="0" w:color="auto"/>
        <w:left w:val="none" w:sz="0" w:space="0" w:color="auto"/>
        <w:bottom w:val="none" w:sz="0" w:space="0" w:color="auto"/>
        <w:right w:val="none" w:sz="0" w:space="0" w:color="auto"/>
      </w:divBdr>
    </w:div>
    <w:div w:id="1281566481">
      <w:bodyDiv w:val="1"/>
      <w:marLeft w:val="0"/>
      <w:marRight w:val="0"/>
      <w:marTop w:val="0"/>
      <w:marBottom w:val="0"/>
      <w:divBdr>
        <w:top w:val="none" w:sz="0" w:space="0" w:color="auto"/>
        <w:left w:val="none" w:sz="0" w:space="0" w:color="auto"/>
        <w:bottom w:val="none" w:sz="0" w:space="0" w:color="auto"/>
        <w:right w:val="none" w:sz="0" w:space="0" w:color="auto"/>
      </w:divBdr>
    </w:div>
    <w:div w:id="1285506329">
      <w:bodyDiv w:val="1"/>
      <w:marLeft w:val="0"/>
      <w:marRight w:val="0"/>
      <w:marTop w:val="0"/>
      <w:marBottom w:val="0"/>
      <w:divBdr>
        <w:top w:val="none" w:sz="0" w:space="0" w:color="auto"/>
        <w:left w:val="none" w:sz="0" w:space="0" w:color="auto"/>
        <w:bottom w:val="none" w:sz="0" w:space="0" w:color="auto"/>
        <w:right w:val="none" w:sz="0" w:space="0" w:color="auto"/>
      </w:divBdr>
    </w:div>
    <w:div w:id="1289701514">
      <w:bodyDiv w:val="1"/>
      <w:marLeft w:val="0"/>
      <w:marRight w:val="0"/>
      <w:marTop w:val="0"/>
      <w:marBottom w:val="0"/>
      <w:divBdr>
        <w:top w:val="none" w:sz="0" w:space="0" w:color="auto"/>
        <w:left w:val="none" w:sz="0" w:space="0" w:color="auto"/>
        <w:bottom w:val="none" w:sz="0" w:space="0" w:color="auto"/>
        <w:right w:val="none" w:sz="0" w:space="0" w:color="auto"/>
      </w:divBdr>
    </w:div>
    <w:div w:id="1292321629">
      <w:bodyDiv w:val="1"/>
      <w:marLeft w:val="0"/>
      <w:marRight w:val="0"/>
      <w:marTop w:val="0"/>
      <w:marBottom w:val="0"/>
      <w:divBdr>
        <w:top w:val="none" w:sz="0" w:space="0" w:color="auto"/>
        <w:left w:val="none" w:sz="0" w:space="0" w:color="auto"/>
        <w:bottom w:val="none" w:sz="0" w:space="0" w:color="auto"/>
        <w:right w:val="none" w:sz="0" w:space="0" w:color="auto"/>
      </w:divBdr>
    </w:div>
    <w:div w:id="1299383860">
      <w:bodyDiv w:val="1"/>
      <w:marLeft w:val="0"/>
      <w:marRight w:val="0"/>
      <w:marTop w:val="0"/>
      <w:marBottom w:val="0"/>
      <w:divBdr>
        <w:top w:val="none" w:sz="0" w:space="0" w:color="auto"/>
        <w:left w:val="none" w:sz="0" w:space="0" w:color="auto"/>
        <w:bottom w:val="none" w:sz="0" w:space="0" w:color="auto"/>
        <w:right w:val="none" w:sz="0" w:space="0" w:color="auto"/>
      </w:divBdr>
    </w:div>
    <w:div w:id="1300266885">
      <w:bodyDiv w:val="1"/>
      <w:marLeft w:val="0"/>
      <w:marRight w:val="0"/>
      <w:marTop w:val="0"/>
      <w:marBottom w:val="0"/>
      <w:divBdr>
        <w:top w:val="none" w:sz="0" w:space="0" w:color="auto"/>
        <w:left w:val="none" w:sz="0" w:space="0" w:color="auto"/>
        <w:bottom w:val="none" w:sz="0" w:space="0" w:color="auto"/>
        <w:right w:val="none" w:sz="0" w:space="0" w:color="auto"/>
      </w:divBdr>
    </w:div>
    <w:div w:id="1300956961">
      <w:bodyDiv w:val="1"/>
      <w:marLeft w:val="0"/>
      <w:marRight w:val="0"/>
      <w:marTop w:val="0"/>
      <w:marBottom w:val="0"/>
      <w:divBdr>
        <w:top w:val="none" w:sz="0" w:space="0" w:color="auto"/>
        <w:left w:val="none" w:sz="0" w:space="0" w:color="auto"/>
        <w:bottom w:val="none" w:sz="0" w:space="0" w:color="auto"/>
        <w:right w:val="none" w:sz="0" w:space="0" w:color="auto"/>
      </w:divBdr>
    </w:div>
    <w:div w:id="1301184149">
      <w:bodyDiv w:val="1"/>
      <w:marLeft w:val="0"/>
      <w:marRight w:val="0"/>
      <w:marTop w:val="0"/>
      <w:marBottom w:val="0"/>
      <w:divBdr>
        <w:top w:val="none" w:sz="0" w:space="0" w:color="auto"/>
        <w:left w:val="none" w:sz="0" w:space="0" w:color="auto"/>
        <w:bottom w:val="none" w:sz="0" w:space="0" w:color="auto"/>
        <w:right w:val="none" w:sz="0" w:space="0" w:color="auto"/>
      </w:divBdr>
    </w:div>
    <w:div w:id="1310138312">
      <w:bodyDiv w:val="1"/>
      <w:marLeft w:val="0"/>
      <w:marRight w:val="0"/>
      <w:marTop w:val="0"/>
      <w:marBottom w:val="0"/>
      <w:divBdr>
        <w:top w:val="none" w:sz="0" w:space="0" w:color="auto"/>
        <w:left w:val="none" w:sz="0" w:space="0" w:color="auto"/>
        <w:bottom w:val="none" w:sz="0" w:space="0" w:color="auto"/>
        <w:right w:val="none" w:sz="0" w:space="0" w:color="auto"/>
      </w:divBdr>
    </w:div>
    <w:div w:id="1313606540">
      <w:bodyDiv w:val="1"/>
      <w:marLeft w:val="0"/>
      <w:marRight w:val="0"/>
      <w:marTop w:val="0"/>
      <w:marBottom w:val="0"/>
      <w:divBdr>
        <w:top w:val="none" w:sz="0" w:space="0" w:color="auto"/>
        <w:left w:val="none" w:sz="0" w:space="0" w:color="auto"/>
        <w:bottom w:val="none" w:sz="0" w:space="0" w:color="auto"/>
        <w:right w:val="none" w:sz="0" w:space="0" w:color="auto"/>
      </w:divBdr>
    </w:div>
    <w:div w:id="1314484550">
      <w:bodyDiv w:val="1"/>
      <w:marLeft w:val="0"/>
      <w:marRight w:val="0"/>
      <w:marTop w:val="0"/>
      <w:marBottom w:val="0"/>
      <w:divBdr>
        <w:top w:val="none" w:sz="0" w:space="0" w:color="auto"/>
        <w:left w:val="none" w:sz="0" w:space="0" w:color="auto"/>
        <w:bottom w:val="none" w:sz="0" w:space="0" w:color="auto"/>
        <w:right w:val="none" w:sz="0" w:space="0" w:color="auto"/>
      </w:divBdr>
    </w:div>
    <w:div w:id="1316181181">
      <w:bodyDiv w:val="1"/>
      <w:marLeft w:val="0"/>
      <w:marRight w:val="0"/>
      <w:marTop w:val="0"/>
      <w:marBottom w:val="0"/>
      <w:divBdr>
        <w:top w:val="none" w:sz="0" w:space="0" w:color="auto"/>
        <w:left w:val="none" w:sz="0" w:space="0" w:color="auto"/>
        <w:bottom w:val="none" w:sz="0" w:space="0" w:color="auto"/>
        <w:right w:val="none" w:sz="0" w:space="0" w:color="auto"/>
      </w:divBdr>
    </w:div>
    <w:div w:id="1321037475">
      <w:bodyDiv w:val="1"/>
      <w:marLeft w:val="0"/>
      <w:marRight w:val="0"/>
      <w:marTop w:val="0"/>
      <w:marBottom w:val="0"/>
      <w:divBdr>
        <w:top w:val="none" w:sz="0" w:space="0" w:color="auto"/>
        <w:left w:val="none" w:sz="0" w:space="0" w:color="auto"/>
        <w:bottom w:val="none" w:sz="0" w:space="0" w:color="auto"/>
        <w:right w:val="none" w:sz="0" w:space="0" w:color="auto"/>
      </w:divBdr>
    </w:div>
    <w:div w:id="1323656322">
      <w:bodyDiv w:val="1"/>
      <w:marLeft w:val="0"/>
      <w:marRight w:val="0"/>
      <w:marTop w:val="0"/>
      <w:marBottom w:val="0"/>
      <w:divBdr>
        <w:top w:val="none" w:sz="0" w:space="0" w:color="auto"/>
        <w:left w:val="none" w:sz="0" w:space="0" w:color="auto"/>
        <w:bottom w:val="none" w:sz="0" w:space="0" w:color="auto"/>
        <w:right w:val="none" w:sz="0" w:space="0" w:color="auto"/>
      </w:divBdr>
    </w:div>
    <w:div w:id="1327174238">
      <w:bodyDiv w:val="1"/>
      <w:marLeft w:val="0"/>
      <w:marRight w:val="0"/>
      <w:marTop w:val="0"/>
      <w:marBottom w:val="0"/>
      <w:divBdr>
        <w:top w:val="none" w:sz="0" w:space="0" w:color="auto"/>
        <w:left w:val="none" w:sz="0" w:space="0" w:color="auto"/>
        <w:bottom w:val="none" w:sz="0" w:space="0" w:color="auto"/>
        <w:right w:val="none" w:sz="0" w:space="0" w:color="auto"/>
      </w:divBdr>
    </w:div>
    <w:div w:id="1327856536">
      <w:bodyDiv w:val="1"/>
      <w:marLeft w:val="0"/>
      <w:marRight w:val="0"/>
      <w:marTop w:val="0"/>
      <w:marBottom w:val="0"/>
      <w:divBdr>
        <w:top w:val="none" w:sz="0" w:space="0" w:color="auto"/>
        <w:left w:val="none" w:sz="0" w:space="0" w:color="auto"/>
        <w:bottom w:val="none" w:sz="0" w:space="0" w:color="auto"/>
        <w:right w:val="none" w:sz="0" w:space="0" w:color="auto"/>
      </w:divBdr>
    </w:div>
    <w:div w:id="1330863867">
      <w:bodyDiv w:val="1"/>
      <w:marLeft w:val="0"/>
      <w:marRight w:val="0"/>
      <w:marTop w:val="0"/>
      <w:marBottom w:val="0"/>
      <w:divBdr>
        <w:top w:val="none" w:sz="0" w:space="0" w:color="auto"/>
        <w:left w:val="none" w:sz="0" w:space="0" w:color="auto"/>
        <w:bottom w:val="none" w:sz="0" w:space="0" w:color="auto"/>
        <w:right w:val="none" w:sz="0" w:space="0" w:color="auto"/>
      </w:divBdr>
    </w:div>
    <w:div w:id="1331450041">
      <w:bodyDiv w:val="1"/>
      <w:marLeft w:val="0"/>
      <w:marRight w:val="0"/>
      <w:marTop w:val="0"/>
      <w:marBottom w:val="0"/>
      <w:divBdr>
        <w:top w:val="none" w:sz="0" w:space="0" w:color="auto"/>
        <w:left w:val="none" w:sz="0" w:space="0" w:color="auto"/>
        <w:bottom w:val="none" w:sz="0" w:space="0" w:color="auto"/>
        <w:right w:val="none" w:sz="0" w:space="0" w:color="auto"/>
      </w:divBdr>
    </w:div>
    <w:div w:id="1334648747">
      <w:bodyDiv w:val="1"/>
      <w:marLeft w:val="0"/>
      <w:marRight w:val="0"/>
      <w:marTop w:val="0"/>
      <w:marBottom w:val="0"/>
      <w:divBdr>
        <w:top w:val="none" w:sz="0" w:space="0" w:color="auto"/>
        <w:left w:val="none" w:sz="0" w:space="0" w:color="auto"/>
        <w:bottom w:val="none" w:sz="0" w:space="0" w:color="auto"/>
        <w:right w:val="none" w:sz="0" w:space="0" w:color="auto"/>
      </w:divBdr>
    </w:div>
    <w:div w:id="1337805932">
      <w:bodyDiv w:val="1"/>
      <w:marLeft w:val="0"/>
      <w:marRight w:val="0"/>
      <w:marTop w:val="0"/>
      <w:marBottom w:val="0"/>
      <w:divBdr>
        <w:top w:val="none" w:sz="0" w:space="0" w:color="auto"/>
        <w:left w:val="none" w:sz="0" w:space="0" w:color="auto"/>
        <w:bottom w:val="none" w:sz="0" w:space="0" w:color="auto"/>
        <w:right w:val="none" w:sz="0" w:space="0" w:color="auto"/>
      </w:divBdr>
    </w:div>
    <w:div w:id="1346589037">
      <w:bodyDiv w:val="1"/>
      <w:marLeft w:val="0"/>
      <w:marRight w:val="0"/>
      <w:marTop w:val="0"/>
      <w:marBottom w:val="0"/>
      <w:divBdr>
        <w:top w:val="none" w:sz="0" w:space="0" w:color="auto"/>
        <w:left w:val="none" w:sz="0" w:space="0" w:color="auto"/>
        <w:bottom w:val="none" w:sz="0" w:space="0" w:color="auto"/>
        <w:right w:val="none" w:sz="0" w:space="0" w:color="auto"/>
      </w:divBdr>
    </w:div>
    <w:div w:id="1347901039">
      <w:bodyDiv w:val="1"/>
      <w:marLeft w:val="0"/>
      <w:marRight w:val="0"/>
      <w:marTop w:val="0"/>
      <w:marBottom w:val="0"/>
      <w:divBdr>
        <w:top w:val="none" w:sz="0" w:space="0" w:color="auto"/>
        <w:left w:val="none" w:sz="0" w:space="0" w:color="auto"/>
        <w:bottom w:val="none" w:sz="0" w:space="0" w:color="auto"/>
        <w:right w:val="none" w:sz="0" w:space="0" w:color="auto"/>
      </w:divBdr>
    </w:div>
    <w:div w:id="1349605218">
      <w:bodyDiv w:val="1"/>
      <w:marLeft w:val="0"/>
      <w:marRight w:val="0"/>
      <w:marTop w:val="0"/>
      <w:marBottom w:val="0"/>
      <w:divBdr>
        <w:top w:val="none" w:sz="0" w:space="0" w:color="auto"/>
        <w:left w:val="none" w:sz="0" w:space="0" w:color="auto"/>
        <w:bottom w:val="none" w:sz="0" w:space="0" w:color="auto"/>
        <w:right w:val="none" w:sz="0" w:space="0" w:color="auto"/>
      </w:divBdr>
    </w:div>
    <w:div w:id="1352612511">
      <w:bodyDiv w:val="1"/>
      <w:marLeft w:val="0"/>
      <w:marRight w:val="0"/>
      <w:marTop w:val="0"/>
      <w:marBottom w:val="0"/>
      <w:divBdr>
        <w:top w:val="none" w:sz="0" w:space="0" w:color="auto"/>
        <w:left w:val="none" w:sz="0" w:space="0" w:color="auto"/>
        <w:bottom w:val="none" w:sz="0" w:space="0" w:color="auto"/>
        <w:right w:val="none" w:sz="0" w:space="0" w:color="auto"/>
      </w:divBdr>
    </w:div>
    <w:div w:id="1354530191">
      <w:bodyDiv w:val="1"/>
      <w:marLeft w:val="0"/>
      <w:marRight w:val="0"/>
      <w:marTop w:val="0"/>
      <w:marBottom w:val="0"/>
      <w:divBdr>
        <w:top w:val="none" w:sz="0" w:space="0" w:color="auto"/>
        <w:left w:val="none" w:sz="0" w:space="0" w:color="auto"/>
        <w:bottom w:val="none" w:sz="0" w:space="0" w:color="auto"/>
        <w:right w:val="none" w:sz="0" w:space="0" w:color="auto"/>
      </w:divBdr>
    </w:div>
    <w:div w:id="1361707046">
      <w:bodyDiv w:val="1"/>
      <w:marLeft w:val="0"/>
      <w:marRight w:val="0"/>
      <w:marTop w:val="0"/>
      <w:marBottom w:val="0"/>
      <w:divBdr>
        <w:top w:val="none" w:sz="0" w:space="0" w:color="auto"/>
        <w:left w:val="none" w:sz="0" w:space="0" w:color="auto"/>
        <w:bottom w:val="none" w:sz="0" w:space="0" w:color="auto"/>
        <w:right w:val="none" w:sz="0" w:space="0" w:color="auto"/>
      </w:divBdr>
    </w:div>
    <w:div w:id="1364019089">
      <w:bodyDiv w:val="1"/>
      <w:marLeft w:val="0"/>
      <w:marRight w:val="0"/>
      <w:marTop w:val="0"/>
      <w:marBottom w:val="0"/>
      <w:divBdr>
        <w:top w:val="none" w:sz="0" w:space="0" w:color="auto"/>
        <w:left w:val="none" w:sz="0" w:space="0" w:color="auto"/>
        <w:bottom w:val="none" w:sz="0" w:space="0" w:color="auto"/>
        <w:right w:val="none" w:sz="0" w:space="0" w:color="auto"/>
      </w:divBdr>
    </w:div>
    <w:div w:id="1364207686">
      <w:bodyDiv w:val="1"/>
      <w:marLeft w:val="0"/>
      <w:marRight w:val="0"/>
      <w:marTop w:val="0"/>
      <w:marBottom w:val="0"/>
      <w:divBdr>
        <w:top w:val="none" w:sz="0" w:space="0" w:color="auto"/>
        <w:left w:val="none" w:sz="0" w:space="0" w:color="auto"/>
        <w:bottom w:val="none" w:sz="0" w:space="0" w:color="auto"/>
        <w:right w:val="none" w:sz="0" w:space="0" w:color="auto"/>
      </w:divBdr>
    </w:div>
    <w:div w:id="1365473489">
      <w:bodyDiv w:val="1"/>
      <w:marLeft w:val="0"/>
      <w:marRight w:val="0"/>
      <w:marTop w:val="0"/>
      <w:marBottom w:val="0"/>
      <w:divBdr>
        <w:top w:val="none" w:sz="0" w:space="0" w:color="auto"/>
        <w:left w:val="none" w:sz="0" w:space="0" w:color="auto"/>
        <w:bottom w:val="none" w:sz="0" w:space="0" w:color="auto"/>
        <w:right w:val="none" w:sz="0" w:space="0" w:color="auto"/>
      </w:divBdr>
    </w:div>
    <w:div w:id="1366061117">
      <w:bodyDiv w:val="1"/>
      <w:marLeft w:val="0"/>
      <w:marRight w:val="0"/>
      <w:marTop w:val="0"/>
      <w:marBottom w:val="0"/>
      <w:divBdr>
        <w:top w:val="none" w:sz="0" w:space="0" w:color="auto"/>
        <w:left w:val="none" w:sz="0" w:space="0" w:color="auto"/>
        <w:bottom w:val="none" w:sz="0" w:space="0" w:color="auto"/>
        <w:right w:val="none" w:sz="0" w:space="0" w:color="auto"/>
      </w:divBdr>
    </w:div>
    <w:div w:id="1368145206">
      <w:bodyDiv w:val="1"/>
      <w:marLeft w:val="0"/>
      <w:marRight w:val="0"/>
      <w:marTop w:val="0"/>
      <w:marBottom w:val="0"/>
      <w:divBdr>
        <w:top w:val="none" w:sz="0" w:space="0" w:color="auto"/>
        <w:left w:val="none" w:sz="0" w:space="0" w:color="auto"/>
        <w:bottom w:val="none" w:sz="0" w:space="0" w:color="auto"/>
        <w:right w:val="none" w:sz="0" w:space="0" w:color="auto"/>
      </w:divBdr>
    </w:div>
    <w:div w:id="1381712004">
      <w:bodyDiv w:val="1"/>
      <w:marLeft w:val="0"/>
      <w:marRight w:val="0"/>
      <w:marTop w:val="0"/>
      <w:marBottom w:val="0"/>
      <w:divBdr>
        <w:top w:val="none" w:sz="0" w:space="0" w:color="auto"/>
        <w:left w:val="none" w:sz="0" w:space="0" w:color="auto"/>
        <w:bottom w:val="none" w:sz="0" w:space="0" w:color="auto"/>
        <w:right w:val="none" w:sz="0" w:space="0" w:color="auto"/>
      </w:divBdr>
    </w:div>
    <w:div w:id="1383481028">
      <w:bodyDiv w:val="1"/>
      <w:marLeft w:val="0"/>
      <w:marRight w:val="0"/>
      <w:marTop w:val="0"/>
      <w:marBottom w:val="0"/>
      <w:divBdr>
        <w:top w:val="none" w:sz="0" w:space="0" w:color="auto"/>
        <w:left w:val="none" w:sz="0" w:space="0" w:color="auto"/>
        <w:bottom w:val="none" w:sz="0" w:space="0" w:color="auto"/>
        <w:right w:val="none" w:sz="0" w:space="0" w:color="auto"/>
      </w:divBdr>
    </w:div>
    <w:div w:id="1384602767">
      <w:bodyDiv w:val="1"/>
      <w:marLeft w:val="0"/>
      <w:marRight w:val="0"/>
      <w:marTop w:val="0"/>
      <w:marBottom w:val="0"/>
      <w:divBdr>
        <w:top w:val="none" w:sz="0" w:space="0" w:color="auto"/>
        <w:left w:val="none" w:sz="0" w:space="0" w:color="auto"/>
        <w:bottom w:val="none" w:sz="0" w:space="0" w:color="auto"/>
        <w:right w:val="none" w:sz="0" w:space="0" w:color="auto"/>
      </w:divBdr>
    </w:div>
    <w:div w:id="1387601487">
      <w:bodyDiv w:val="1"/>
      <w:marLeft w:val="0"/>
      <w:marRight w:val="0"/>
      <w:marTop w:val="0"/>
      <w:marBottom w:val="0"/>
      <w:divBdr>
        <w:top w:val="none" w:sz="0" w:space="0" w:color="auto"/>
        <w:left w:val="none" w:sz="0" w:space="0" w:color="auto"/>
        <w:bottom w:val="none" w:sz="0" w:space="0" w:color="auto"/>
        <w:right w:val="none" w:sz="0" w:space="0" w:color="auto"/>
      </w:divBdr>
    </w:div>
    <w:div w:id="1393964884">
      <w:bodyDiv w:val="1"/>
      <w:marLeft w:val="0"/>
      <w:marRight w:val="0"/>
      <w:marTop w:val="0"/>
      <w:marBottom w:val="0"/>
      <w:divBdr>
        <w:top w:val="none" w:sz="0" w:space="0" w:color="auto"/>
        <w:left w:val="none" w:sz="0" w:space="0" w:color="auto"/>
        <w:bottom w:val="none" w:sz="0" w:space="0" w:color="auto"/>
        <w:right w:val="none" w:sz="0" w:space="0" w:color="auto"/>
      </w:divBdr>
    </w:div>
    <w:div w:id="1398359554">
      <w:bodyDiv w:val="1"/>
      <w:marLeft w:val="0"/>
      <w:marRight w:val="0"/>
      <w:marTop w:val="0"/>
      <w:marBottom w:val="0"/>
      <w:divBdr>
        <w:top w:val="none" w:sz="0" w:space="0" w:color="auto"/>
        <w:left w:val="none" w:sz="0" w:space="0" w:color="auto"/>
        <w:bottom w:val="none" w:sz="0" w:space="0" w:color="auto"/>
        <w:right w:val="none" w:sz="0" w:space="0" w:color="auto"/>
      </w:divBdr>
    </w:div>
    <w:div w:id="1403718779">
      <w:bodyDiv w:val="1"/>
      <w:marLeft w:val="0"/>
      <w:marRight w:val="0"/>
      <w:marTop w:val="0"/>
      <w:marBottom w:val="0"/>
      <w:divBdr>
        <w:top w:val="none" w:sz="0" w:space="0" w:color="auto"/>
        <w:left w:val="none" w:sz="0" w:space="0" w:color="auto"/>
        <w:bottom w:val="none" w:sz="0" w:space="0" w:color="auto"/>
        <w:right w:val="none" w:sz="0" w:space="0" w:color="auto"/>
      </w:divBdr>
    </w:div>
    <w:div w:id="1413775002">
      <w:bodyDiv w:val="1"/>
      <w:marLeft w:val="0"/>
      <w:marRight w:val="0"/>
      <w:marTop w:val="0"/>
      <w:marBottom w:val="0"/>
      <w:divBdr>
        <w:top w:val="none" w:sz="0" w:space="0" w:color="auto"/>
        <w:left w:val="none" w:sz="0" w:space="0" w:color="auto"/>
        <w:bottom w:val="none" w:sz="0" w:space="0" w:color="auto"/>
        <w:right w:val="none" w:sz="0" w:space="0" w:color="auto"/>
      </w:divBdr>
    </w:div>
    <w:div w:id="1421442278">
      <w:bodyDiv w:val="1"/>
      <w:marLeft w:val="0"/>
      <w:marRight w:val="0"/>
      <w:marTop w:val="0"/>
      <w:marBottom w:val="0"/>
      <w:divBdr>
        <w:top w:val="none" w:sz="0" w:space="0" w:color="auto"/>
        <w:left w:val="none" w:sz="0" w:space="0" w:color="auto"/>
        <w:bottom w:val="none" w:sz="0" w:space="0" w:color="auto"/>
        <w:right w:val="none" w:sz="0" w:space="0" w:color="auto"/>
      </w:divBdr>
    </w:div>
    <w:div w:id="1426654579">
      <w:bodyDiv w:val="1"/>
      <w:marLeft w:val="0"/>
      <w:marRight w:val="0"/>
      <w:marTop w:val="0"/>
      <w:marBottom w:val="0"/>
      <w:divBdr>
        <w:top w:val="none" w:sz="0" w:space="0" w:color="auto"/>
        <w:left w:val="none" w:sz="0" w:space="0" w:color="auto"/>
        <w:bottom w:val="none" w:sz="0" w:space="0" w:color="auto"/>
        <w:right w:val="none" w:sz="0" w:space="0" w:color="auto"/>
      </w:divBdr>
    </w:div>
    <w:div w:id="1435782005">
      <w:bodyDiv w:val="1"/>
      <w:marLeft w:val="0"/>
      <w:marRight w:val="0"/>
      <w:marTop w:val="0"/>
      <w:marBottom w:val="0"/>
      <w:divBdr>
        <w:top w:val="none" w:sz="0" w:space="0" w:color="auto"/>
        <w:left w:val="none" w:sz="0" w:space="0" w:color="auto"/>
        <w:bottom w:val="none" w:sz="0" w:space="0" w:color="auto"/>
        <w:right w:val="none" w:sz="0" w:space="0" w:color="auto"/>
      </w:divBdr>
    </w:div>
    <w:div w:id="1437211566">
      <w:bodyDiv w:val="1"/>
      <w:marLeft w:val="0"/>
      <w:marRight w:val="0"/>
      <w:marTop w:val="0"/>
      <w:marBottom w:val="0"/>
      <w:divBdr>
        <w:top w:val="none" w:sz="0" w:space="0" w:color="auto"/>
        <w:left w:val="none" w:sz="0" w:space="0" w:color="auto"/>
        <w:bottom w:val="none" w:sz="0" w:space="0" w:color="auto"/>
        <w:right w:val="none" w:sz="0" w:space="0" w:color="auto"/>
      </w:divBdr>
    </w:div>
    <w:div w:id="1438057066">
      <w:bodyDiv w:val="1"/>
      <w:marLeft w:val="0"/>
      <w:marRight w:val="0"/>
      <w:marTop w:val="0"/>
      <w:marBottom w:val="0"/>
      <w:divBdr>
        <w:top w:val="none" w:sz="0" w:space="0" w:color="auto"/>
        <w:left w:val="none" w:sz="0" w:space="0" w:color="auto"/>
        <w:bottom w:val="none" w:sz="0" w:space="0" w:color="auto"/>
        <w:right w:val="none" w:sz="0" w:space="0" w:color="auto"/>
      </w:divBdr>
    </w:div>
    <w:div w:id="1442333275">
      <w:bodyDiv w:val="1"/>
      <w:marLeft w:val="0"/>
      <w:marRight w:val="0"/>
      <w:marTop w:val="0"/>
      <w:marBottom w:val="0"/>
      <w:divBdr>
        <w:top w:val="none" w:sz="0" w:space="0" w:color="auto"/>
        <w:left w:val="none" w:sz="0" w:space="0" w:color="auto"/>
        <w:bottom w:val="none" w:sz="0" w:space="0" w:color="auto"/>
        <w:right w:val="none" w:sz="0" w:space="0" w:color="auto"/>
      </w:divBdr>
    </w:div>
    <w:div w:id="1447238996">
      <w:bodyDiv w:val="1"/>
      <w:marLeft w:val="0"/>
      <w:marRight w:val="0"/>
      <w:marTop w:val="0"/>
      <w:marBottom w:val="0"/>
      <w:divBdr>
        <w:top w:val="none" w:sz="0" w:space="0" w:color="auto"/>
        <w:left w:val="none" w:sz="0" w:space="0" w:color="auto"/>
        <w:bottom w:val="none" w:sz="0" w:space="0" w:color="auto"/>
        <w:right w:val="none" w:sz="0" w:space="0" w:color="auto"/>
      </w:divBdr>
    </w:div>
    <w:div w:id="1448699141">
      <w:bodyDiv w:val="1"/>
      <w:marLeft w:val="0"/>
      <w:marRight w:val="0"/>
      <w:marTop w:val="0"/>
      <w:marBottom w:val="0"/>
      <w:divBdr>
        <w:top w:val="none" w:sz="0" w:space="0" w:color="auto"/>
        <w:left w:val="none" w:sz="0" w:space="0" w:color="auto"/>
        <w:bottom w:val="none" w:sz="0" w:space="0" w:color="auto"/>
        <w:right w:val="none" w:sz="0" w:space="0" w:color="auto"/>
      </w:divBdr>
    </w:div>
    <w:div w:id="1449078849">
      <w:bodyDiv w:val="1"/>
      <w:marLeft w:val="0"/>
      <w:marRight w:val="0"/>
      <w:marTop w:val="0"/>
      <w:marBottom w:val="0"/>
      <w:divBdr>
        <w:top w:val="none" w:sz="0" w:space="0" w:color="auto"/>
        <w:left w:val="none" w:sz="0" w:space="0" w:color="auto"/>
        <w:bottom w:val="none" w:sz="0" w:space="0" w:color="auto"/>
        <w:right w:val="none" w:sz="0" w:space="0" w:color="auto"/>
      </w:divBdr>
    </w:div>
    <w:div w:id="1449661908">
      <w:bodyDiv w:val="1"/>
      <w:marLeft w:val="0"/>
      <w:marRight w:val="0"/>
      <w:marTop w:val="0"/>
      <w:marBottom w:val="0"/>
      <w:divBdr>
        <w:top w:val="none" w:sz="0" w:space="0" w:color="auto"/>
        <w:left w:val="none" w:sz="0" w:space="0" w:color="auto"/>
        <w:bottom w:val="none" w:sz="0" w:space="0" w:color="auto"/>
        <w:right w:val="none" w:sz="0" w:space="0" w:color="auto"/>
      </w:divBdr>
    </w:div>
    <w:div w:id="1449817526">
      <w:bodyDiv w:val="1"/>
      <w:marLeft w:val="0"/>
      <w:marRight w:val="0"/>
      <w:marTop w:val="0"/>
      <w:marBottom w:val="0"/>
      <w:divBdr>
        <w:top w:val="none" w:sz="0" w:space="0" w:color="auto"/>
        <w:left w:val="none" w:sz="0" w:space="0" w:color="auto"/>
        <w:bottom w:val="none" w:sz="0" w:space="0" w:color="auto"/>
        <w:right w:val="none" w:sz="0" w:space="0" w:color="auto"/>
      </w:divBdr>
    </w:div>
    <w:div w:id="1451051609">
      <w:bodyDiv w:val="1"/>
      <w:marLeft w:val="0"/>
      <w:marRight w:val="0"/>
      <w:marTop w:val="0"/>
      <w:marBottom w:val="0"/>
      <w:divBdr>
        <w:top w:val="none" w:sz="0" w:space="0" w:color="auto"/>
        <w:left w:val="none" w:sz="0" w:space="0" w:color="auto"/>
        <w:bottom w:val="none" w:sz="0" w:space="0" w:color="auto"/>
        <w:right w:val="none" w:sz="0" w:space="0" w:color="auto"/>
      </w:divBdr>
    </w:div>
    <w:div w:id="1455250708">
      <w:bodyDiv w:val="1"/>
      <w:marLeft w:val="0"/>
      <w:marRight w:val="0"/>
      <w:marTop w:val="0"/>
      <w:marBottom w:val="0"/>
      <w:divBdr>
        <w:top w:val="none" w:sz="0" w:space="0" w:color="auto"/>
        <w:left w:val="none" w:sz="0" w:space="0" w:color="auto"/>
        <w:bottom w:val="none" w:sz="0" w:space="0" w:color="auto"/>
        <w:right w:val="none" w:sz="0" w:space="0" w:color="auto"/>
      </w:divBdr>
    </w:div>
    <w:div w:id="1455905038">
      <w:bodyDiv w:val="1"/>
      <w:marLeft w:val="0"/>
      <w:marRight w:val="0"/>
      <w:marTop w:val="0"/>
      <w:marBottom w:val="0"/>
      <w:divBdr>
        <w:top w:val="none" w:sz="0" w:space="0" w:color="auto"/>
        <w:left w:val="none" w:sz="0" w:space="0" w:color="auto"/>
        <w:bottom w:val="none" w:sz="0" w:space="0" w:color="auto"/>
        <w:right w:val="none" w:sz="0" w:space="0" w:color="auto"/>
      </w:divBdr>
    </w:div>
    <w:div w:id="1457525125">
      <w:bodyDiv w:val="1"/>
      <w:marLeft w:val="0"/>
      <w:marRight w:val="0"/>
      <w:marTop w:val="0"/>
      <w:marBottom w:val="0"/>
      <w:divBdr>
        <w:top w:val="none" w:sz="0" w:space="0" w:color="auto"/>
        <w:left w:val="none" w:sz="0" w:space="0" w:color="auto"/>
        <w:bottom w:val="none" w:sz="0" w:space="0" w:color="auto"/>
        <w:right w:val="none" w:sz="0" w:space="0" w:color="auto"/>
      </w:divBdr>
    </w:div>
    <w:div w:id="1460536543">
      <w:bodyDiv w:val="1"/>
      <w:marLeft w:val="0"/>
      <w:marRight w:val="0"/>
      <w:marTop w:val="0"/>
      <w:marBottom w:val="0"/>
      <w:divBdr>
        <w:top w:val="none" w:sz="0" w:space="0" w:color="auto"/>
        <w:left w:val="none" w:sz="0" w:space="0" w:color="auto"/>
        <w:bottom w:val="none" w:sz="0" w:space="0" w:color="auto"/>
        <w:right w:val="none" w:sz="0" w:space="0" w:color="auto"/>
      </w:divBdr>
    </w:div>
    <w:div w:id="1461418070">
      <w:bodyDiv w:val="1"/>
      <w:marLeft w:val="0"/>
      <w:marRight w:val="0"/>
      <w:marTop w:val="0"/>
      <w:marBottom w:val="0"/>
      <w:divBdr>
        <w:top w:val="none" w:sz="0" w:space="0" w:color="auto"/>
        <w:left w:val="none" w:sz="0" w:space="0" w:color="auto"/>
        <w:bottom w:val="none" w:sz="0" w:space="0" w:color="auto"/>
        <w:right w:val="none" w:sz="0" w:space="0" w:color="auto"/>
      </w:divBdr>
    </w:div>
    <w:div w:id="1465541960">
      <w:bodyDiv w:val="1"/>
      <w:marLeft w:val="0"/>
      <w:marRight w:val="0"/>
      <w:marTop w:val="0"/>
      <w:marBottom w:val="0"/>
      <w:divBdr>
        <w:top w:val="none" w:sz="0" w:space="0" w:color="auto"/>
        <w:left w:val="none" w:sz="0" w:space="0" w:color="auto"/>
        <w:bottom w:val="none" w:sz="0" w:space="0" w:color="auto"/>
        <w:right w:val="none" w:sz="0" w:space="0" w:color="auto"/>
      </w:divBdr>
    </w:div>
    <w:div w:id="1466660295">
      <w:bodyDiv w:val="1"/>
      <w:marLeft w:val="0"/>
      <w:marRight w:val="0"/>
      <w:marTop w:val="0"/>
      <w:marBottom w:val="0"/>
      <w:divBdr>
        <w:top w:val="none" w:sz="0" w:space="0" w:color="auto"/>
        <w:left w:val="none" w:sz="0" w:space="0" w:color="auto"/>
        <w:bottom w:val="none" w:sz="0" w:space="0" w:color="auto"/>
        <w:right w:val="none" w:sz="0" w:space="0" w:color="auto"/>
      </w:divBdr>
    </w:div>
    <w:div w:id="1468158438">
      <w:bodyDiv w:val="1"/>
      <w:marLeft w:val="0"/>
      <w:marRight w:val="0"/>
      <w:marTop w:val="0"/>
      <w:marBottom w:val="0"/>
      <w:divBdr>
        <w:top w:val="none" w:sz="0" w:space="0" w:color="auto"/>
        <w:left w:val="none" w:sz="0" w:space="0" w:color="auto"/>
        <w:bottom w:val="none" w:sz="0" w:space="0" w:color="auto"/>
        <w:right w:val="none" w:sz="0" w:space="0" w:color="auto"/>
      </w:divBdr>
    </w:div>
    <w:div w:id="1469276739">
      <w:bodyDiv w:val="1"/>
      <w:marLeft w:val="0"/>
      <w:marRight w:val="0"/>
      <w:marTop w:val="0"/>
      <w:marBottom w:val="0"/>
      <w:divBdr>
        <w:top w:val="none" w:sz="0" w:space="0" w:color="auto"/>
        <w:left w:val="none" w:sz="0" w:space="0" w:color="auto"/>
        <w:bottom w:val="none" w:sz="0" w:space="0" w:color="auto"/>
        <w:right w:val="none" w:sz="0" w:space="0" w:color="auto"/>
      </w:divBdr>
    </w:div>
    <w:div w:id="1475176384">
      <w:bodyDiv w:val="1"/>
      <w:marLeft w:val="0"/>
      <w:marRight w:val="0"/>
      <w:marTop w:val="0"/>
      <w:marBottom w:val="0"/>
      <w:divBdr>
        <w:top w:val="none" w:sz="0" w:space="0" w:color="auto"/>
        <w:left w:val="none" w:sz="0" w:space="0" w:color="auto"/>
        <w:bottom w:val="none" w:sz="0" w:space="0" w:color="auto"/>
        <w:right w:val="none" w:sz="0" w:space="0" w:color="auto"/>
      </w:divBdr>
    </w:div>
    <w:div w:id="1478302213">
      <w:bodyDiv w:val="1"/>
      <w:marLeft w:val="0"/>
      <w:marRight w:val="0"/>
      <w:marTop w:val="0"/>
      <w:marBottom w:val="0"/>
      <w:divBdr>
        <w:top w:val="none" w:sz="0" w:space="0" w:color="auto"/>
        <w:left w:val="none" w:sz="0" w:space="0" w:color="auto"/>
        <w:bottom w:val="none" w:sz="0" w:space="0" w:color="auto"/>
        <w:right w:val="none" w:sz="0" w:space="0" w:color="auto"/>
      </w:divBdr>
    </w:div>
    <w:div w:id="1483085907">
      <w:bodyDiv w:val="1"/>
      <w:marLeft w:val="0"/>
      <w:marRight w:val="0"/>
      <w:marTop w:val="0"/>
      <w:marBottom w:val="0"/>
      <w:divBdr>
        <w:top w:val="none" w:sz="0" w:space="0" w:color="auto"/>
        <w:left w:val="none" w:sz="0" w:space="0" w:color="auto"/>
        <w:bottom w:val="none" w:sz="0" w:space="0" w:color="auto"/>
        <w:right w:val="none" w:sz="0" w:space="0" w:color="auto"/>
      </w:divBdr>
    </w:div>
    <w:div w:id="1489397528">
      <w:bodyDiv w:val="1"/>
      <w:marLeft w:val="0"/>
      <w:marRight w:val="0"/>
      <w:marTop w:val="0"/>
      <w:marBottom w:val="0"/>
      <w:divBdr>
        <w:top w:val="none" w:sz="0" w:space="0" w:color="auto"/>
        <w:left w:val="none" w:sz="0" w:space="0" w:color="auto"/>
        <w:bottom w:val="none" w:sz="0" w:space="0" w:color="auto"/>
        <w:right w:val="none" w:sz="0" w:space="0" w:color="auto"/>
      </w:divBdr>
    </w:div>
    <w:div w:id="1496189668">
      <w:bodyDiv w:val="1"/>
      <w:marLeft w:val="0"/>
      <w:marRight w:val="0"/>
      <w:marTop w:val="0"/>
      <w:marBottom w:val="0"/>
      <w:divBdr>
        <w:top w:val="none" w:sz="0" w:space="0" w:color="auto"/>
        <w:left w:val="none" w:sz="0" w:space="0" w:color="auto"/>
        <w:bottom w:val="none" w:sz="0" w:space="0" w:color="auto"/>
        <w:right w:val="none" w:sz="0" w:space="0" w:color="auto"/>
      </w:divBdr>
    </w:div>
    <w:div w:id="1498577465">
      <w:bodyDiv w:val="1"/>
      <w:marLeft w:val="0"/>
      <w:marRight w:val="0"/>
      <w:marTop w:val="0"/>
      <w:marBottom w:val="0"/>
      <w:divBdr>
        <w:top w:val="none" w:sz="0" w:space="0" w:color="auto"/>
        <w:left w:val="none" w:sz="0" w:space="0" w:color="auto"/>
        <w:bottom w:val="none" w:sz="0" w:space="0" w:color="auto"/>
        <w:right w:val="none" w:sz="0" w:space="0" w:color="auto"/>
      </w:divBdr>
    </w:div>
    <w:div w:id="1503932805">
      <w:bodyDiv w:val="1"/>
      <w:marLeft w:val="0"/>
      <w:marRight w:val="0"/>
      <w:marTop w:val="0"/>
      <w:marBottom w:val="0"/>
      <w:divBdr>
        <w:top w:val="none" w:sz="0" w:space="0" w:color="auto"/>
        <w:left w:val="none" w:sz="0" w:space="0" w:color="auto"/>
        <w:bottom w:val="none" w:sz="0" w:space="0" w:color="auto"/>
        <w:right w:val="none" w:sz="0" w:space="0" w:color="auto"/>
      </w:divBdr>
    </w:div>
    <w:div w:id="1513566014">
      <w:bodyDiv w:val="1"/>
      <w:marLeft w:val="0"/>
      <w:marRight w:val="0"/>
      <w:marTop w:val="0"/>
      <w:marBottom w:val="0"/>
      <w:divBdr>
        <w:top w:val="none" w:sz="0" w:space="0" w:color="auto"/>
        <w:left w:val="none" w:sz="0" w:space="0" w:color="auto"/>
        <w:bottom w:val="none" w:sz="0" w:space="0" w:color="auto"/>
        <w:right w:val="none" w:sz="0" w:space="0" w:color="auto"/>
      </w:divBdr>
    </w:div>
    <w:div w:id="1516310725">
      <w:bodyDiv w:val="1"/>
      <w:marLeft w:val="0"/>
      <w:marRight w:val="0"/>
      <w:marTop w:val="0"/>
      <w:marBottom w:val="0"/>
      <w:divBdr>
        <w:top w:val="none" w:sz="0" w:space="0" w:color="auto"/>
        <w:left w:val="none" w:sz="0" w:space="0" w:color="auto"/>
        <w:bottom w:val="none" w:sz="0" w:space="0" w:color="auto"/>
        <w:right w:val="none" w:sz="0" w:space="0" w:color="auto"/>
      </w:divBdr>
    </w:div>
    <w:div w:id="1517303703">
      <w:bodyDiv w:val="1"/>
      <w:marLeft w:val="0"/>
      <w:marRight w:val="0"/>
      <w:marTop w:val="0"/>
      <w:marBottom w:val="0"/>
      <w:divBdr>
        <w:top w:val="none" w:sz="0" w:space="0" w:color="auto"/>
        <w:left w:val="none" w:sz="0" w:space="0" w:color="auto"/>
        <w:bottom w:val="none" w:sz="0" w:space="0" w:color="auto"/>
        <w:right w:val="none" w:sz="0" w:space="0" w:color="auto"/>
      </w:divBdr>
    </w:div>
    <w:div w:id="1520385471">
      <w:bodyDiv w:val="1"/>
      <w:marLeft w:val="0"/>
      <w:marRight w:val="0"/>
      <w:marTop w:val="0"/>
      <w:marBottom w:val="0"/>
      <w:divBdr>
        <w:top w:val="none" w:sz="0" w:space="0" w:color="auto"/>
        <w:left w:val="none" w:sz="0" w:space="0" w:color="auto"/>
        <w:bottom w:val="none" w:sz="0" w:space="0" w:color="auto"/>
        <w:right w:val="none" w:sz="0" w:space="0" w:color="auto"/>
      </w:divBdr>
    </w:div>
    <w:div w:id="1527670568">
      <w:bodyDiv w:val="1"/>
      <w:marLeft w:val="0"/>
      <w:marRight w:val="0"/>
      <w:marTop w:val="0"/>
      <w:marBottom w:val="0"/>
      <w:divBdr>
        <w:top w:val="none" w:sz="0" w:space="0" w:color="auto"/>
        <w:left w:val="none" w:sz="0" w:space="0" w:color="auto"/>
        <w:bottom w:val="none" w:sz="0" w:space="0" w:color="auto"/>
        <w:right w:val="none" w:sz="0" w:space="0" w:color="auto"/>
      </w:divBdr>
    </w:div>
    <w:div w:id="1543860253">
      <w:bodyDiv w:val="1"/>
      <w:marLeft w:val="0"/>
      <w:marRight w:val="0"/>
      <w:marTop w:val="0"/>
      <w:marBottom w:val="0"/>
      <w:divBdr>
        <w:top w:val="none" w:sz="0" w:space="0" w:color="auto"/>
        <w:left w:val="none" w:sz="0" w:space="0" w:color="auto"/>
        <w:bottom w:val="none" w:sz="0" w:space="0" w:color="auto"/>
        <w:right w:val="none" w:sz="0" w:space="0" w:color="auto"/>
      </w:divBdr>
    </w:div>
    <w:div w:id="1547831379">
      <w:bodyDiv w:val="1"/>
      <w:marLeft w:val="0"/>
      <w:marRight w:val="0"/>
      <w:marTop w:val="0"/>
      <w:marBottom w:val="0"/>
      <w:divBdr>
        <w:top w:val="none" w:sz="0" w:space="0" w:color="auto"/>
        <w:left w:val="none" w:sz="0" w:space="0" w:color="auto"/>
        <w:bottom w:val="none" w:sz="0" w:space="0" w:color="auto"/>
        <w:right w:val="none" w:sz="0" w:space="0" w:color="auto"/>
      </w:divBdr>
    </w:div>
    <w:div w:id="1551572545">
      <w:bodyDiv w:val="1"/>
      <w:marLeft w:val="0"/>
      <w:marRight w:val="0"/>
      <w:marTop w:val="0"/>
      <w:marBottom w:val="0"/>
      <w:divBdr>
        <w:top w:val="none" w:sz="0" w:space="0" w:color="auto"/>
        <w:left w:val="none" w:sz="0" w:space="0" w:color="auto"/>
        <w:bottom w:val="none" w:sz="0" w:space="0" w:color="auto"/>
        <w:right w:val="none" w:sz="0" w:space="0" w:color="auto"/>
      </w:divBdr>
    </w:div>
    <w:div w:id="1559315474">
      <w:bodyDiv w:val="1"/>
      <w:marLeft w:val="0"/>
      <w:marRight w:val="0"/>
      <w:marTop w:val="0"/>
      <w:marBottom w:val="0"/>
      <w:divBdr>
        <w:top w:val="none" w:sz="0" w:space="0" w:color="auto"/>
        <w:left w:val="none" w:sz="0" w:space="0" w:color="auto"/>
        <w:bottom w:val="none" w:sz="0" w:space="0" w:color="auto"/>
        <w:right w:val="none" w:sz="0" w:space="0" w:color="auto"/>
      </w:divBdr>
    </w:div>
    <w:div w:id="1559627480">
      <w:bodyDiv w:val="1"/>
      <w:marLeft w:val="0"/>
      <w:marRight w:val="0"/>
      <w:marTop w:val="0"/>
      <w:marBottom w:val="0"/>
      <w:divBdr>
        <w:top w:val="none" w:sz="0" w:space="0" w:color="auto"/>
        <w:left w:val="none" w:sz="0" w:space="0" w:color="auto"/>
        <w:bottom w:val="none" w:sz="0" w:space="0" w:color="auto"/>
        <w:right w:val="none" w:sz="0" w:space="0" w:color="auto"/>
      </w:divBdr>
    </w:div>
    <w:div w:id="1560045497">
      <w:bodyDiv w:val="1"/>
      <w:marLeft w:val="0"/>
      <w:marRight w:val="0"/>
      <w:marTop w:val="0"/>
      <w:marBottom w:val="0"/>
      <w:divBdr>
        <w:top w:val="none" w:sz="0" w:space="0" w:color="auto"/>
        <w:left w:val="none" w:sz="0" w:space="0" w:color="auto"/>
        <w:bottom w:val="none" w:sz="0" w:space="0" w:color="auto"/>
        <w:right w:val="none" w:sz="0" w:space="0" w:color="auto"/>
      </w:divBdr>
    </w:div>
    <w:div w:id="1561095143">
      <w:bodyDiv w:val="1"/>
      <w:marLeft w:val="0"/>
      <w:marRight w:val="0"/>
      <w:marTop w:val="0"/>
      <w:marBottom w:val="0"/>
      <w:divBdr>
        <w:top w:val="none" w:sz="0" w:space="0" w:color="auto"/>
        <w:left w:val="none" w:sz="0" w:space="0" w:color="auto"/>
        <w:bottom w:val="none" w:sz="0" w:space="0" w:color="auto"/>
        <w:right w:val="none" w:sz="0" w:space="0" w:color="auto"/>
      </w:divBdr>
    </w:div>
    <w:div w:id="1571841774">
      <w:bodyDiv w:val="1"/>
      <w:marLeft w:val="0"/>
      <w:marRight w:val="0"/>
      <w:marTop w:val="0"/>
      <w:marBottom w:val="0"/>
      <w:divBdr>
        <w:top w:val="none" w:sz="0" w:space="0" w:color="auto"/>
        <w:left w:val="none" w:sz="0" w:space="0" w:color="auto"/>
        <w:bottom w:val="none" w:sz="0" w:space="0" w:color="auto"/>
        <w:right w:val="none" w:sz="0" w:space="0" w:color="auto"/>
      </w:divBdr>
    </w:div>
    <w:div w:id="1571962219">
      <w:bodyDiv w:val="1"/>
      <w:marLeft w:val="0"/>
      <w:marRight w:val="0"/>
      <w:marTop w:val="0"/>
      <w:marBottom w:val="0"/>
      <w:divBdr>
        <w:top w:val="none" w:sz="0" w:space="0" w:color="auto"/>
        <w:left w:val="none" w:sz="0" w:space="0" w:color="auto"/>
        <w:bottom w:val="none" w:sz="0" w:space="0" w:color="auto"/>
        <w:right w:val="none" w:sz="0" w:space="0" w:color="auto"/>
      </w:divBdr>
    </w:div>
    <w:div w:id="1581402923">
      <w:bodyDiv w:val="1"/>
      <w:marLeft w:val="0"/>
      <w:marRight w:val="0"/>
      <w:marTop w:val="0"/>
      <w:marBottom w:val="0"/>
      <w:divBdr>
        <w:top w:val="none" w:sz="0" w:space="0" w:color="auto"/>
        <w:left w:val="none" w:sz="0" w:space="0" w:color="auto"/>
        <w:bottom w:val="none" w:sz="0" w:space="0" w:color="auto"/>
        <w:right w:val="none" w:sz="0" w:space="0" w:color="auto"/>
      </w:divBdr>
    </w:div>
    <w:div w:id="1586039166">
      <w:bodyDiv w:val="1"/>
      <w:marLeft w:val="0"/>
      <w:marRight w:val="0"/>
      <w:marTop w:val="0"/>
      <w:marBottom w:val="0"/>
      <w:divBdr>
        <w:top w:val="none" w:sz="0" w:space="0" w:color="auto"/>
        <w:left w:val="none" w:sz="0" w:space="0" w:color="auto"/>
        <w:bottom w:val="none" w:sz="0" w:space="0" w:color="auto"/>
        <w:right w:val="none" w:sz="0" w:space="0" w:color="auto"/>
      </w:divBdr>
    </w:div>
    <w:div w:id="1593588014">
      <w:bodyDiv w:val="1"/>
      <w:marLeft w:val="0"/>
      <w:marRight w:val="0"/>
      <w:marTop w:val="0"/>
      <w:marBottom w:val="0"/>
      <w:divBdr>
        <w:top w:val="none" w:sz="0" w:space="0" w:color="auto"/>
        <w:left w:val="none" w:sz="0" w:space="0" w:color="auto"/>
        <w:bottom w:val="none" w:sz="0" w:space="0" w:color="auto"/>
        <w:right w:val="none" w:sz="0" w:space="0" w:color="auto"/>
      </w:divBdr>
    </w:div>
    <w:div w:id="1597446514">
      <w:bodyDiv w:val="1"/>
      <w:marLeft w:val="0"/>
      <w:marRight w:val="0"/>
      <w:marTop w:val="0"/>
      <w:marBottom w:val="0"/>
      <w:divBdr>
        <w:top w:val="none" w:sz="0" w:space="0" w:color="auto"/>
        <w:left w:val="none" w:sz="0" w:space="0" w:color="auto"/>
        <w:bottom w:val="none" w:sz="0" w:space="0" w:color="auto"/>
        <w:right w:val="none" w:sz="0" w:space="0" w:color="auto"/>
      </w:divBdr>
    </w:div>
    <w:div w:id="1603100730">
      <w:bodyDiv w:val="1"/>
      <w:marLeft w:val="0"/>
      <w:marRight w:val="0"/>
      <w:marTop w:val="0"/>
      <w:marBottom w:val="0"/>
      <w:divBdr>
        <w:top w:val="none" w:sz="0" w:space="0" w:color="auto"/>
        <w:left w:val="none" w:sz="0" w:space="0" w:color="auto"/>
        <w:bottom w:val="none" w:sz="0" w:space="0" w:color="auto"/>
        <w:right w:val="none" w:sz="0" w:space="0" w:color="auto"/>
      </w:divBdr>
    </w:div>
    <w:div w:id="1603149016">
      <w:bodyDiv w:val="1"/>
      <w:marLeft w:val="0"/>
      <w:marRight w:val="0"/>
      <w:marTop w:val="0"/>
      <w:marBottom w:val="0"/>
      <w:divBdr>
        <w:top w:val="none" w:sz="0" w:space="0" w:color="auto"/>
        <w:left w:val="none" w:sz="0" w:space="0" w:color="auto"/>
        <w:bottom w:val="none" w:sz="0" w:space="0" w:color="auto"/>
        <w:right w:val="none" w:sz="0" w:space="0" w:color="auto"/>
      </w:divBdr>
    </w:div>
    <w:div w:id="1616018554">
      <w:bodyDiv w:val="1"/>
      <w:marLeft w:val="0"/>
      <w:marRight w:val="0"/>
      <w:marTop w:val="0"/>
      <w:marBottom w:val="0"/>
      <w:divBdr>
        <w:top w:val="none" w:sz="0" w:space="0" w:color="auto"/>
        <w:left w:val="none" w:sz="0" w:space="0" w:color="auto"/>
        <w:bottom w:val="none" w:sz="0" w:space="0" w:color="auto"/>
        <w:right w:val="none" w:sz="0" w:space="0" w:color="auto"/>
      </w:divBdr>
    </w:div>
    <w:div w:id="1617759032">
      <w:bodyDiv w:val="1"/>
      <w:marLeft w:val="0"/>
      <w:marRight w:val="0"/>
      <w:marTop w:val="0"/>
      <w:marBottom w:val="0"/>
      <w:divBdr>
        <w:top w:val="none" w:sz="0" w:space="0" w:color="auto"/>
        <w:left w:val="none" w:sz="0" w:space="0" w:color="auto"/>
        <w:bottom w:val="none" w:sz="0" w:space="0" w:color="auto"/>
        <w:right w:val="none" w:sz="0" w:space="0" w:color="auto"/>
      </w:divBdr>
    </w:div>
    <w:div w:id="1621108440">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28271983">
      <w:bodyDiv w:val="1"/>
      <w:marLeft w:val="0"/>
      <w:marRight w:val="0"/>
      <w:marTop w:val="0"/>
      <w:marBottom w:val="0"/>
      <w:divBdr>
        <w:top w:val="none" w:sz="0" w:space="0" w:color="auto"/>
        <w:left w:val="none" w:sz="0" w:space="0" w:color="auto"/>
        <w:bottom w:val="none" w:sz="0" w:space="0" w:color="auto"/>
        <w:right w:val="none" w:sz="0" w:space="0" w:color="auto"/>
      </w:divBdr>
    </w:div>
    <w:div w:id="1629972393">
      <w:bodyDiv w:val="1"/>
      <w:marLeft w:val="0"/>
      <w:marRight w:val="0"/>
      <w:marTop w:val="0"/>
      <w:marBottom w:val="0"/>
      <w:divBdr>
        <w:top w:val="none" w:sz="0" w:space="0" w:color="auto"/>
        <w:left w:val="none" w:sz="0" w:space="0" w:color="auto"/>
        <w:bottom w:val="none" w:sz="0" w:space="0" w:color="auto"/>
        <w:right w:val="none" w:sz="0" w:space="0" w:color="auto"/>
      </w:divBdr>
    </w:div>
    <w:div w:id="1633752403">
      <w:bodyDiv w:val="1"/>
      <w:marLeft w:val="0"/>
      <w:marRight w:val="0"/>
      <w:marTop w:val="0"/>
      <w:marBottom w:val="0"/>
      <w:divBdr>
        <w:top w:val="none" w:sz="0" w:space="0" w:color="auto"/>
        <w:left w:val="none" w:sz="0" w:space="0" w:color="auto"/>
        <w:bottom w:val="none" w:sz="0" w:space="0" w:color="auto"/>
        <w:right w:val="none" w:sz="0" w:space="0" w:color="auto"/>
      </w:divBdr>
    </w:div>
    <w:div w:id="1640577511">
      <w:bodyDiv w:val="1"/>
      <w:marLeft w:val="0"/>
      <w:marRight w:val="0"/>
      <w:marTop w:val="0"/>
      <w:marBottom w:val="0"/>
      <w:divBdr>
        <w:top w:val="none" w:sz="0" w:space="0" w:color="auto"/>
        <w:left w:val="none" w:sz="0" w:space="0" w:color="auto"/>
        <w:bottom w:val="none" w:sz="0" w:space="0" w:color="auto"/>
        <w:right w:val="none" w:sz="0" w:space="0" w:color="auto"/>
      </w:divBdr>
    </w:div>
    <w:div w:id="1640912344">
      <w:bodyDiv w:val="1"/>
      <w:marLeft w:val="0"/>
      <w:marRight w:val="0"/>
      <w:marTop w:val="0"/>
      <w:marBottom w:val="0"/>
      <w:divBdr>
        <w:top w:val="none" w:sz="0" w:space="0" w:color="auto"/>
        <w:left w:val="none" w:sz="0" w:space="0" w:color="auto"/>
        <w:bottom w:val="none" w:sz="0" w:space="0" w:color="auto"/>
        <w:right w:val="none" w:sz="0" w:space="0" w:color="auto"/>
      </w:divBdr>
    </w:div>
    <w:div w:id="1642424457">
      <w:bodyDiv w:val="1"/>
      <w:marLeft w:val="0"/>
      <w:marRight w:val="0"/>
      <w:marTop w:val="0"/>
      <w:marBottom w:val="0"/>
      <w:divBdr>
        <w:top w:val="none" w:sz="0" w:space="0" w:color="auto"/>
        <w:left w:val="none" w:sz="0" w:space="0" w:color="auto"/>
        <w:bottom w:val="none" w:sz="0" w:space="0" w:color="auto"/>
        <w:right w:val="none" w:sz="0" w:space="0" w:color="auto"/>
      </w:divBdr>
    </w:div>
    <w:div w:id="1644238664">
      <w:bodyDiv w:val="1"/>
      <w:marLeft w:val="0"/>
      <w:marRight w:val="0"/>
      <w:marTop w:val="0"/>
      <w:marBottom w:val="0"/>
      <w:divBdr>
        <w:top w:val="none" w:sz="0" w:space="0" w:color="auto"/>
        <w:left w:val="none" w:sz="0" w:space="0" w:color="auto"/>
        <w:bottom w:val="none" w:sz="0" w:space="0" w:color="auto"/>
        <w:right w:val="none" w:sz="0" w:space="0" w:color="auto"/>
      </w:divBdr>
    </w:div>
    <w:div w:id="1645740714">
      <w:bodyDiv w:val="1"/>
      <w:marLeft w:val="0"/>
      <w:marRight w:val="0"/>
      <w:marTop w:val="0"/>
      <w:marBottom w:val="0"/>
      <w:divBdr>
        <w:top w:val="none" w:sz="0" w:space="0" w:color="auto"/>
        <w:left w:val="none" w:sz="0" w:space="0" w:color="auto"/>
        <w:bottom w:val="none" w:sz="0" w:space="0" w:color="auto"/>
        <w:right w:val="none" w:sz="0" w:space="0" w:color="auto"/>
      </w:divBdr>
    </w:div>
    <w:div w:id="1653634853">
      <w:bodyDiv w:val="1"/>
      <w:marLeft w:val="0"/>
      <w:marRight w:val="0"/>
      <w:marTop w:val="0"/>
      <w:marBottom w:val="0"/>
      <w:divBdr>
        <w:top w:val="none" w:sz="0" w:space="0" w:color="auto"/>
        <w:left w:val="none" w:sz="0" w:space="0" w:color="auto"/>
        <w:bottom w:val="none" w:sz="0" w:space="0" w:color="auto"/>
        <w:right w:val="none" w:sz="0" w:space="0" w:color="auto"/>
      </w:divBdr>
    </w:div>
    <w:div w:id="1653948877">
      <w:bodyDiv w:val="1"/>
      <w:marLeft w:val="0"/>
      <w:marRight w:val="0"/>
      <w:marTop w:val="0"/>
      <w:marBottom w:val="0"/>
      <w:divBdr>
        <w:top w:val="none" w:sz="0" w:space="0" w:color="auto"/>
        <w:left w:val="none" w:sz="0" w:space="0" w:color="auto"/>
        <w:bottom w:val="none" w:sz="0" w:space="0" w:color="auto"/>
        <w:right w:val="none" w:sz="0" w:space="0" w:color="auto"/>
      </w:divBdr>
    </w:div>
    <w:div w:id="1654337051">
      <w:bodyDiv w:val="1"/>
      <w:marLeft w:val="0"/>
      <w:marRight w:val="0"/>
      <w:marTop w:val="0"/>
      <w:marBottom w:val="0"/>
      <w:divBdr>
        <w:top w:val="none" w:sz="0" w:space="0" w:color="auto"/>
        <w:left w:val="none" w:sz="0" w:space="0" w:color="auto"/>
        <w:bottom w:val="none" w:sz="0" w:space="0" w:color="auto"/>
        <w:right w:val="none" w:sz="0" w:space="0" w:color="auto"/>
      </w:divBdr>
    </w:div>
    <w:div w:id="1656031671">
      <w:bodyDiv w:val="1"/>
      <w:marLeft w:val="0"/>
      <w:marRight w:val="0"/>
      <w:marTop w:val="0"/>
      <w:marBottom w:val="0"/>
      <w:divBdr>
        <w:top w:val="none" w:sz="0" w:space="0" w:color="auto"/>
        <w:left w:val="none" w:sz="0" w:space="0" w:color="auto"/>
        <w:bottom w:val="none" w:sz="0" w:space="0" w:color="auto"/>
        <w:right w:val="none" w:sz="0" w:space="0" w:color="auto"/>
      </w:divBdr>
    </w:div>
    <w:div w:id="1656763992">
      <w:bodyDiv w:val="1"/>
      <w:marLeft w:val="0"/>
      <w:marRight w:val="0"/>
      <w:marTop w:val="0"/>
      <w:marBottom w:val="0"/>
      <w:divBdr>
        <w:top w:val="none" w:sz="0" w:space="0" w:color="auto"/>
        <w:left w:val="none" w:sz="0" w:space="0" w:color="auto"/>
        <w:bottom w:val="none" w:sz="0" w:space="0" w:color="auto"/>
        <w:right w:val="none" w:sz="0" w:space="0" w:color="auto"/>
      </w:divBdr>
    </w:div>
    <w:div w:id="1658151401">
      <w:bodyDiv w:val="1"/>
      <w:marLeft w:val="0"/>
      <w:marRight w:val="0"/>
      <w:marTop w:val="0"/>
      <w:marBottom w:val="0"/>
      <w:divBdr>
        <w:top w:val="none" w:sz="0" w:space="0" w:color="auto"/>
        <w:left w:val="none" w:sz="0" w:space="0" w:color="auto"/>
        <w:bottom w:val="none" w:sz="0" w:space="0" w:color="auto"/>
        <w:right w:val="none" w:sz="0" w:space="0" w:color="auto"/>
      </w:divBdr>
    </w:div>
    <w:div w:id="1661736765">
      <w:bodyDiv w:val="1"/>
      <w:marLeft w:val="0"/>
      <w:marRight w:val="0"/>
      <w:marTop w:val="0"/>
      <w:marBottom w:val="0"/>
      <w:divBdr>
        <w:top w:val="none" w:sz="0" w:space="0" w:color="auto"/>
        <w:left w:val="none" w:sz="0" w:space="0" w:color="auto"/>
        <w:bottom w:val="none" w:sz="0" w:space="0" w:color="auto"/>
        <w:right w:val="none" w:sz="0" w:space="0" w:color="auto"/>
      </w:divBdr>
    </w:div>
    <w:div w:id="1667323542">
      <w:bodyDiv w:val="1"/>
      <w:marLeft w:val="0"/>
      <w:marRight w:val="0"/>
      <w:marTop w:val="0"/>
      <w:marBottom w:val="0"/>
      <w:divBdr>
        <w:top w:val="none" w:sz="0" w:space="0" w:color="auto"/>
        <w:left w:val="none" w:sz="0" w:space="0" w:color="auto"/>
        <w:bottom w:val="none" w:sz="0" w:space="0" w:color="auto"/>
        <w:right w:val="none" w:sz="0" w:space="0" w:color="auto"/>
      </w:divBdr>
    </w:div>
    <w:div w:id="1670063760">
      <w:bodyDiv w:val="1"/>
      <w:marLeft w:val="0"/>
      <w:marRight w:val="0"/>
      <w:marTop w:val="0"/>
      <w:marBottom w:val="0"/>
      <w:divBdr>
        <w:top w:val="none" w:sz="0" w:space="0" w:color="auto"/>
        <w:left w:val="none" w:sz="0" w:space="0" w:color="auto"/>
        <w:bottom w:val="none" w:sz="0" w:space="0" w:color="auto"/>
        <w:right w:val="none" w:sz="0" w:space="0" w:color="auto"/>
      </w:divBdr>
    </w:div>
    <w:div w:id="1671450008">
      <w:bodyDiv w:val="1"/>
      <w:marLeft w:val="0"/>
      <w:marRight w:val="0"/>
      <w:marTop w:val="0"/>
      <w:marBottom w:val="0"/>
      <w:divBdr>
        <w:top w:val="none" w:sz="0" w:space="0" w:color="auto"/>
        <w:left w:val="none" w:sz="0" w:space="0" w:color="auto"/>
        <w:bottom w:val="none" w:sz="0" w:space="0" w:color="auto"/>
        <w:right w:val="none" w:sz="0" w:space="0" w:color="auto"/>
      </w:divBdr>
    </w:div>
    <w:div w:id="1679770857">
      <w:bodyDiv w:val="1"/>
      <w:marLeft w:val="0"/>
      <w:marRight w:val="0"/>
      <w:marTop w:val="0"/>
      <w:marBottom w:val="0"/>
      <w:divBdr>
        <w:top w:val="none" w:sz="0" w:space="0" w:color="auto"/>
        <w:left w:val="none" w:sz="0" w:space="0" w:color="auto"/>
        <w:bottom w:val="none" w:sz="0" w:space="0" w:color="auto"/>
        <w:right w:val="none" w:sz="0" w:space="0" w:color="auto"/>
      </w:divBdr>
    </w:div>
    <w:div w:id="1683360560">
      <w:bodyDiv w:val="1"/>
      <w:marLeft w:val="0"/>
      <w:marRight w:val="0"/>
      <w:marTop w:val="0"/>
      <w:marBottom w:val="0"/>
      <w:divBdr>
        <w:top w:val="none" w:sz="0" w:space="0" w:color="auto"/>
        <w:left w:val="none" w:sz="0" w:space="0" w:color="auto"/>
        <w:bottom w:val="none" w:sz="0" w:space="0" w:color="auto"/>
        <w:right w:val="none" w:sz="0" w:space="0" w:color="auto"/>
      </w:divBdr>
    </w:div>
    <w:div w:id="1687437953">
      <w:bodyDiv w:val="1"/>
      <w:marLeft w:val="0"/>
      <w:marRight w:val="0"/>
      <w:marTop w:val="0"/>
      <w:marBottom w:val="0"/>
      <w:divBdr>
        <w:top w:val="none" w:sz="0" w:space="0" w:color="auto"/>
        <w:left w:val="none" w:sz="0" w:space="0" w:color="auto"/>
        <w:bottom w:val="none" w:sz="0" w:space="0" w:color="auto"/>
        <w:right w:val="none" w:sz="0" w:space="0" w:color="auto"/>
      </w:divBdr>
    </w:div>
    <w:div w:id="1691178878">
      <w:bodyDiv w:val="1"/>
      <w:marLeft w:val="0"/>
      <w:marRight w:val="0"/>
      <w:marTop w:val="0"/>
      <w:marBottom w:val="0"/>
      <w:divBdr>
        <w:top w:val="none" w:sz="0" w:space="0" w:color="auto"/>
        <w:left w:val="none" w:sz="0" w:space="0" w:color="auto"/>
        <w:bottom w:val="none" w:sz="0" w:space="0" w:color="auto"/>
        <w:right w:val="none" w:sz="0" w:space="0" w:color="auto"/>
      </w:divBdr>
    </w:div>
    <w:div w:id="1693648393">
      <w:bodyDiv w:val="1"/>
      <w:marLeft w:val="0"/>
      <w:marRight w:val="0"/>
      <w:marTop w:val="0"/>
      <w:marBottom w:val="0"/>
      <w:divBdr>
        <w:top w:val="none" w:sz="0" w:space="0" w:color="auto"/>
        <w:left w:val="none" w:sz="0" w:space="0" w:color="auto"/>
        <w:bottom w:val="none" w:sz="0" w:space="0" w:color="auto"/>
        <w:right w:val="none" w:sz="0" w:space="0" w:color="auto"/>
      </w:divBdr>
    </w:div>
    <w:div w:id="1694840198">
      <w:bodyDiv w:val="1"/>
      <w:marLeft w:val="0"/>
      <w:marRight w:val="0"/>
      <w:marTop w:val="0"/>
      <w:marBottom w:val="0"/>
      <w:divBdr>
        <w:top w:val="none" w:sz="0" w:space="0" w:color="auto"/>
        <w:left w:val="none" w:sz="0" w:space="0" w:color="auto"/>
        <w:bottom w:val="none" w:sz="0" w:space="0" w:color="auto"/>
        <w:right w:val="none" w:sz="0" w:space="0" w:color="auto"/>
      </w:divBdr>
    </w:div>
    <w:div w:id="1704401616">
      <w:bodyDiv w:val="1"/>
      <w:marLeft w:val="0"/>
      <w:marRight w:val="0"/>
      <w:marTop w:val="0"/>
      <w:marBottom w:val="0"/>
      <w:divBdr>
        <w:top w:val="none" w:sz="0" w:space="0" w:color="auto"/>
        <w:left w:val="none" w:sz="0" w:space="0" w:color="auto"/>
        <w:bottom w:val="none" w:sz="0" w:space="0" w:color="auto"/>
        <w:right w:val="none" w:sz="0" w:space="0" w:color="auto"/>
      </w:divBdr>
    </w:div>
    <w:div w:id="1712071408">
      <w:bodyDiv w:val="1"/>
      <w:marLeft w:val="0"/>
      <w:marRight w:val="0"/>
      <w:marTop w:val="0"/>
      <w:marBottom w:val="0"/>
      <w:divBdr>
        <w:top w:val="none" w:sz="0" w:space="0" w:color="auto"/>
        <w:left w:val="none" w:sz="0" w:space="0" w:color="auto"/>
        <w:bottom w:val="none" w:sz="0" w:space="0" w:color="auto"/>
        <w:right w:val="none" w:sz="0" w:space="0" w:color="auto"/>
      </w:divBdr>
    </w:div>
    <w:div w:id="1712269474">
      <w:bodyDiv w:val="1"/>
      <w:marLeft w:val="0"/>
      <w:marRight w:val="0"/>
      <w:marTop w:val="0"/>
      <w:marBottom w:val="0"/>
      <w:divBdr>
        <w:top w:val="none" w:sz="0" w:space="0" w:color="auto"/>
        <w:left w:val="none" w:sz="0" w:space="0" w:color="auto"/>
        <w:bottom w:val="none" w:sz="0" w:space="0" w:color="auto"/>
        <w:right w:val="none" w:sz="0" w:space="0" w:color="auto"/>
      </w:divBdr>
    </w:div>
    <w:div w:id="1718436361">
      <w:bodyDiv w:val="1"/>
      <w:marLeft w:val="0"/>
      <w:marRight w:val="0"/>
      <w:marTop w:val="0"/>
      <w:marBottom w:val="0"/>
      <w:divBdr>
        <w:top w:val="none" w:sz="0" w:space="0" w:color="auto"/>
        <w:left w:val="none" w:sz="0" w:space="0" w:color="auto"/>
        <w:bottom w:val="none" w:sz="0" w:space="0" w:color="auto"/>
        <w:right w:val="none" w:sz="0" w:space="0" w:color="auto"/>
      </w:divBdr>
    </w:div>
    <w:div w:id="1720713594">
      <w:bodyDiv w:val="1"/>
      <w:marLeft w:val="0"/>
      <w:marRight w:val="0"/>
      <w:marTop w:val="0"/>
      <w:marBottom w:val="0"/>
      <w:divBdr>
        <w:top w:val="none" w:sz="0" w:space="0" w:color="auto"/>
        <w:left w:val="none" w:sz="0" w:space="0" w:color="auto"/>
        <w:bottom w:val="none" w:sz="0" w:space="0" w:color="auto"/>
        <w:right w:val="none" w:sz="0" w:space="0" w:color="auto"/>
      </w:divBdr>
    </w:div>
    <w:div w:id="1736657340">
      <w:bodyDiv w:val="1"/>
      <w:marLeft w:val="0"/>
      <w:marRight w:val="0"/>
      <w:marTop w:val="0"/>
      <w:marBottom w:val="0"/>
      <w:divBdr>
        <w:top w:val="none" w:sz="0" w:space="0" w:color="auto"/>
        <w:left w:val="none" w:sz="0" w:space="0" w:color="auto"/>
        <w:bottom w:val="none" w:sz="0" w:space="0" w:color="auto"/>
        <w:right w:val="none" w:sz="0" w:space="0" w:color="auto"/>
      </w:divBdr>
    </w:div>
    <w:div w:id="1738093835">
      <w:bodyDiv w:val="1"/>
      <w:marLeft w:val="0"/>
      <w:marRight w:val="0"/>
      <w:marTop w:val="0"/>
      <w:marBottom w:val="0"/>
      <w:divBdr>
        <w:top w:val="none" w:sz="0" w:space="0" w:color="auto"/>
        <w:left w:val="none" w:sz="0" w:space="0" w:color="auto"/>
        <w:bottom w:val="none" w:sz="0" w:space="0" w:color="auto"/>
        <w:right w:val="none" w:sz="0" w:space="0" w:color="auto"/>
      </w:divBdr>
    </w:div>
    <w:div w:id="1738094739">
      <w:bodyDiv w:val="1"/>
      <w:marLeft w:val="0"/>
      <w:marRight w:val="0"/>
      <w:marTop w:val="0"/>
      <w:marBottom w:val="0"/>
      <w:divBdr>
        <w:top w:val="none" w:sz="0" w:space="0" w:color="auto"/>
        <w:left w:val="none" w:sz="0" w:space="0" w:color="auto"/>
        <w:bottom w:val="none" w:sz="0" w:space="0" w:color="auto"/>
        <w:right w:val="none" w:sz="0" w:space="0" w:color="auto"/>
      </w:divBdr>
    </w:div>
    <w:div w:id="1740706702">
      <w:bodyDiv w:val="1"/>
      <w:marLeft w:val="0"/>
      <w:marRight w:val="0"/>
      <w:marTop w:val="0"/>
      <w:marBottom w:val="0"/>
      <w:divBdr>
        <w:top w:val="none" w:sz="0" w:space="0" w:color="auto"/>
        <w:left w:val="none" w:sz="0" w:space="0" w:color="auto"/>
        <w:bottom w:val="none" w:sz="0" w:space="0" w:color="auto"/>
        <w:right w:val="none" w:sz="0" w:space="0" w:color="auto"/>
      </w:divBdr>
    </w:div>
    <w:div w:id="1742219201">
      <w:bodyDiv w:val="1"/>
      <w:marLeft w:val="0"/>
      <w:marRight w:val="0"/>
      <w:marTop w:val="0"/>
      <w:marBottom w:val="0"/>
      <w:divBdr>
        <w:top w:val="none" w:sz="0" w:space="0" w:color="auto"/>
        <w:left w:val="none" w:sz="0" w:space="0" w:color="auto"/>
        <w:bottom w:val="none" w:sz="0" w:space="0" w:color="auto"/>
        <w:right w:val="none" w:sz="0" w:space="0" w:color="auto"/>
      </w:divBdr>
    </w:div>
    <w:div w:id="1742676120">
      <w:bodyDiv w:val="1"/>
      <w:marLeft w:val="0"/>
      <w:marRight w:val="0"/>
      <w:marTop w:val="0"/>
      <w:marBottom w:val="0"/>
      <w:divBdr>
        <w:top w:val="none" w:sz="0" w:space="0" w:color="auto"/>
        <w:left w:val="none" w:sz="0" w:space="0" w:color="auto"/>
        <w:bottom w:val="none" w:sz="0" w:space="0" w:color="auto"/>
        <w:right w:val="none" w:sz="0" w:space="0" w:color="auto"/>
      </w:divBdr>
    </w:div>
    <w:div w:id="1742826152">
      <w:bodyDiv w:val="1"/>
      <w:marLeft w:val="0"/>
      <w:marRight w:val="0"/>
      <w:marTop w:val="0"/>
      <w:marBottom w:val="0"/>
      <w:divBdr>
        <w:top w:val="none" w:sz="0" w:space="0" w:color="auto"/>
        <w:left w:val="none" w:sz="0" w:space="0" w:color="auto"/>
        <w:bottom w:val="none" w:sz="0" w:space="0" w:color="auto"/>
        <w:right w:val="none" w:sz="0" w:space="0" w:color="auto"/>
      </w:divBdr>
    </w:div>
    <w:div w:id="1743068036">
      <w:bodyDiv w:val="1"/>
      <w:marLeft w:val="0"/>
      <w:marRight w:val="0"/>
      <w:marTop w:val="0"/>
      <w:marBottom w:val="0"/>
      <w:divBdr>
        <w:top w:val="none" w:sz="0" w:space="0" w:color="auto"/>
        <w:left w:val="none" w:sz="0" w:space="0" w:color="auto"/>
        <w:bottom w:val="none" w:sz="0" w:space="0" w:color="auto"/>
        <w:right w:val="none" w:sz="0" w:space="0" w:color="auto"/>
      </w:divBdr>
    </w:div>
    <w:div w:id="1760173636">
      <w:bodyDiv w:val="1"/>
      <w:marLeft w:val="0"/>
      <w:marRight w:val="0"/>
      <w:marTop w:val="0"/>
      <w:marBottom w:val="0"/>
      <w:divBdr>
        <w:top w:val="none" w:sz="0" w:space="0" w:color="auto"/>
        <w:left w:val="none" w:sz="0" w:space="0" w:color="auto"/>
        <w:bottom w:val="none" w:sz="0" w:space="0" w:color="auto"/>
        <w:right w:val="none" w:sz="0" w:space="0" w:color="auto"/>
      </w:divBdr>
    </w:div>
    <w:div w:id="1760516209">
      <w:bodyDiv w:val="1"/>
      <w:marLeft w:val="0"/>
      <w:marRight w:val="0"/>
      <w:marTop w:val="0"/>
      <w:marBottom w:val="0"/>
      <w:divBdr>
        <w:top w:val="none" w:sz="0" w:space="0" w:color="auto"/>
        <w:left w:val="none" w:sz="0" w:space="0" w:color="auto"/>
        <w:bottom w:val="none" w:sz="0" w:space="0" w:color="auto"/>
        <w:right w:val="none" w:sz="0" w:space="0" w:color="auto"/>
      </w:divBdr>
    </w:div>
    <w:div w:id="1763258681">
      <w:bodyDiv w:val="1"/>
      <w:marLeft w:val="0"/>
      <w:marRight w:val="0"/>
      <w:marTop w:val="0"/>
      <w:marBottom w:val="0"/>
      <w:divBdr>
        <w:top w:val="none" w:sz="0" w:space="0" w:color="auto"/>
        <w:left w:val="none" w:sz="0" w:space="0" w:color="auto"/>
        <w:bottom w:val="none" w:sz="0" w:space="0" w:color="auto"/>
        <w:right w:val="none" w:sz="0" w:space="0" w:color="auto"/>
      </w:divBdr>
    </w:div>
    <w:div w:id="1772124023">
      <w:bodyDiv w:val="1"/>
      <w:marLeft w:val="0"/>
      <w:marRight w:val="0"/>
      <w:marTop w:val="0"/>
      <w:marBottom w:val="0"/>
      <w:divBdr>
        <w:top w:val="none" w:sz="0" w:space="0" w:color="auto"/>
        <w:left w:val="none" w:sz="0" w:space="0" w:color="auto"/>
        <w:bottom w:val="none" w:sz="0" w:space="0" w:color="auto"/>
        <w:right w:val="none" w:sz="0" w:space="0" w:color="auto"/>
      </w:divBdr>
    </w:div>
    <w:div w:id="1773626284">
      <w:bodyDiv w:val="1"/>
      <w:marLeft w:val="0"/>
      <w:marRight w:val="0"/>
      <w:marTop w:val="0"/>
      <w:marBottom w:val="0"/>
      <w:divBdr>
        <w:top w:val="none" w:sz="0" w:space="0" w:color="auto"/>
        <w:left w:val="none" w:sz="0" w:space="0" w:color="auto"/>
        <w:bottom w:val="none" w:sz="0" w:space="0" w:color="auto"/>
        <w:right w:val="none" w:sz="0" w:space="0" w:color="auto"/>
      </w:divBdr>
    </w:div>
    <w:div w:id="1776442828">
      <w:bodyDiv w:val="1"/>
      <w:marLeft w:val="0"/>
      <w:marRight w:val="0"/>
      <w:marTop w:val="0"/>
      <w:marBottom w:val="0"/>
      <w:divBdr>
        <w:top w:val="none" w:sz="0" w:space="0" w:color="auto"/>
        <w:left w:val="none" w:sz="0" w:space="0" w:color="auto"/>
        <w:bottom w:val="none" w:sz="0" w:space="0" w:color="auto"/>
        <w:right w:val="none" w:sz="0" w:space="0" w:color="auto"/>
      </w:divBdr>
    </w:div>
    <w:div w:id="1780446381">
      <w:bodyDiv w:val="1"/>
      <w:marLeft w:val="0"/>
      <w:marRight w:val="0"/>
      <w:marTop w:val="0"/>
      <w:marBottom w:val="0"/>
      <w:divBdr>
        <w:top w:val="none" w:sz="0" w:space="0" w:color="auto"/>
        <w:left w:val="none" w:sz="0" w:space="0" w:color="auto"/>
        <w:bottom w:val="none" w:sz="0" w:space="0" w:color="auto"/>
        <w:right w:val="none" w:sz="0" w:space="0" w:color="auto"/>
      </w:divBdr>
    </w:div>
    <w:div w:id="1786148670">
      <w:bodyDiv w:val="1"/>
      <w:marLeft w:val="0"/>
      <w:marRight w:val="0"/>
      <w:marTop w:val="0"/>
      <w:marBottom w:val="0"/>
      <w:divBdr>
        <w:top w:val="none" w:sz="0" w:space="0" w:color="auto"/>
        <w:left w:val="none" w:sz="0" w:space="0" w:color="auto"/>
        <w:bottom w:val="none" w:sz="0" w:space="0" w:color="auto"/>
        <w:right w:val="none" w:sz="0" w:space="0" w:color="auto"/>
      </w:divBdr>
    </w:div>
    <w:div w:id="1786344641">
      <w:bodyDiv w:val="1"/>
      <w:marLeft w:val="0"/>
      <w:marRight w:val="0"/>
      <w:marTop w:val="0"/>
      <w:marBottom w:val="0"/>
      <w:divBdr>
        <w:top w:val="none" w:sz="0" w:space="0" w:color="auto"/>
        <w:left w:val="none" w:sz="0" w:space="0" w:color="auto"/>
        <w:bottom w:val="none" w:sz="0" w:space="0" w:color="auto"/>
        <w:right w:val="none" w:sz="0" w:space="0" w:color="auto"/>
      </w:divBdr>
    </w:div>
    <w:div w:id="1788621394">
      <w:bodyDiv w:val="1"/>
      <w:marLeft w:val="0"/>
      <w:marRight w:val="0"/>
      <w:marTop w:val="0"/>
      <w:marBottom w:val="0"/>
      <w:divBdr>
        <w:top w:val="none" w:sz="0" w:space="0" w:color="auto"/>
        <w:left w:val="none" w:sz="0" w:space="0" w:color="auto"/>
        <w:bottom w:val="none" w:sz="0" w:space="0" w:color="auto"/>
        <w:right w:val="none" w:sz="0" w:space="0" w:color="auto"/>
      </w:divBdr>
    </w:div>
    <w:div w:id="1789422602">
      <w:bodyDiv w:val="1"/>
      <w:marLeft w:val="0"/>
      <w:marRight w:val="0"/>
      <w:marTop w:val="0"/>
      <w:marBottom w:val="0"/>
      <w:divBdr>
        <w:top w:val="none" w:sz="0" w:space="0" w:color="auto"/>
        <w:left w:val="none" w:sz="0" w:space="0" w:color="auto"/>
        <w:bottom w:val="none" w:sz="0" w:space="0" w:color="auto"/>
        <w:right w:val="none" w:sz="0" w:space="0" w:color="auto"/>
      </w:divBdr>
    </w:div>
    <w:div w:id="1789856621">
      <w:bodyDiv w:val="1"/>
      <w:marLeft w:val="0"/>
      <w:marRight w:val="0"/>
      <w:marTop w:val="0"/>
      <w:marBottom w:val="0"/>
      <w:divBdr>
        <w:top w:val="none" w:sz="0" w:space="0" w:color="auto"/>
        <w:left w:val="none" w:sz="0" w:space="0" w:color="auto"/>
        <w:bottom w:val="none" w:sz="0" w:space="0" w:color="auto"/>
        <w:right w:val="none" w:sz="0" w:space="0" w:color="auto"/>
      </w:divBdr>
    </w:div>
    <w:div w:id="1791822839">
      <w:bodyDiv w:val="1"/>
      <w:marLeft w:val="0"/>
      <w:marRight w:val="0"/>
      <w:marTop w:val="0"/>
      <w:marBottom w:val="0"/>
      <w:divBdr>
        <w:top w:val="none" w:sz="0" w:space="0" w:color="auto"/>
        <w:left w:val="none" w:sz="0" w:space="0" w:color="auto"/>
        <w:bottom w:val="none" w:sz="0" w:space="0" w:color="auto"/>
        <w:right w:val="none" w:sz="0" w:space="0" w:color="auto"/>
      </w:divBdr>
    </w:div>
    <w:div w:id="1792627012">
      <w:bodyDiv w:val="1"/>
      <w:marLeft w:val="0"/>
      <w:marRight w:val="0"/>
      <w:marTop w:val="0"/>
      <w:marBottom w:val="0"/>
      <w:divBdr>
        <w:top w:val="none" w:sz="0" w:space="0" w:color="auto"/>
        <w:left w:val="none" w:sz="0" w:space="0" w:color="auto"/>
        <w:bottom w:val="none" w:sz="0" w:space="0" w:color="auto"/>
        <w:right w:val="none" w:sz="0" w:space="0" w:color="auto"/>
      </w:divBdr>
    </w:div>
    <w:div w:id="1792936038">
      <w:bodyDiv w:val="1"/>
      <w:marLeft w:val="0"/>
      <w:marRight w:val="0"/>
      <w:marTop w:val="0"/>
      <w:marBottom w:val="0"/>
      <w:divBdr>
        <w:top w:val="none" w:sz="0" w:space="0" w:color="auto"/>
        <w:left w:val="none" w:sz="0" w:space="0" w:color="auto"/>
        <w:bottom w:val="none" w:sz="0" w:space="0" w:color="auto"/>
        <w:right w:val="none" w:sz="0" w:space="0" w:color="auto"/>
      </w:divBdr>
    </w:div>
    <w:div w:id="1806657731">
      <w:bodyDiv w:val="1"/>
      <w:marLeft w:val="0"/>
      <w:marRight w:val="0"/>
      <w:marTop w:val="0"/>
      <w:marBottom w:val="0"/>
      <w:divBdr>
        <w:top w:val="none" w:sz="0" w:space="0" w:color="auto"/>
        <w:left w:val="none" w:sz="0" w:space="0" w:color="auto"/>
        <w:bottom w:val="none" w:sz="0" w:space="0" w:color="auto"/>
        <w:right w:val="none" w:sz="0" w:space="0" w:color="auto"/>
      </w:divBdr>
    </w:div>
    <w:div w:id="1807310556">
      <w:bodyDiv w:val="1"/>
      <w:marLeft w:val="0"/>
      <w:marRight w:val="0"/>
      <w:marTop w:val="0"/>
      <w:marBottom w:val="0"/>
      <w:divBdr>
        <w:top w:val="none" w:sz="0" w:space="0" w:color="auto"/>
        <w:left w:val="none" w:sz="0" w:space="0" w:color="auto"/>
        <w:bottom w:val="none" w:sz="0" w:space="0" w:color="auto"/>
        <w:right w:val="none" w:sz="0" w:space="0" w:color="auto"/>
      </w:divBdr>
    </w:div>
    <w:div w:id="1810436830">
      <w:bodyDiv w:val="1"/>
      <w:marLeft w:val="0"/>
      <w:marRight w:val="0"/>
      <w:marTop w:val="0"/>
      <w:marBottom w:val="0"/>
      <w:divBdr>
        <w:top w:val="none" w:sz="0" w:space="0" w:color="auto"/>
        <w:left w:val="none" w:sz="0" w:space="0" w:color="auto"/>
        <w:bottom w:val="none" w:sz="0" w:space="0" w:color="auto"/>
        <w:right w:val="none" w:sz="0" w:space="0" w:color="auto"/>
      </w:divBdr>
    </w:div>
    <w:div w:id="1810777874">
      <w:bodyDiv w:val="1"/>
      <w:marLeft w:val="0"/>
      <w:marRight w:val="0"/>
      <w:marTop w:val="0"/>
      <w:marBottom w:val="0"/>
      <w:divBdr>
        <w:top w:val="none" w:sz="0" w:space="0" w:color="auto"/>
        <w:left w:val="none" w:sz="0" w:space="0" w:color="auto"/>
        <w:bottom w:val="none" w:sz="0" w:space="0" w:color="auto"/>
        <w:right w:val="none" w:sz="0" w:space="0" w:color="auto"/>
      </w:divBdr>
    </w:div>
    <w:div w:id="1829203729">
      <w:bodyDiv w:val="1"/>
      <w:marLeft w:val="0"/>
      <w:marRight w:val="0"/>
      <w:marTop w:val="0"/>
      <w:marBottom w:val="0"/>
      <w:divBdr>
        <w:top w:val="none" w:sz="0" w:space="0" w:color="auto"/>
        <w:left w:val="none" w:sz="0" w:space="0" w:color="auto"/>
        <w:bottom w:val="none" w:sz="0" w:space="0" w:color="auto"/>
        <w:right w:val="none" w:sz="0" w:space="0" w:color="auto"/>
      </w:divBdr>
    </w:div>
    <w:div w:id="1830900607">
      <w:bodyDiv w:val="1"/>
      <w:marLeft w:val="0"/>
      <w:marRight w:val="0"/>
      <w:marTop w:val="0"/>
      <w:marBottom w:val="0"/>
      <w:divBdr>
        <w:top w:val="none" w:sz="0" w:space="0" w:color="auto"/>
        <w:left w:val="none" w:sz="0" w:space="0" w:color="auto"/>
        <w:bottom w:val="none" w:sz="0" w:space="0" w:color="auto"/>
        <w:right w:val="none" w:sz="0" w:space="0" w:color="auto"/>
      </w:divBdr>
    </w:div>
    <w:div w:id="1831872098">
      <w:bodyDiv w:val="1"/>
      <w:marLeft w:val="0"/>
      <w:marRight w:val="0"/>
      <w:marTop w:val="0"/>
      <w:marBottom w:val="0"/>
      <w:divBdr>
        <w:top w:val="none" w:sz="0" w:space="0" w:color="auto"/>
        <w:left w:val="none" w:sz="0" w:space="0" w:color="auto"/>
        <w:bottom w:val="none" w:sz="0" w:space="0" w:color="auto"/>
        <w:right w:val="none" w:sz="0" w:space="0" w:color="auto"/>
      </w:divBdr>
    </w:div>
    <w:div w:id="1832136674">
      <w:bodyDiv w:val="1"/>
      <w:marLeft w:val="0"/>
      <w:marRight w:val="0"/>
      <w:marTop w:val="0"/>
      <w:marBottom w:val="0"/>
      <w:divBdr>
        <w:top w:val="none" w:sz="0" w:space="0" w:color="auto"/>
        <w:left w:val="none" w:sz="0" w:space="0" w:color="auto"/>
        <w:bottom w:val="none" w:sz="0" w:space="0" w:color="auto"/>
        <w:right w:val="none" w:sz="0" w:space="0" w:color="auto"/>
      </w:divBdr>
    </w:div>
    <w:div w:id="1832408759">
      <w:bodyDiv w:val="1"/>
      <w:marLeft w:val="0"/>
      <w:marRight w:val="0"/>
      <w:marTop w:val="0"/>
      <w:marBottom w:val="0"/>
      <w:divBdr>
        <w:top w:val="none" w:sz="0" w:space="0" w:color="auto"/>
        <w:left w:val="none" w:sz="0" w:space="0" w:color="auto"/>
        <w:bottom w:val="none" w:sz="0" w:space="0" w:color="auto"/>
        <w:right w:val="none" w:sz="0" w:space="0" w:color="auto"/>
      </w:divBdr>
    </w:div>
    <w:div w:id="1832941279">
      <w:bodyDiv w:val="1"/>
      <w:marLeft w:val="0"/>
      <w:marRight w:val="0"/>
      <w:marTop w:val="0"/>
      <w:marBottom w:val="0"/>
      <w:divBdr>
        <w:top w:val="none" w:sz="0" w:space="0" w:color="auto"/>
        <w:left w:val="none" w:sz="0" w:space="0" w:color="auto"/>
        <w:bottom w:val="none" w:sz="0" w:space="0" w:color="auto"/>
        <w:right w:val="none" w:sz="0" w:space="0" w:color="auto"/>
      </w:divBdr>
    </w:div>
    <w:div w:id="1837302378">
      <w:bodyDiv w:val="1"/>
      <w:marLeft w:val="0"/>
      <w:marRight w:val="0"/>
      <w:marTop w:val="0"/>
      <w:marBottom w:val="0"/>
      <w:divBdr>
        <w:top w:val="none" w:sz="0" w:space="0" w:color="auto"/>
        <w:left w:val="none" w:sz="0" w:space="0" w:color="auto"/>
        <w:bottom w:val="none" w:sz="0" w:space="0" w:color="auto"/>
        <w:right w:val="none" w:sz="0" w:space="0" w:color="auto"/>
      </w:divBdr>
    </w:div>
    <w:div w:id="1837918776">
      <w:bodyDiv w:val="1"/>
      <w:marLeft w:val="0"/>
      <w:marRight w:val="0"/>
      <w:marTop w:val="0"/>
      <w:marBottom w:val="0"/>
      <w:divBdr>
        <w:top w:val="none" w:sz="0" w:space="0" w:color="auto"/>
        <w:left w:val="none" w:sz="0" w:space="0" w:color="auto"/>
        <w:bottom w:val="none" w:sz="0" w:space="0" w:color="auto"/>
        <w:right w:val="none" w:sz="0" w:space="0" w:color="auto"/>
      </w:divBdr>
    </w:div>
    <w:div w:id="1840340043">
      <w:bodyDiv w:val="1"/>
      <w:marLeft w:val="0"/>
      <w:marRight w:val="0"/>
      <w:marTop w:val="0"/>
      <w:marBottom w:val="0"/>
      <w:divBdr>
        <w:top w:val="none" w:sz="0" w:space="0" w:color="auto"/>
        <w:left w:val="none" w:sz="0" w:space="0" w:color="auto"/>
        <w:bottom w:val="none" w:sz="0" w:space="0" w:color="auto"/>
        <w:right w:val="none" w:sz="0" w:space="0" w:color="auto"/>
      </w:divBdr>
    </w:div>
    <w:div w:id="1845364997">
      <w:bodyDiv w:val="1"/>
      <w:marLeft w:val="0"/>
      <w:marRight w:val="0"/>
      <w:marTop w:val="0"/>
      <w:marBottom w:val="0"/>
      <w:divBdr>
        <w:top w:val="none" w:sz="0" w:space="0" w:color="auto"/>
        <w:left w:val="none" w:sz="0" w:space="0" w:color="auto"/>
        <w:bottom w:val="none" w:sz="0" w:space="0" w:color="auto"/>
        <w:right w:val="none" w:sz="0" w:space="0" w:color="auto"/>
      </w:divBdr>
    </w:div>
    <w:div w:id="1847162387">
      <w:bodyDiv w:val="1"/>
      <w:marLeft w:val="0"/>
      <w:marRight w:val="0"/>
      <w:marTop w:val="0"/>
      <w:marBottom w:val="0"/>
      <w:divBdr>
        <w:top w:val="none" w:sz="0" w:space="0" w:color="auto"/>
        <w:left w:val="none" w:sz="0" w:space="0" w:color="auto"/>
        <w:bottom w:val="none" w:sz="0" w:space="0" w:color="auto"/>
        <w:right w:val="none" w:sz="0" w:space="0" w:color="auto"/>
      </w:divBdr>
    </w:div>
    <w:div w:id="1856578888">
      <w:bodyDiv w:val="1"/>
      <w:marLeft w:val="0"/>
      <w:marRight w:val="0"/>
      <w:marTop w:val="0"/>
      <w:marBottom w:val="0"/>
      <w:divBdr>
        <w:top w:val="none" w:sz="0" w:space="0" w:color="auto"/>
        <w:left w:val="none" w:sz="0" w:space="0" w:color="auto"/>
        <w:bottom w:val="none" w:sz="0" w:space="0" w:color="auto"/>
        <w:right w:val="none" w:sz="0" w:space="0" w:color="auto"/>
      </w:divBdr>
    </w:div>
    <w:div w:id="1856767335">
      <w:bodyDiv w:val="1"/>
      <w:marLeft w:val="0"/>
      <w:marRight w:val="0"/>
      <w:marTop w:val="0"/>
      <w:marBottom w:val="0"/>
      <w:divBdr>
        <w:top w:val="none" w:sz="0" w:space="0" w:color="auto"/>
        <w:left w:val="none" w:sz="0" w:space="0" w:color="auto"/>
        <w:bottom w:val="none" w:sz="0" w:space="0" w:color="auto"/>
        <w:right w:val="none" w:sz="0" w:space="0" w:color="auto"/>
      </w:divBdr>
    </w:div>
    <w:div w:id="1859077622">
      <w:bodyDiv w:val="1"/>
      <w:marLeft w:val="0"/>
      <w:marRight w:val="0"/>
      <w:marTop w:val="0"/>
      <w:marBottom w:val="0"/>
      <w:divBdr>
        <w:top w:val="none" w:sz="0" w:space="0" w:color="auto"/>
        <w:left w:val="none" w:sz="0" w:space="0" w:color="auto"/>
        <w:bottom w:val="none" w:sz="0" w:space="0" w:color="auto"/>
        <w:right w:val="none" w:sz="0" w:space="0" w:color="auto"/>
      </w:divBdr>
    </w:div>
    <w:div w:id="1861893911">
      <w:bodyDiv w:val="1"/>
      <w:marLeft w:val="0"/>
      <w:marRight w:val="0"/>
      <w:marTop w:val="0"/>
      <w:marBottom w:val="0"/>
      <w:divBdr>
        <w:top w:val="none" w:sz="0" w:space="0" w:color="auto"/>
        <w:left w:val="none" w:sz="0" w:space="0" w:color="auto"/>
        <w:bottom w:val="none" w:sz="0" w:space="0" w:color="auto"/>
        <w:right w:val="none" w:sz="0" w:space="0" w:color="auto"/>
      </w:divBdr>
    </w:div>
    <w:div w:id="1863976408">
      <w:bodyDiv w:val="1"/>
      <w:marLeft w:val="0"/>
      <w:marRight w:val="0"/>
      <w:marTop w:val="0"/>
      <w:marBottom w:val="0"/>
      <w:divBdr>
        <w:top w:val="none" w:sz="0" w:space="0" w:color="auto"/>
        <w:left w:val="none" w:sz="0" w:space="0" w:color="auto"/>
        <w:bottom w:val="none" w:sz="0" w:space="0" w:color="auto"/>
        <w:right w:val="none" w:sz="0" w:space="0" w:color="auto"/>
      </w:divBdr>
    </w:div>
    <w:div w:id="1867328591">
      <w:bodyDiv w:val="1"/>
      <w:marLeft w:val="0"/>
      <w:marRight w:val="0"/>
      <w:marTop w:val="0"/>
      <w:marBottom w:val="0"/>
      <w:divBdr>
        <w:top w:val="none" w:sz="0" w:space="0" w:color="auto"/>
        <w:left w:val="none" w:sz="0" w:space="0" w:color="auto"/>
        <w:bottom w:val="none" w:sz="0" w:space="0" w:color="auto"/>
        <w:right w:val="none" w:sz="0" w:space="0" w:color="auto"/>
      </w:divBdr>
    </w:div>
    <w:div w:id="1872911814">
      <w:bodyDiv w:val="1"/>
      <w:marLeft w:val="0"/>
      <w:marRight w:val="0"/>
      <w:marTop w:val="0"/>
      <w:marBottom w:val="0"/>
      <w:divBdr>
        <w:top w:val="none" w:sz="0" w:space="0" w:color="auto"/>
        <w:left w:val="none" w:sz="0" w:space="0" w:color="auto"/>
        <w:bottom w:val="none" w:sz="0" w:space="0" w:color="auto"/>
        <w:right w:val="none" w:sz="0" w:space="0" w:color="auto"/>
      </w:divBdr>
    </w:div>
    <w:div w:id="1880125521">
      <w:bodyDiv w:val="1"/>
      <w:marLeft w:val="0"/>
      <w:marRight w:val="0"/>
      <w:marTop w:val="0"/>
      <w:marBottom w:val="0"/>
      <w:divBdr>
        <w:top w:val="none" w:sz="0" w:space="0" w:color="auto"/>
        <w:left w:val="none" w:sz="0" w:space="0" w:color="auto"/>
        <w:bottom w:val="none" w:sz="0" w:space="0" w:color="auto"/>
        <w:right w:val="none" w:sz="0" w:space="0" w:color="auto"/>
      </w:divBdr>
    </w:div>
    <w:div w:id="1885368722">
      <w:bodyDiv w:val="1"/>
      <w:marLeft w:val="0"/>
      <w:marRight w:val="0"/>
      <w:marTop w:val="0"/>
      <w:marBottom w:val="0"/>
      <w:divBdr>
        <w:top w:val="none" w:sz="0" w:space="0" w:color="auto"/>
        <w:left w:val="none" w:sz="0" w:space="0" w:color="auto"/>
        <w:bottom w:val="none" w:sz="0" w:space="0" w:color="auto"/>
        <w:right w:val="none" w:sz="0" w:space="0" w:color="auto"/>
      </w:divBdr>
    </w:div>
    <w:div w:id="1895965002">
      <w:bodyDiv w:val="1"/>
      <w:marLeft w:val="0"/>
      <w:marRight w:val="0"/>
      <w:marTop w:val="0"/>
      <w:marBottom w:val="0"/>
      <w:divBdr>
        <w:top w:val="none" w:sz="0" w:space="0" w:color="auto"/>
        <w:left w:val="none" w:sz="0" w:space="0" w:color="auto"/>
        <w:bottom w:val="none" w:sz="0" w:space="0" w:color="auto"/>
        <w:right w:val="none" w:sz="0" w:space="0" w:color="auto"/>
      </w:divBdr>
    </w:div>
    <w:div w:id="1897085690">
      <w:bodyDiv w:val="1"/>
      <w:marLeft w:val="0"/>
      <w:marRight w:val="0"/>
      <w:marTop w:val="0"/>
      <w:marBottom w:val="0"/>
      <w:divBdr>
        <w:top w:val="none" w:sz="0" w:space="0" w:color="auto"/>
        <w:left w:val="none" w:sz="0" w:space="0" w:color="auto"/>
        <w:bottom w:val="none" w:sz="0" w:space="0" w:color="auto"/>
        <w:right w:val="none" w:sz="0" w:space="0" w:color="auto"/>
      </w:divBdr>
    </w:div>
    <w:div w:id="1899507417">
      <w:bodyDiv w:val="1"/>
      <w:marLeft w:val="0"/>
      <w:marRight w:val="0"/>
      <w:marTop w:val="0"/>
      <w:marBottom w:val="0"/>
      <w:divBdr>
        <w:top w:val="none" w:sz="0" w:space="0" w:color="auto"/>
        <w:left w:val="none" w:sz="0" w:space="0" w:color="auto"/>
        <w:bottom w:val="none" w:sz="0" w:space="0" w:color="auto"/>
        <w:right w:val="none" w:sz="0" w:space="0" w:color="auto"/>
      </w:divBdr>
    </w:div>
    <w:div w:id="1921862031">
      <w:bodyDiv w:val="1"/>
      <w:marLeft w:val="0"/>
      <w:marRight w:val="0"/>
      <w:marTop w:val="0"/>
      <w:marBottom w:val="0"/>
      <w:divBdr>
        <w:top w:val="none" w:sz="0" w:space="0" w:color="auto"/>
        <w:left w:val="none" w:sz="0" w:space="0" w:color="auto"/>
        <w:bottom w:val="none" w:sz="0" w:space="0" w:color="auto"/>
        <w:right w:val="none" w:sz="0" w:space="0" w:color="auto"/>
      </w:divBdr>
    </w:div>
    <w:div w:id="1928728055">
      <w:bodyDiv w:val="1"/>
      <w:marLeft w:val="0"/>
      <w:marRight w:val="0"/>
      <w:marTop w:val="0"/>
      <w:marBottom w:val="0"/>
      <w:divBdr>
        <w:top w:val="none" w:sz="0" w:space="0" w:color="auto"/>
        <w:left w:val="none" w:sz="0" w:space="0" w:color="auto"/>
        <w:bottom w:val="none" w:sz="0" w:space="0" w:color="auto"/>
        <w:right w:val="none" w:sz="0" w:space="0" w:color="auto"/>
      </w:divBdr>
    </w:div>
    <w:div w:id="1932854811">
      <w:bodyDiv w:val="1"/>
      <w:marLeft w:val="0"/>
      <w:marRight w:val="0"/>
      <w:marTop w:val="0"/>
      <w:marBottom w:val="0"/>
      <w:divBdr>
        <w:top w:val="none" w:sz="0" w:space="0" w:color="auto"/>
        <w:left w:val="none" w:sz="0" w:space="0" w:color="auto"/>
        <w:bottom w:val="none" w:sz="0" w:space="0" w:color="auto"/>
        <w:right w:val="none" w:sz="0" w:space="0" w:color="auto"/>
      </w:divBdr>
    </w:div>
    <w:div w:id="1937130913">
      <w:bodyDiv w:val="1"/>
      <w:marLeft w:val="0"/>
      <w:marRight w:val="0"/>
      <w:marTop w:val="0"/>
      <w:marBottom w:val="0"/>
      <w:divBdr>
        <w:top w:val="none" w:sz="0" w:space="0" w:color="auto"/>
        <w:left w:val="none" w:sz="0" w:space="0" w:color="auto"/>
        <w:bottom w:val="none" w:sz="0" w:space="0" w:color="auto"/>
        <w:right w:val="none" w:sz="0" w:space="0" w:color="auto"/>
      </w:divBdr>
    </w:div>
    <w:div w:id="1941908455">
      <w:bodyDiv w:val="1"/>
      <w:marLeft w:val="0"/>
      <w:marRight w:val="0"/>
      <w:marTop w:val="0"/>
      <w:marBottom w:val="0"/>
      <w:divBdr>
        <w:top w:val="none" w:sz="0" w:space="0" w:color="auto"/>
        <w:left w:val="none" w:sz="0" w:space="0" w:color="auto"/>
        <w:bottom w:val="none" w:sz="0" w:space="0" w:color="auto"/>
        <w:right w:val="none" w:sz="0" w:space="0" w:color="auto"/>
      </w:divBdr>
    </w:div>
    <w:div w:id="1944456598">
      <w:bodyDiv w:val="1"/>
      <w:marLeft w:val="0"/>
      <w:marRight w:val="0"/>
      <w:marTop w:val="0"/>
      <w:marBottom w:val="0"/>
      <w:divBdr>
        <w:top w:val="none" w:sz="0" w:space="0" w:color="auto"/>
        <w:left w:val="none" w:sz="0" w:space="0" w:color="auto"/>
        <w:bottom w:val="none" w:sz="0" w:space="0" w:color="auto"/>
        <w:right w:val="none" w:sz="0" w:space="0" w:color="auto"/>
      </w:divBdr>
    </w:div>
    <w:div w:id="1946184366">
      <w:bodyDiv w:val="1"/>
      <w:marLeft w:val="0"/>
      <w:marRight w:val="0"/>
      <w:marTop w:val="0"/>
      <w:marBottom w:val="0"/>
      <w:divBdr>
        <w:top w:val="none" w:sz="0" w:space="0" w:color="auto"/>
        <w:left w:val="none" w:sz="0" w:space="0" w:color="auto"/>
        <w:bottom w:val="none" w:sz="0" w:space="0" w:color="auto"/>
        <w:right w:val="none" w:sz="0" w:space="0" w:color="auto"/>
      </w:divBdr>
    </w:div>
    <w:div w:id="1963462388">
      <w:bodyDiv w:val="1"/>
      <w:marLeft w:val="0"/>
      <w:marRight w:val="0"/>
      <w:marTop w:val="0"/>
      <w:marBottom w:val="0"/>
      <w:divBdr>
        <w:top w:val="none" w:sz="0" w:space="0" w:color="auto"/>
        <w:left w:val="none" w:sz="0" w:space="0" w:color="auto"/>
        <w:bottom w:val="none" w:sz="0" w:space="0" w:color="auto"/>
        <w:right w:val="none" w:sz="0" w:space="0" w:color="auto"/>
      </w:divBdr>
    </w:div>
    <w:div w:id="1965884590">
      <w:bodyDiv w:val="1"/>
      <w:marLeft w:val="0"/>
      <w:marRight w:val="0"/>
      <w:marTop w:val="0"/>
      <w:marBottom w:val="0"/>
      <w:divBdr>
        <w:top w:val="none" w:sz="0" w:space="0" w:color="auto"/>
        <w:left w:val="none" w:sz="0" w:space="0" w:color="auto"/>
        <w:bottom w:val="none" w:sz="0" w:space="0" w:color="auto"/>
        <w:right w:val="none" w:sz="0" w:space="0" w:color="auto"/>
      </w:divBdr>
    </w:div>
    <w:div w:id="1972902325">
      <w:bodyDiv w:val="1"/>
      <w:marLeft w:val="0"/>
      <w:marRight w:val="0"/>
      <w:marTop w:val="0"/>
      <w:marBottom w:val="0"/>
      <w:divBdr>
        <w:top w:val="none" w:sz="0" w:space="0" w:color="auto"/>
        <w:left w:val="none" w:sz="0" w:space="0" w:color="auto"/>
        <w:bottom w:val="none" w:sz="0" w:space="0" w:color="auto"/>
        <w:right w:val="none" w:sz="0" w:space="0" w:color="auto"/>
      </w:divBdr>
    </w:div>
    <w:div w:id="1977642559">
      <w:bodyDiv w:val="1"/>
      <w:marLeft w:val="0"/>
      <w:marRight w:val="0"/>
      <w:marTop w:val="0"/>
      <w:marBottom w:val="0"/>
      <w:divBdr>
        <w:top w:val="none" w:sz="0" w:space="0" w:color="auto"/>
        <w:left w:val="none" w:sz="0" w:space="0" w:color="auto"/>
        <w:bottom w:val="none" w:sz="0" w:space="0" w:color="auto"/>
        <w:right w:val="none" w:sz="0" w:space="0" w:color="auto"/>
      </w:divBdr>
    </w:div>
    <w:div w:id="1981030675">
      <w:bodyDiv w:val="1"/>
      <w:marLeft w:val="0"/>
      <w:marRight w:val="0"/>
      <w:marTop w:val="0"/>
      <w:marBottom w:val="0"/>
      <w:divBdr>
        <w:top w:val="none" w:sz="0" w:space="0" w:color="auto"/>
        <w:left w:val="none" w:sz="0" w:space="0" w:color="auto"/>
        <w:bottom w:val="none" w:sz="0" w:space="0" w:color="auto"/>
        <w:right w:val="none" w:sz="0" w:space="0" w:color="auto"/>
      </w:divBdr>
    </w:div>
    <w:div w:id="2008285968">
      <w:bodyDiv w:val="1"/>
      <w:marLeft w:val="0"/>
      <w:marRight w:val="0"/>
      <w:marTop w:val="0"/>
      <w:marBottom w:val="0"/>
      <w:divBdr>
        <w:top w:val="none" w:sz="0" w:space="0" w:color="auto"/>
        <w:left w:val="none" w:sz="0" w:space="0" w:color="auto"/>
        <w:bottom w:val="none" w:sz="0" w:space="0" w:color="auto"/>
        <w:right w:val="none" w:sz="0" w:space="0" w:color="auto"/>
      </w:divBdr>
    </w:div>
    <w:div w:id="2014070866">
      <w:bodyDiv w:val="1"/>
      <w:marLeft w:val="0"/>
      <w:marRight w:val="0"/>
      <w:marTop w:val="0"/>
      <w:marBottom w:val="0"/>
      <w:divBdr>
        <w:top w:val="none" w:sz="0" w:space="0" w:color="auto"/>
        <w:left w:val="none" w:sz="0" w:space="0" w:color="auto"/>
        <w:bottom w:val="none" w:sz="0" w:space="0" w:color="auto"/>
        <w:right w:val="none" w:sz="0" w:space="0" w:color="auto"/>
      </w:divBdr>
    </w:div>
    <w:div w:id="2017270162">
      <w:bodyDiv w:val="1"/>
      <w:marLeft w:val="0"/>
      <w:marRight w:val="0"/>
      <w:marTop w:val="0"/>
      <w:marBottom w:val="0"/>
      <w:divBdr>
        <w:top w:val="none" w:sz="0" w:space="0" w:color="auto"/>
        <w:left w:val="none" w:sz="0" w:space="0" w:color="auto"/>
        <w:bottom w:val="none" w:sz="0" w:space="0" w:color="auto"/>
        <w:right w:val="none" w:sz="0" w:space="0" w:color="auto"/>
      </w:divBdr>
    </w:div>
    <w:div w:id="2019305147">
      <w:bodyDiv w:val="1"/>
      <w:marLeft w:val="0"/>
      <w:marRight w:val="0"/>
      <w:marTop w:val="0"/>
      <w:marBottom w:val="0"/>
      <w:divBdr>
        <w:top w:val="none" w:sz="0" w:space="0" w:color="auto"/>
        <w:left w:val="none" w:sz="0" w:space="0" w:color="auto"/>
        <w:bottom w:val="none" w:sz="0" w:space="0" w:color="auto"/>
        <w:right w:val="none" w:sz="0" w:space="0" w:color="auto"/>
      </w:divBdr>
    </w:div>
    <w:div w:id="2029328484">
      <w:bodyDiv w:val="1"/>
      <w:marLeft w:val="0"/>
      <w:marRight w:val="0"/>
      <w:marTop w:val="0"/>
      <w:marBottom w:val="0"/>
      <w:divBdr>
        <w:top w:val="none" w:sz="0" w:space="0" w:color="auto"/>
        <w:left w:val="none" w:sz="0" w:space="0" w:color="auto"/>
        <w:bottom w:val="none" w:sz="0" w:space="0" w:color="auto"/>
        <w:right w:val="none" w:sz="0" w:space="0" w:color="auto"/>
      </w:divBdr>
    </w:div>
    <w:div w:id="2031486671">
      <w:bodyDiv w:val="1"/>
      <w:marLeft w:val="0"/>
      <w:marRight w:val="0"/>
      <w:marTop w:val="0"/>
      <w:marBottom w:val="0"/>
      <w:divBdr>
        <w:top w:val="none" w:sz="0" w:space="0" w:color="auto"/>
        <w:left w:val="none" w:sz="0" w:space="0" w:color="auto"/>
        <w:bottom w:val="none" w:sz="0" w:space="0" w:color="auto"/>
        <w:right w:val="none" w:sz="0" w:space="0" w:color="auto"/>
      </w:divBdr>
    </w:div>
    <w:div w:id="2031493039">
      <w:bodyDiv w:val="1"/>
      <w:marLeft w:val="0"/>
      <w:marRight w:val="0"/>
      <w:marTop w:val="0"/>
      <w:marBottom w:val="0"/>
      <w:divBdr>
        <w:top w:val="none" w:sz="0" w:space="0" w:color="auto"/>
        <w:left w:val="none" w:sz="0" w:space="0" w:color="auto"/>
        <w:bottom w:val="none" w:sz="0" w:space="0" w:color="auto"/>
        <w:right w:val="none" w:sz="0" w:space="0" w:color="auto"/>
      </w:divBdr>
    </w:div>
    <w:div w:id="2031905330">
      <w:bodyDiv w:val="1"/>
      <w:marLeft w:val="0"/>
      <w:marRight w:val="0"/>
      <w:marTop w:val="0"/>
      <w:marBottom w:val="0"/>
      <w:divBdr>
        <w:top w:val="none" w:sz="0" w:space="0" w:color="auto"/>
        <w:left w:val="none" w:sz="0" w:space="0" w:color="auto"/>
        <w:bottom w:val="none" w:sz="0" w:space="0" w:color="auto"/>
        <w:right w:val="none" w:sz="0" w:space="0" w:color="auto"/>
      </w:divBdr>
    </w:div>
    <w:div w:id="2031952777">
      <w:bodyDiv w:val="1"/>
      <w:marLeft w:val="0"/>
      <w:marRight w:val="0"/>
      <w:marTop w:val="0"/>
      <w:marBottom w:val="0"/>
      <w:divBdr>
        <w:top w:val="none" w:sz="0" w:space="0" w:color="auto"/>
        <w:left w:val="none" w:sz="0" w:space="0" w:color="auto"/>
        <w:bottom w:val="none" w:sz="0" w:space="0" w:color="auto"/>
        <w:right w:val="none" w:sz="0" w:space="0" w:color="auto"/>
      </w:divBdr>
    </w:div>
    <w:div w:id="2034332454">
      <w:bodyDiv w:val="1"/>
      <w:marLeft w:val="0"/>
      <w:marRight w:val="0"/>
      <w:marTop w:val="0"/>
      <w:marBottom w:val="0"/>
      <w:divBdr>
        <w:top w:val="none" w:sz="0" w:space="0" w:color="auto"/>
        <w:left w:val="none" w:sz="0" w:space="0" w:color="auto"/>
        <w:bottom w:val="none" w:sz="0" w:space="0" w:color="auto"/>
        <w:right w:val="none" w:sz="0" w:space="0" w:color="auto"/>
      </w:divBdr>
    </w:div>
    <w:div w:id="2041858292">
      <w:bodyDiv w:val="1"/>
      <w:marLeft w:val="0"/>
      <w:marRight w:val="0"/>
      <w:marTop w:val="0"/>
      <w:marBottom w:val="0"/>
      <w:divBdr>
        <w:top w:val="none" w:sz="0" w:space="0" w:color="auto"/>
        <w:left w:val="none" w:sz="0" w:space="0" w:color="auto"/>
        <w:bottom w:val="none" w:sz="0" w:space="0" w:color="auto"/>
        <w:right w:val="none" w:sz="0" w:space="0" w:color="auto"/>
      </w:divBdr>
    </w:div>
    <w:div w:id="2049060323">
      <w:bodyDiv w:val="1"/>
      <w:marLeft w:val="0"/>
      <w:marRight w:val="0"/>
      <w:marTop w:val="0"/>
      <w:marBottom w:val="0"/>
      <w:divBdr>
        <w:top w:val="none" w:sz="0" w:space="0" w:color="auto"/>
        <w:left w:val="none" w:sz="0" w:space="0" w:color="auto"/>
        <w:bottom w:val="none" w:sz="0" w:space="0" w:color="auto"/>
        <w:right w:val="none" w:sz="0" w:space="0" w:color="auto"/>
      </w:divBdr>
    </w:div>
    <w:div w:id="2049255285">
      <w:bodyDiv w:val="1"/>
      <w:marLeft w:val="0"/>
      <w:marRight w:val="0"/>
      <w:marTop w:val="0"/>
      <w:marBottom w:val="0"/>
      <w:divBdr>
        <w:top w:val="none" w:sz="0" w:space="0" w:color="auto"/>
        <w:left w:val="none" w:sz="0" w:space="0" w:color="auto"/>
        <w:bottom w:val="none" w:sz="0" w:space="0" w:color="auto"/>
        <w:right w:val="none" w:sz="0" w:space="0" w:color="auto"/>
      </w:divBdr>
    </w:div>
    <w:div w:id="2051100827">
      <w:bodyDiv w:val="1"/>
      <w:marLeft w:val="0"/>
      <w:marRight w:val="0"/>
      <w:marTop w:val="0"/>
      <w:marBottom w:val="0"/>
      <w:divBdr>
        <w:top w:val="none" w:sz="0" w:space="0" w:color="auto"/>
        <w:left w:val="none" w:sz="0" w:space="0" w:color="auto"/>
        <w:bottom w:val="none" w:sz="0" w:space="0" w:color="auto"/>
        <w:right w:val="none" w:sz="0" w:space="0" w:color="auto"/>
      </w:divBdr>
    </w:div>
    <w:div w:id="2052144111">
      <w:bodyDiv w:val="1"/>
      <w:marLeft w:val="0"/>
      <w:marRight w:val="0"/>
      <w:marTop w:val="0"/>
      <w:marBottom w:val="0"/>
      <w:divBdr>
        <w:top w:val="none" w:sz="0" w:space="0" w:color="auto"/>
        <w:left w:val="none" w:sz="0" w:space="0" w:color="auto"/>
        <w:bottom w:val="none" w:sz="0" w:space="0" w:color="auto"/>
        <w:right w:val="none" w:sz="0" w:space="0" w:color="auto"/>
      </w:divBdr>
    </w:div>
    <w:div w:id="2053378376">
      <w:bodyDiv w:val="1"/>
      <w:marLeft w:val="0"/>
      <w:marRight w:val="0"/>
      <w:marTop w:val="0"/>
      <w:marBottom w:val="0"/>
      <w:divBdr>
        <w:top w:val="none" w:sz="0" w:space="0" w:color="auto"/>
        <w:left w:val="none" w:sz="0" w:space="0" w:color="auto"/>
        <w:bottom w:val="none" w:sz="0" w:space="0" w:color="auto"/>
        <w:right w:val="none" w:sz="0" w:space="0" w:color="auto"/>
      </w:divBdr>
    </w:div>
    <w:div w:id="2068992682">
      <w:bodyDiv w:val="1"/>
      <w:marLeft w:val="0"/>
      <w:marRight w:val="0"/>
      <w:marTop w:val="0"/>
      <w:marBottom w:val="0"/>
      <w:divBdr>
        <w:top w:val="none" w:sz="0" w:space="0" w:color="auto"/>
        <w:left w:val="none" w:sz="0" w:space="0" w:color="auto"/>
        <w:bottom w:val="none" w:sz="0" w:space="0" w:color="auto"/>
        <w:right w:val="none" w:sz="0" w:space="0" w:color="auto"/>
      </w:divBdr>
    </w:div>
    <w:div w:id="2070111012">
      <w:bodyDiv w:val="1"/>
      <w:marLeft w:val="0"/>
      <w:marRight w:val="0"/>
      <w:marTop w:val="0"/>
      <w:marBottom w:val="0"/>
      <w:divBdr>
        <w:top w:val="none" w:sz="0" w:space="0" w:color="auto"/>
        <w:left w:val="none" w:sz="0" w:space="0" w:color="auto"/>
        <w:bottom w:val="none" w:sz="0" w:space="0" w:color="auto"/>
        <w:right w:val="none" w:sz="0" w:space="0" w:color="auto"/>
      </w:divBdr>
    </w:div>
    <w:div w:id="2070154396">
      <w:bodyDiv w:val="1"/>
      <w:marLeft w:val="0"/>
      <w:marRight w:val="0"/>
      <w:marTop w:val="0"/>
      <w:marBottom w:val="0"/>
      <w:divBdr>
        <w:top w:val="none" w:sz="0" w:space="0" w:color="auto"/>
        <w:left w:val="none" w:sz="0" w:space="0" w:color="auto"/>
        <w:bottom w:val="none" w:sz="0" w:space="0" w:color="auto"/>
        <w:right w:val="none" w:sz="0" w:space="0" w:color="auto"/>
      </w:divBdr>
    </w:div>
    <w:div w:id="2070959932">
      <w:bodyDiv w:val="1"/>
      <w:marLeft w:val="0"/>
      <w:marRight w:val="0"/>
      <w:marTop w:val="0"/>
      <w:marBottom w:val="0"/>
      <w:divBdr>
        <w:top w:val="none" w:sz="0" w:space="0" w:color="auto"/>
        <w:left w:val="none" w:sz="0" w:space="0" w:color="auto"/>
        <w:bottom w:val="none" w:sz="0" w:space="0" w:color="auto"/>
        <w:right w:val="none" w:sz="0" w:space="0" w:color="auto"/>
      </w:divBdr>
    </w:div>
    <w:div w:id="2074355799">
      <w:bodyDiv w:val="1"/>
      <w:marLeft w:val="0"/>
      <w:marRight w:val="0"/>
      <w:marTop w:val="0"/>
      <w:marBottom w:val="0"/>
      <w:divBdr>
        <w:top w:val="none" w:sz="0" w:space="0" w:color="auto"/>
        <w:left w:val="none" w:sz="0" w:space="0" w:color="auto"/>
        <w:bottom w:val="none" w:sz="0" w:space="0" w:color="auto"/>
        <w:right w:val="none" w:sz="0" w:space="0" w:color="auto"/>
      </w:divBdr>
    </w:div>
    <w:div w:id="2074893179">
      <w:bodyDiv w:val="1"/>
      <w:marLeft w:val="0"/>
      <w:marRight w:val="0"/>
      <w:marTop w:val="0"/>
      <w:marBottom w:val="0"/>
      <w:divBdr>
        <w:top w:val="none" w:sz="0" w:space="0" w:color="auto"/>
        <w:left w:val="none" w:sz="0" w:space="0" w:color="auto"/>
        <w:bottom w:val="none" w:sz="0" w:space="0" w:color="auto"/>
        <w:right w:val="none" w:sz="0" w:space="0" w:color="auto"/>
      </w:divBdr>
    </w:div>
    <w:div w:id="2076774269">
      <w:bodyDiv w:val="1"/>
      <w:marLeft w:val="0"/>
      <w:marRight w:val="0"/>
      <w:marTop w:val="0"/>
      <w:marBottom w:val="0"/>
      <w:divBdr>
        <w:top w:val="none" w:sz="0" w:space="0" w:color="auto"/>
        <w:left w:val="none" w:sz="0" w:space="0" w:color="auto"/>
        <w:bottom w:val="none" w:sz="0" w:space="0" w:color="auto"/>
        <w:right w:val="none" w:sz="0" w:space="0" w:color="auto"/>
      </w:divBdr>
    </w:div>
    <w:div w:id="2080053166">
      <w:bodyDiv w:val="1"/>
      <w:marLeft w:val="0"/>
      <w:marRight w:val="0"/>
      <w:marTop w:val="0"/>
      <w:marBottom w:val="0"/>
      <w:divBdr>
        <w:top w:val="none" w:sz="0" w:space="0" w:color="auto"/>
        <w:left w:val="none" w:sz="0" w:space="0" w:color="auto"/>
        <w:bottom w:val="none" w:sz="0" w:space="0" w:color="auto"/>
        <w:right w:val="none" w:sz="0" w:space="0" w:color="auto"/>
      </w:divBdr>
    </w:div>
    <w:div w:id="2082681058">
      <w:bodyDiv w:val="1"/>
      <w:marLeft w:val="0"/>
      <w:marRight w:val="0"/>
      <w:marTop w:val="0"/>
      <w:marBottom w:val="0"/>
      <w:divBdr>
        <w:top w:val="none" w:sz="0" w:space="0" w:color="auto"/>
        <w:left w:val="none" w:sz="0" w:space="0" w:color="auto"/>
        <w:bottom w:val="none" w:sz="0" w:space="0" w:color="auto"/>
        <w:right w:val="none" w:sz="0" w:space="0" w:color="auto"/>
      </w:divBdr>
    </w:div>
    <w:div w:id="2082752556">
      <w:bodyDiv w:val="1"/>
      <w:marLeft w:val="0"/>
      <w:marRight w:val="0"/>
      <w:marTop w:val="0"/>
      <w:marBottom w:val="0"/>
      <w:divBdr>
        <w:top w:val="none" w:sz="0" w:space="0" w:color="auto"/>
        <w:left w:val="none" w:sz="0" w:space="0" w:color="auto"/>
        <w:bottom w:val="none" w:sz="0" w:space="0" w:color="auto"/>
        <w:right w:val="none" w:sz="0" w:space="0" w:color="auto"/>
      </w:divBdr>
    </w:div>
    <w:div w:id="2084523216">
      <w:bodyDiv w:val="1"/>
      <w:marLeft w:val="0"/>
      <w:marRight w:val="0"/>
      <w:marTop w:val="0"/>
      <w:marBottom w:val="0"/>
      <w:divBdr>
        <w:top w:val="none" w:sz="0" w:space="0" w:color="auto"/>
        <w:left w:val="none" w:sz="0" w:space="0" w:color="auto"/>
        <w:bottom w:val="none" w:sz="0" w:space="0" w:color="auto"/>
        <w:right w:val="none" w:sz="0" w:space="0" w:color="auto"/>
      </w:divBdr>
    </w:div>
    <w:div w:id="2090496741">
      <w:bodyDiv w:val="1"/>
      <w:marLeft w:val="0"/>
      <w:marRight w:val="0"/>
      <w:marTop w:val="0"/>
      <w:marBottom w:val="0"/>
      <w:divBdr>
        <w:top w:val="none" w:sz="0" w:space="0" w:color="auto"/>
        <w:left w:val="none" w:sz="0" w:space="0" w:color="auto"/>
        <w:bottom w:val="none" w:sz="0" w:space="0" w:color="auto"/>
        <w:right w:val="none" w:sz="0" w:space="0" w:color="auto"/>
      </w:divBdr>
    </w:div>
    <w:div w:id="2090613266">
      <w:bodyDiv w:val="1"/>
      <w:marLeft w:val="0"/>
      <w:marRight w:val="0"/>
      <w:marTop w:val="0"/>
      <w:marBottom w:val="0"/>
      <w:divBdr>
        <w:top w:val="none" w:sz="0" w:space="0" w:color="auto"/>
        <w:left w:val="none" w:sz="0" w:space="0" w:color="auto"/>
        <w:bottom w:val="none" w:sz="0" w:space="0" w:color="auto"/>
        <w:right w:val="none" w:sz="0" w:space="0" w:color="auto"/>
      </w:divBdr>
    </w:div>
    <w:div w:id="2091657897">
      <w:bodyDiv w:val="1"/>
      <w:marLeft w:val="0"/>
      <w:marRight w:val="0"/>
      <w:marTop w:val="0"/>
      <w:marBottom w:val="0"/>
      <w:divBdr>
        <w:top w:val="none" w:sz="0" w:space="0" w:color="auto"/>
        <w:left w:val="none" w:sz="0" w:space="0" w:color="auto"/>
        <w:bottom w:val="none" w:sz="0" w:space="0" w:color="auto"/>
        <w:right w:val="none" w:sz="0" w:space="0" w:color="auto"/>
      </w:divBdr>
    </w:div>
    <w:div w:id="2094012901">
      <w:bodyDiv w:val="1"/>
      <w:marLeft w:val="0"/>
      <w:marRight w:val="0"/>
      <w:marTop w:val="0"/>
      <w:marBottom w:val="0"/>
      <w:divBdr>
        <w:top w:val="none" w:sz="0" w:space="0" w:color="auto"/>
        <w:left w:val="none" w:sz="0" w:space="0" w:color="auto"/>
        <w:bottom w:val="none" w:sz="0" w:space="0" w:color="auto"/>
        <w:right w:val="none" w:sz="0" w:space="0" w:color="auto"/>
      </w:divBdr>
    </w:div>
    <w:div w:id="2094203386">
      <w:bodyDiv w:val="1"/>
      <w:marLeft w:val="0"/>
      <w:marRight w:val="0"/>
      <w:marTop w:val="0"/>
      <w:marBottom w:val="0"/>
      <w:divBdr>
        <w:top w:val="none" w:sz="0" w:space="0" w:color="auto"/>
        <w:left w:val="none" w:sz="0" w:space="0" w:color="auto"/>
        <w:bottom w:val="none" w:sz="0" w:space="0" w:color="auto"/>
        <w:right w:val="none" w:sz="0" w:space="0" w:color="auto"/>
      </w:divBdr>
    </w:div>
    <w:div w:id="2096317351">
      <w:bodyDiv w:val="1"/>
      <w:marLeft w:val="0"/>
      <w:marRight w:val="0"/>
      <w:marTop w:val="0"/>
      <w:marBottom w:val="0"/>
      <w:divBdr>
        <w:top w:val="none" w:sz="0" w:space="0" w:color="auto"/>
        <w:left w:val="none" w:sz="0" w:space="0" w:color="auto"/>
        <w:bottom w:val="none" w:sz="0" w:space="0" w:color="auto"/>
        <w:right w:val="none" w:sz="0" w:space="0" w:color="auto"/>
      </w:divBdr>
    </w:div>
    <w:div w:id="2097746402">
      <w:bodyDiv w:val="1"/>
      <w:marLeft w:val="0"/>
      <w:marRight w:val="0"/>
      <w:marTop w:val="0"/>
      <w:marBottom w:val="0"/>
      <w:divBdr>
        <w:top w:val="none" w:sz="0" w:space="0" w:color="auto"/>
        <w:left w:val="none" w:sz="0" w:space="0" w:color="auto"/>
        <w:bottom w:val="none" w:sz="0" w:space="0" w:color="auto"/>
        <w:right w:val="none" w:sz="0" w:space="0" w:color="auto"/>
      </w:divBdr>
    </w:div>
    <w:div w:id="2100515481">
      <w:bodyDiv w:val="1"/>
      <w:marLeft w:val="0"/>
      <w:marRight w:val="0"/>
      <w:marTop w:val="0"/>
      <w:marBottom w:val="0"/>
      <w:divBdr>
        <w:top w:val="none" w:sz="0" w:space="0" w:color="auto"/>
        <w:left w:val="none" w:sz="0" w:space="0" w:color="auto"/>
        <w:bottom w:val="none" w:sz="0" w:space="0" w:color="auto"/>
        <w:right w:val="none" w:sz="0" w:space="0" w:color="auto"/>
      </w:divBdr>
    </w:div>
    <w:div w:id="2106026187">
      <w:bodyDiv w:val="1"/>
      <w:marLeft w:val="0"/>
      <w:marRight w:val="0"/>
      <w:marTop w:val="0"/>
      <w:marBottom w:val="0"/>
      <w:divBdr>
        <w:top w:val="none" w:sz="0" w:space="0" w:color="auto"/>
        <w:left w:val="none" w:sz="0" w:space="0" w:color="auto"/>
        <w:bottom w:val="none" w:sz="0" w:space="0" w:color="auto"/>
        <w:right w:val="none" w:sz="0" w:space="0" w:color="auto"/>
      </w:divBdr>
    </w:div>
    <w:div w:id="2111661470">
      <w:bodyDiv w:val="1"/>
      <w:marLeft w:val="0"/>
      <w:marRight w:val="0"/>
      <w:marTop w:val="0"/>
      <w:marBottom w:val="0"/>
      <w:divBdr>
        <w:top w:val="none" w:sz="0" w:space="0" w:color="auto"/>
        <w:left w:val="none" w:sz="0" w:space="0" w:color="auto"/>
        <w:bottom w:val="none" w:sz="0" w:space="0" w:color="auto"/>
        <w:right w:val="none" w:sz="0" w:space="0" w:color="auto"/>
      </w:divBdr>
    </w:div>
    <w:div w:id="2120878839">
      <w:bodyDiv w:val="1"/>
      <w:marLeft w:val="0"/>
      <w:marRight w:val="0"/>
      <w:marTop w:val="0"/>
      <w:marBottom w:val="0"/>
      <w:divBdr>
        <w:top w:val="none" w:sz="0" w:space="0" w:color="auto"/>
        <w:left w:val="none" w:sz="0" w:space="0" w:color="auto"/>
        <w:bottom w:val="none" w:sz="0" w:space="0" w:color="auto"/>
        <w:right w:val="none" w:sz="0" w:space="0" w:color="auto"/>
      </w:divBdr>
    </w:div>
    <w:div w:id="2121366522">
      <w:bodyDiv w:val="1"/>
      <w:marLeft w:val="0"/>
      <w:marRight w:val="0"/>
      <w:marTop w:val="0"/>
      <w:marBottom w:val="0"/>
      <w:divBdr>
        <w:top w:val="none" w:sz="0" w:space="0" w:color="auto"/>
        <w:left w:val="none" w:sz="0" w:space="0" w:color="auto"/>
        <w:bottom w:val="none" w:sz="0" w:space="0" w:color="auto"/>
        <w:right w:val="none" w:sz="0" w:space="0" w:color="auto"/>
      </w:divBdr>
    </w:div>
    <w:div w:id="2122333418">
      <w:bodyDiv w:val="1"/>
      <w:marLeft w:val="0"/>
      <w:marRight w:val="0"/>
      <w:marTop w:val="0"/>
      <w:marBottom w:val="0"/>
      <w:divBdr>
        <w:top w:val="none" w:sz="0" w:space="0" w:color="auto"/>
        <w:left w:val="none" w:sz="0" w:space="0" w:color="auto"/>
        <w:bottom w:val="none" w:sz="0" w:space="0" w:color="auto"/>
        <w:right w:val="none" w:sz="0" w:space="0" w:color="auto"/>
      </w:divBdr>
    </w:div>
    <w:div w:id="2122408986">
      <w:bodyDiv w:val="1"/>
      <w:marLeft w:val="0"/>
      <w:marRight w:val="0"/>
      <w:marTop w:val="0"/>
      <w:marBottom w:val="0"/>
      <w:divBdr>
        <w:top w:val="none" w:sz="0" w:space="0" w:color="auto"/>
        <w:left w:val="none" w:sz="0" w:space="0" w:color="auto"/>
        <w:bottom w:val="none" w:sz="0" w:space="0" w:color="auto"/>
        <w:right w:val="none" w:sz="0" w:space="0" w:color="auto"/>
      </w:divBdr>
    </w:div>
    <w:div w:id="2126652468">
      <w:bodyDiv w:val="1"/>
      <w:marLeft w:val="0"/>
      <w:marRight w:val="0"/>
      <w:marTop w:val="0"/>
      <w:marBottom w:val="0"/>
      <w:divBdr>
        <w:top w:val="none" w:sz="0" w:space="0" w:color="auto"/>
        <w:left w:val="none" w:sz="0" w:space="0" w:color="auto"/>
        <w:bottom w:val="none" w:sz="0" w:space="0" w:color="auto"/>
        <w:right w:val="none" w:sz="0" w:space="0" w:color="auto"/>
      </w:divBdr>
    </w:div>
    <w:div w:id="2127119931">
      <w:bodyDiv w:val="1"/>
      <w:marLeft w:val="0"/>
      <w:marRight w:val="0"/>
      <w:marTop w:val="0"/>
      <w:marBottom w:val="0"/>
      <w:divBdr>
        <w:top w:val="none" w:sz="0" w:space="0" w:color="auto"/>
        <w:left w:val="none" w:sz="0" w:space="0" w:color="auto"/>
        <w:bottom w:val="none" w:sz="0" w:space="0" w:color="auto"/>
        <w:right w:val="none" w:sz="0" w:space="0" w:color="auto"/>
      </w:divBdr>
    </w:div>
    <w:div w:id="2131897975">
      <w:bodyDiv w:val="1"/>
      <w:marLeft w:val="0"/>
      <w:marRight w:val="0"/>
      <w:marTop w:val="0"/>
      <w:marBottom w:val="0"/>
      <w:divBdr>
        <w:top w:val="none" w:sz="0" w:space="0" w:color="auto"/>
        <w:left w:val="none" w:sz="0" w:space="0" w:color="auto"/>
        <w:bottom w:val="none" w:sz="0" w:space="0" w:color="auto"/>
        <w:right w:val="none" w:sz="0" w:space="0" w:color="auto"/>
      </w:divBdr>
    </w:div>
    <w:div w:id="2134203242">
      <w:bodyDiv w:val="1"/>
      <w:marLeft w:val="0"/>
      <w:marRight w:val="0"/>
      <w:marTop w:val="0"/>
      <w:marBottom w:val="0"/>
      <w:divBdr>
        <w:top w:val="none" w:sz="0" w:space="0" w:color="auto"/>
        <w:left w:val="none" w:sz="0" w:space="0" w:color="auto"/>
        <w:bottom w:val="none" w:sz="0" w:space="0" w:color="auto"/>
        <w:right w:val="none" w:sz="0" w:space="0" w:color="auto"/>
      </w:divBdr>
    </w:div>
    <w:div w:id="2134667439">
      <w:bodyDiv w:val="1"/>
      <w:marLeft w:val="0"/>
      <w:marRight w:val="0"/>
      <w:marTop w:val="0"/>
      <w:marBottom w:val="0"/>
      <w:divBdr>
        <w:top w:val="none" w:sz="0" w:space="0" w:color="auto"/>
        <w:left w:val="none" w:sz="0" w:space="0" w:color="auto"/>
        <w:bottom w:val="none" w:sz="0" w:space="0" w:color="auto"/>
        <w:right w:val="none" w:sz="0" w:space="0" w:color="auto"/>
      </w:divBdr>
    </w:div>
    <w:div w:id="2136098143">
      <w:bodyDiv w:val="1"/>
      <w:marLeft w:val="0"/>
      <w:marRight w:val="0"/>
      <w:marTop w:val="0"/>
      <w:marBottom w:val="0"/>
      <w:divBdr>
        <w:top w:val="none" w:sz="0" w:space="0" w:color="auto"/>
        <w:left w:val="none" w:sz="0" w:space="0" w:color="auto"/>
        <w:bottom w:val="none" w:sz="0" w:space="0" w:color="auto"/>
        <w:right w:val="none" w:sz="0" w:space="0" w:color="auto"/>
      </w:divBdr>
    </w:div>
    <w:div w:id="21432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117" Type="http://schemas.openxmlformats.org/officeDocument/2006/relationships/image" Target="media/image87.emf"/><Relationship Id="rId21" Type="http://schemas.openxmlformats.org/officeDocument/2006/relationships/image" Target="media/image4.emf"/><Relationship Id="rId42" Type="http://schemas.openxmlformats.org/officeDocument/2006/relationships/hyperlink" Target="https://www.west-dunbarton.gov.uk/council/councillors-and-committees/councillors-allowances/" TargetMode="External"/><Relationship Id="rId47" Type="http://schemas.openxmlformats.org/officeDocument/2006/relationships/image" Target="media/image21.emf"/><Relationship Id="rId63" Type="http://schemas.openxmlformats.org/officeDocument/2006/relationships/image" Target="media/image34.emf"/><Relationship Id="rId68" Type="http://schemas.openxmlformats.org/officeDocument/2006/relationships/image" Target="media/image38.emf"/><Relationship Id="rId84" Type="http://schemas.openxmlformats.org/officeDocument/2006/relationships/image" Target="media/image54.emf"/><Relationship Id="rId89" Type="http://schemas.openxmlformats.org/officeDocument/2006/relationships/image" Target="media/image59.emf"/><Relationship Id="rId112" Type="http://schemas.openxmlformats.org/officeDocument/2006/relationships/image" Target="media/image82.emf"/><Relationship Id="rId133" Type="http://schemas.openxmlformats.org/officeDocument/2006/relationships/image" Target="media/image103.emf"/><Relationship Id="rId138" Type="http://schemas.openxmlformats.org/officeDocument/2006/relationships/header" Target="header3.xml"/><Relationship Id="rId16" Type="http://schemas.openxmlformats.org/officeDocument/2006/relationships/diagramQuickStyle" Target="diagrams/quickStyle1.xml"/><Relationship Id="rId107" Type="http://schemas.openxmlformats.org/officeDocument/2006/relationships/image" Target="media/image77.emf"/><Relationship Id="rId11" Type="http://schemas.openxmlformats.org/officeDocument/2006/relationships/header" Target="header1.xml"/><Relationship Id="rId32" Type="http://schemas.openxmlformats.org/officeDocument/2006/relationships/hyperlink" Target="http://www.west-dunbarton.gov.uk/media/4312511/equalities-outcome-report-2017-2021.pdf" TargetMode="External"/><Relationship Id="rId37" Type="http://schemas.openxmlformats.org/officeDocument/2006/relationships/hyperlink" Target="https://wdccmis.west-dunbarton.gov.uk/CMIS5/Document.ashx?czJKcaeAi5tUFL1DTL2UE4zNRBcoShgo=SnA%2ffAo1kqUubdfrS1Xq3qc8R4EsqT2OLUhlpEM9D%2btalkQXDGHu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53" Type="http://schemas.openxmlformats.org/officeDocument/2006/relationships/image" Target="media/image24.emf"/><Relationship Id="rId58" Type="http://schemas.openxmlformats.org/officeDocument/2006/relationships/image" Target="media/image29.emf"/><Relationship Id="rId74" Type="http://schemas.openxmlformats.org/officeDocument/2006/relationships/image" Target="media/image44.emf"/><Relationship Id="rId79" Type="http://schemas.openxmlformats.org/officeDocument/2006/relationships/image" Target="media/image49.emf"/><Relationship Id="rId102" Type="http://schemas.openxmlformats.org/officeDocument/2006/relationships/image" Target="media/image72.emf"/><Relationship Id="rId123" Type="http://schemas.openxmlformats.org/officeDocument/2006/relationships/image" Target="media/image93.emf"/><Relationship Id="rId128" Type="http://schemas.openxmlformats.org/officeDocument/2006/relationships/image" Target="media/image98.e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60.emf"/><Relationship Id="rId95" Type="http://schemas.openxmlformats.org/officeDocument/2006/relationships/image" Target="media/image65.emf"/><Relationship Id="rId22" Type="http://schemas.openxmlformats.org/officeDocument/2006/relationships/image" Target="media/image5.emf"/><Relationship Id="rId27" Type="http://schemas.openxmlformats.org/officeDocument/2006/relationships/image" Target="media/image10.emf"/><Relationship Id="rId43" Type="http://schemas.openxmlformats.org/officeDocument/2006/relationships/image" Target="media/image17.emf"/><Relationship Id="rId48" Type="http://schemas.openxmlformats.org/officeDocument/2006/relationships/hyperlink" Target="https://www.west-dunbarton.gov.uk/council/performance-and-spending/trade-union-facility-time-reports/" TargetMode="External"/><Relationship Id="rId64" Type="http://schemas.openxmlformats.org/officeDocument/2006/relationships/hyperlink" Target="https://www.west-dunbarton.gov.uk/council/councillors-and-committees/councillors-allowances/" TargetMode="External"/><Relationship Id="rId69" Type="http://schemas.openxmlformats.org/officeDocument/2006/relationships/image" Target="media/image39.emf"/><Relationship Id="rId113" Type="http://schemas.openxmlformats.org/officeDocument/2006/relationships/image" Target="media/image83.emf"/><Relationship Id="rId118" Type="http://schemas.openxmlformats.org/officeDocument/2006/relationships/image" Target="media/image88.emf"/><Relationship Id="rId134" Type="http://schemas.openxmlformats.org/officeDocument/2006/relationships/image" Target="media/image104.emf"/><Relationship Id="rId139" Type="http://schemas.openxmlformats.org/officeDocument/2006/relationships/hyperlink" Target="http://www.audit-scotland.gov.uk/uploads/docs/report/2016/code_audit_practice_16.pdf" TargetMode="External"/><Relationship Id="rId8" Type="http://schemas.openxmlformats.org/officeDocument/2006/relationships/image" Target="media/image1.jpeg"/><Relationship Id="rId51" Type="http://schemas.openxmlformats.org/officeDocument/2006/relationships/header" Target="header2.xml"/><Relationship Id="rId72" Type="http://schemas.openxmlformats.org/officeDocument/2006/relationships/image" Target="media/image42.emf"/><Relationship Id="rId80" Type="http://schemas.openxmlformats.org/officeDocument/2006/relationships/image" Target="media/image50.emf"/><Relationship Id="rId85" Type="http://schemas.openxmlformats.org/officeDocument/2006/relationships/image" Target="media/image55.emf"/><Relationship Id="rId93" Type="http://schemas.openxmlformats.org/officeDocument/2006/relationships/image" Target="media/image63.emf"/><Relationship Id="rId98" Type="http://schemas.openxmlformats.org/officeDocument/2006/relationships/image" Target="media/image68.emf"/><Relationship Id="rId121" Type="http://schemas.openxmlformats.org/officeDocument/2006/relationships/image" Target="media/image91.emf"/><Relationship Id="rId142"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Colors" Target="diagrams/colors1.xml"/><Relationship Id="rId25" Type="http://schemas.openxmlformats.org/officeDocument/2006/relationships/image" Target="media/image8.emf"/><Relationship Id="rId33" Type="http://schemas.openxmlformats.org/officeDocument/2006/relationships/image" Target="media/image13.emf"/><Relationship Id="rId38" Type="http://schemas.openxmlformats.org/officeDocument/2006/relationships/hyperlink" Target="https://wdccmis.west-dunbarton.gov.uk/cmis5/Meetings/tabid/73/ctl/ViewMeetingPublic/mid/410/Meeting/8006/Committee/543/Default.aspx" TargetMode="External"/><Relationship Id="rId46" Type="http://schemas.openxmlformats.org/officeDocument/2006/relationships/image" Target="media/image20.emf"/><Relationship Id="rId59" Type="http://schemas.openxmlformats.org/officeDocument/2006/relationships/image" Target="media/image30.emf"/><Relationship Id="rId67" Type="http://schemas.openxmlformats.org/officeDocument/2006/relationships/image" Target="media/image37.emf"/><Relationship Id="rId103" Type="http://schemas.openxmlformats.org/officeDocument/2006/relationships/image" Target="media/image73.emf"/><Relationship Id="rId108" Type="http://schemas.openxmlformats.org/officeDocument/2006/relationships/image" Target="media/image78.emf"/><Relationship Id="rId116" Type="http://schemas.openxmlformats.org/officeDocument/2006/relationships/image" Target="media/image86.emf"/><Relationship Id="rId124" Type="http://schemas.openxmlformats.org/officeDocument/2006/relationships/image" Target="media/image94.emf"/><Relationship Id="rId129" Type="http://schemas.openxmlformats.org/officeDocument/2006/relationships/image" Target="media/image99.emf"/><Relationship Id="rId137" Type="http://schemas.openxmlformats.org/officeDocument/2006/relationships/image" Target="media/image107.emf"/><Relationship Id="rId20" Type="http://schemas.openxmlformats.org/officeDocument/2006/relationships/hyperlink" Target="http://www.west-dunbarton.gov.uk/council/performance-and-spending/" TargetMode="External"/><Relationship Id="rId41" Type="http://schemas.openxmlformats.org/officeDocument/2006/relationships/image" Target="media/image16.emf"/><Relationship Id="rId54" Type="http://schemas.openxmlformats.org/officeDocument/2006/relationships/image" Target="media/image25.emf"/><Relationship Id="rId62" Type="http://schemas.openxmlformats.org/officeDocument/2006/relationships/image" Target="media/image33.emf"/><Relationship Id="rId70" Type="http://schemas.openxmlformats.org/officeDocument/2006/relationships/image" Target="media/image40.emf"/><Relationship Id="rId75" Type="http://schemas.openxmlformats.org/officeDocument/2006/relationships/image" Target="media/image45.emf"/><Relationship Id="rId83" Type="http://schemas.openxmlformats.org/officeDocument/2006/relationships/image" Target="media/image53.emf"/><Relationship Id="rId88" Type="http://schemas.openxmlformats.org/officeDocument/2006/relationships/image" Target="media/image58.emf"/><Relationship Id="rId91" Type="http://schemas.openxmlformats.org/officeDocument/2006/relationships/image" Target="media/image61.emf"/><Relationship Id="rId96" Type="http://schemas.openxmlformats.org/officeDocument/2006/relationships/image" Target="media/image66.emf"/><Relationship Id="rId111" Type="http://schemas.openxmlformats.org/officeDocument/2006/relationships/image" Target="media/image81.emf"/><Relationship Id="rId132" Type="http://schemas.openxmlformats.org/officeDocument/2006/relationships/image" Target="media/image102.emf"/><Relationship Id="rId140" Type="http://schemas.openxmlformats.org/officeDocument/2006/relationships/hyperlink" Target="https://www.audit-scotland.gov.uk/our-work/annual-audi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yperlink" Target="http://www.west-dunbarton.gov.uk/media/4312582/wdc-local-code.pdf" TargetMode="External"/><Relationship Id="rId49" Type="http://schemas.openxmlformats.org/officeDocument/2006/relationships/image" Target="media/image22.emf"/><Relationship Id="rId57" Type="http://schemas.openxmlformats.org/officeDocument/2006/relationships/image" Target="media/image28.emf"/><Relationship Id="rId106" Type="http://schemas.openxmlformats.org/officeDocument/2006/relationships/image" Target="media/image76.emf"/><Relationship Id="rId114" Type="http://schemas.openxmlformats.org/officeDocument/2006/relationships/image" Target="media/image84.emf"/><Relationship Id="rId119" Type="http://schemas.openxmlformats.org/officeDocument/2006/relationships/image" Target="media/image89.emf"/><Relationship Id="rId127" Type="http://schemas.openxmlformats.org/officeDocument/2006/relationships/image" Target="media/image97.emf"/><Relationship Id="rId10" Type="http://schemas.openxmlformats.org/officeDocument/2006/relationships/footer" Target="footer1.xml"/><Relationship Id="rId31" Type="http://schemas.openxmlformats.org/officeDocument/2006/relationships/image" Target="media/image12.emf"/><Relationship Id="rId44" Type="http://schemas.openxmlformats.org/officeDocument/2006/relationships/image" Target="media/image18.emf"/><Relationship Id="rId52" Type="http://schemas.openxmlformats.org/officeDocument/2006/relationships/footer" Target="footer3.xml"/><Relationship Id="rId60" Type="http://schemas.openxmlformats.org/officeDocument/2006/relationships/image" Target="media/image31.emf"/><Relationship Id="rId65" Type="http://schemas.openxmlformats.org/officeDocument/2006/relationships/image" Target="media/image35.emf"/><Relationship Id="rId73" Type="http://schemas.openxmlformats.org/officeDocument/2006/relationships/image" Target="media/image43.emf"/><Relationship Id="rId78" Type="http://schemas.openxmlformats.org/officeDocument/2006/relationships/image" Target="media/image48.emf"/><Relationship Id="rId81" Type="http://schemas.openxmlformats.org/officeDocument/2006/relationships/image" Target="media/image51.emf"/><Relationship Id="rId86" Type="http://schemas.openxmlformats.org/officeDocument/2006/relationships/image" Target="media/image56.emf"/><Relationship Id="rId94" Type="http://schemas.openxmlformats.org/officeDocument/2006/relationships/image" Target="media/image64.emf"/><Relationship Id="rId99" Type="http://schemas.openxmlformats.org/officeDocument/2006/relationships/image" Target="media/image69.emf"/><Relationship Id="rId101" Type="http://schemas.openxmlformats.org/officeDocument/2006/relationships/image" Target="media/image71.emf"/><Relationship Id="rId122" Type="http://schemas.openxmlformats.org/officeDocument/2006/relationships/image" Target="media/image92.emf"/><Relationship Id="rId130" Type="http://schemas.openxmlformats.org/officeDocument/2006/relationships/image" Target="media/image100.emf"/><Relationship Id="rId135" Type="http://schemas.openxmlformats.org/officeDocument/2006/relationships/image" Target="media/image105.e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emf"/><Relationship Id="rId18" Type="http://schemas.microsoft.com/office/2007/relationships/diagramDrawing" Target="diagrams/drawing1.xml"/><Relationship Id="rId39" Type="http://schemas.openxmlformats.org/officeDocument/2006/relationships/hyperlink" Target="https://www.west-dunbarton.gov.uk/council/councillors-and-committees/councillors-allowances/" TargetMode="External"/><Relationship Id="rId109" Type="http://schemas.openxmlformats.org/officeDocument/2006/relationships/image" Target="media/image79.emf"/><Relationship Id="rId34" Type="http://schemas.openxmlformats.org/officeDocument/2006/relationships/image" Target="media/image14.emf"/><Relationship Id="rId50" Type="http://schemas.openxmlformats.org/officeDocument/2006/relationships/image" Target="media/image23.emf"/><Relationship Id="rId55" Type="http://schemas.openxmlformats.org/officeDocument/2006/relationships/image" Target="media/image26.emf"/><Relationship Id="rId76" Type="http://schemas.openxmlformats.org/officeDocument/2006/relationships/image" Target="media/image46.emf"/><Relationship Id="rId97" Type="http://schemas.openxmlformats.org/officeDocument/2006/relationships/image" Target="media/image67.emf"/><Relationship Id="rId104" Type="http://schemas.openxmlformats.org/officeDocument/2006/relationships/image" Target="media/image74.emf"/><Relationship Id="rId120" Type="http://schemas.openxmlformats.org/officeDocument/2006/relationships/image" Target="media/image90.emf"/><Relationship Id="rId125" Type="http://schemas.openxmlformats.org/officeDocument/2006/relationships/image" Target="media/image95.emf"/><Relationship Id="rId141" Type="http://schemas.openxmlformats.org/officeDocument/2006/relationships/hyperlink" Target="https://www.frc.org.uk/Our-Work/Audit-and-Actuarial-Regulation/Audit-and-assurance/Standards-and-guidance/Standards-and-guidance-for-auditors/Auditors-responsibilities-for-audit/Description-of-auditors-responsibilities-for-audit.aspx" TargetMode="External"/><Relationship Id="rId7" Type="http://schemas.openxmlformats.org/officeDocument/2006/relationships/endnotes" Target="endnotes.xml"/><Relationship Id="rId71" Type="http://schemas.openxmlformats.org/officeDocument/2006/relationships/image" Target="media/image41.emf"/><Relationship Id="rId92" Type="http://schemas.openxmlformats.org/officeDocument/2006/relationships/image" Target="media/image62.emf"/><Relationship Id="rId2" Type="http://schemas.openxmlformats.org/officeDocument/2006/relationships/numbering" Target="numbering.xml"/><Relationship Id="rId29" Type="http://schemas.openxmlformats.org/officeDocument/2006/relationships/hyperlink" Target="https://wdccmis.west-dunbarton.gov.uk/CMIS5/Document.ashx?czJKcaeAi5tUFL1DTL2UE4zNRBcoShgo=6%2bgNz2G5zmSXNY%2b5bZkEPbAivt1539UlebqFE9VqKaCX%2bkGABhAQq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4" Type="http://schemas.openxmlformats.org/officeDocument/2006/relationships/image" Target="media/image7.emf"/><Relationship Id="rId40" Type="http://schemas.openxmlformats.org/officeDocument/2006/relationships/image" Target="media/image15.emf"/><Relationship Id="rId45" Type="http://schemas.openxmlformats.org/officeDocument/2006/relationships/image" Target="media/image19.emf"/><Relationship Id="rId66" Type="http://schemas.openxmlformats.org/officeDocument/2006/relationships/image" Target="media/image36.emf"/><Relationship Id="rId87" Type="http://schemas.openxmlformats.org/officeDocument/2006/relationships/image" Target="media/image57.emf"/><Relationship Id="rId110" Type="http://schemas.openxmlformats.org/officeDocument/2006/relationships/image" Target="media/image80.emf"/><Relationship Id="rId115" Type="http://schemas.openxmlformats.org/officeDocument/2006/relationships/image" Target="media/image85.emf"/><Relationship Id="rId131" Type="http://schemas.openxmlformats.org/officeDocument/2006/relationships/image" Target="media/image101.emf"/><Relationship Id="rId136" Type="http://schemas.openxmlformats.org/officeDocument/2006/relationships/image" Target="media/image106.emf"/><Relationship Id="rId61" Type="http://schemas.openxmlformats.org/officeDocument/2006/relationships/image" Target="media/image32.emf"/><Relationship Id="rId82" Type="http://schemas.openxmlformats.org/officeDocument/2006/relationships/image" Target="media/image52.emf"/><Relationship Id="rId19" Type="http://schemas.openxmlformats.org/officeDocument/2006/relationships/hyperlink" Target="https://www.west-dunbarton.gov.uk/council/strategies-plans-and-policies/strategic-plan/" TargetMode="External"/><Relationship Id="rId14" Type="http://schemas.openxmlformats.org/officeDocument/2006/relationships/diagramData" Target="diagrams/data1.xml"/><Relationship Id="rId30" Type="http://schemas.openxmlformats.org/officeDocument/2006/relationships/hyperlink" Target="https://wdccmis.west-dunbarton.gov.uk/CMIS5/Document.ashx?czJKcaeAi5tUFL1DTL2UE4zNRBcoShgo=nfR8PacG8gRnhbqKt1iMggXlzdoEjPUrJURencf5BkLpcZFn%2bbD5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5" Type="http://schemas.openxmlformats.org/officeDocument/2006/relationships/hyperlink" Target="https://www.west-dunbarton.gov.uk/" TargetMode="External"/><Relationship Id="rId56" Type="http://schemas.openxmlformats.org/officeDocument/2006/relationships/image" Target="media/image27.emf"/><Relationship Id="rId77" Type="http://schemas.openxmlformats.org/officeDocument/2006/relationships/image" Target="media/image47.emf"/><Relationship Id="rId100" Type="http://schemas.openxmlformats.org/officeDocument/2006/relationships/image" Target="media/image70.emf"/><Relationship Id="rId105" Type="http://schemas.openxmlformats.org/officeDocument/2006/relationships/image" Target="media/image75.emf"/><Relationship Id="rId126" Type="http://schemas.openxmlformats.org/officeDocument/2006/relationships/image" Target="media/image96.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B614C4-9BA0-4230-96B9-ABB423DBB19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52DE4F-AFD5-4DAB-893E-AA8363590CA4}">
      <dgm:prSet phldrT="[Text]" custT="1"/>
      <dgm:spPr>
        <a:xfrm>
          <a:off x="1941202" y="174909"/>
          <a:ext cx="1603995" cy="412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Chief Executive</a:t>
          </a:r>
        </a:p>
      </dgm:t>
    </dgm:pt>
    <dgm:pt modelId="{E1BC2D4E-B0F2-42D7-9AA9-D574779A1B69}" type="parTrans" cxnId="{5228FDDA-D22E-48EB-BA47-75DBE823C98A}">
      <dgm:prSet/>
      <dgm:spPr/>
      <dgm:t>
        <a:bodyPr/>
        <a:lstStyle/>
        <a:p>
          <a:endParaRPr lang="en-GB"/>
        </a:p>
      </dgm:t>
    </dgm:pt>
    <dgm:pt modelId="{58AD4E9D-360C-492A-A2D1-0B90D49763FF}" type="sibTrans" cxnId="{5228FDDA-D22E-48EB-BA47-75DBE823C98A}">
      <dgm:prSet/>
      <dgm:spPr/>
      <dgm:t>
        <a:bodyPr/>
        <a:lstStyle/>
        <a:p>
          <a:endParaRPr lang="en-GB"/>
        </a:p>
      </dgm:t>
    </dgm:pt>
    <dgm:pt modelId="{7EB43374-20AB-4B0B-A027-DEB12488577A}">
      <dgm:prSet phldrT="[Text]" custT="1"/>
      <dgm:spPr>
        <a:xfrm>
          <a:off x="368" y="923927"/>
          <a:ext cx="1603995" cy="4225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Transformation &amp; Public Service Reform</a:t>
          </a:r>
        </a:p>
      </dgm:t>
    </dgm:pt>
    <dgm:pt modelId="{13EB6561-C080-4625-96AA-EDBBB5047946}" type="parTrans" cxnId="{E0F9F765-D3C3-4425-B619-2D863BDF11B4}">
      <dgm:prSet/>
      <dgm:spPr>
        <a:xfrm>
          <a:off x="802365" y="587088"/>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D219C825-88F3-45BC-AD0F-B7F53E3721F4}" type="sibTrans" cxnId="{E0F9F765-D3C3-4425-B619-2D863BDF11B4}">
      <dgm:prSet/>
      <dgm:spPr/>
      <dgm:t>
        <a:bodyPr/>
        <a:lstStyle/>
        <a:p>
          <a:endParaRPr lang="en-GB"/>
        </a:p>
      </dgm:t>
    </dgm:pt>
    <dgm:pt modelId="{B4D1A3FD-9CB9-423D-80C2-D859CE1E9464}">
      <dgm:prSet phldrT="[Text]" custT="1"/>
      <dgm:spPr>
        <a:xfrm>
          <a:off x="1941202" y="923927"/>
          <a:ext cx="1603995" cy="4469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Regeneration, Environment &amp; Growth</a:t>
          </a:r>
        </a:p>
      </dgm:t>
    </dgm:pt>
    <dgm:pt modelId="{07F323E9-59C5-41A0-A166-B3602762BAE3}" type="parTrans" cxnId="{4678A89E-4CED-48E6-9B07-15CAEC21806B}">
      <dgm:prSet/>
      <dgm:spPr>
        <a:xfrm>
          <a:off x="2697479" y="587088"/>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32171BB3-55B6-440C-A45F-1A6B169E4E7E}" type="sibTrans" cxnId="{4678A89E-4CED-48E6-9B07-15CAEC21806B}">
      <dgm:prSet/>
      <dgm:spPr/>
      <dgm:t>
        <a:bodyPr/>
        <a:lstStyle/>
        <a:p>
          <a:endParaRPr lang="en-GB"/>
        </a:p>
      </dgm:t>
    </dgm:pt>
    <dgm:pt modelId="{9CBCEA4A-B847-41A7-BFCD-869AC2D3DEFE}">
      <dgm:prSet custT="1"/>
      <dgm:spPr>
        <a:xfrm>
          <a:off x="3882036" y="923927"/>
          <a:ext cx="1603995" cy="4537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200">
              <a:solidFill>
                <a:sysClr val="window" lastClr="FFFFFF"/>
              </a:solidFill>
              <a:latin typeface="Calibri"/>
              <a:ea typeface="+mn-ea"/>
              <a:cs typeface="+mn-cs"/>
            </a:rPr>
            <a:t>Health &amp; Social Care Partnership</a:t>
          </a:r>
        </a:p>
      </dgm:t>
    </dgm:pt>
    <dgm:pt modelId="{3218702F-0ED1-42D1-9ADD-12D61773F74B}" type="parTrans" cxnId="{0668896A-C198-4403-9A16-C643A16CCE68}">
      <dgm:prSet/>
      <dgm:spPr>
        <a:xfrm>
          <a:off x="2743200" y="587088"/>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23A543E-9F70-4E19-BC87-D1B0315C1FB6}" type="sibTrans" cxnId="{0668896A-C198-4403-9A16-C643A16CCE68}">
      <dgm:prSet/>
      <dgm:spPr/>
      <dgm:t>
        <a:bodyPr/>
        <a:lstStyle/>
        <a:p>
          <a:endParaRPr lang="en-GB"/>
        </a:p>
      </dgm:t>
    </dgm:pt>
    <dgm:pt modelId="{88DC9059-1AA6-4109-9796-610C53EB6BC3}" type="pres">
      <dgm:prSet presAssocID="{D3B614C4-9BA0-4230-96B9-ABB423DBB19D}" presName="hierChild1" presStyleCnt="0">
        <dgm:presLayoutVars>
          <dgm:orgChart val="1"/>
          <dgm:chPref val="1"/>
          <dgm:dir/>
          <dgm:animOne val="branch"/>
          <dgm:animLvl val="lvl"/>
          <dgm:resizeHandles/>
        </dgm:presLayoutVars>
      </dgm:prSet>
      <dgm:spPr/>
      <dgm:t>
        <a:bodyPr/>
        <a:lstStyle/>
        <a:p>
          <a:endParaRPr lang="en-US"/>
        </a:p>
      </dgm:t>
    </dgm:pt>
    <dgm:pt modelId="{85AD8C40-6C85-4E63-84FC-825EF0118899}" type="pres">
      <dgm:prSet presAssocID="{0A52DE4F-AFD5-4DAB-893E-AA8363590CA4}" presName="hierRoot1" presStyleCnt="0">
        <dgm:presLayoutVars>
          <dgm:hierBranch val="init"/>
        </dgm:presLayoutVars>
      </dgm:prSet>
      <dgm:spPr/>
    </dgm:pt>
    <dgm:pt modelId="{12523977-4BAB-4210-B86E-C9D799C26E03}" type="pres">
      <dgm:prSet presAssocID="{0A52DE4F-AFD5-4DAB-893E-AA8363590CA4}" presName="rootComposite1" presStyleCnt="0"/>
      <dgm:spPr/>
    </dgm:pt>
    <dgm:pt modelId="{97F1DAC0-B006-4B4B-975B-020F773FED13}" type="pres">
      <dgm:prSet presAssocID="{0A52DE4F-AFD5-4DAB-893E-AA8363590CA4}" presName="rootText1" presStyleLbl="node0" presStyleIdx="0" presStyleCnt="1" custScaleY="51394">
        <dgm:presLayoutVars>
          <dgm:chPref val="3"/>
        </dgm:presLayoutVars>
      </dgm:prSet>
      <dgm:spPr>
        <a:prstGeom prst="rect">
          <a:avLst/>
        </a:prstGeom>
      </dgm:spPr>
      <dgm:t>
        <a:bodyPr/>
        <a:lstStyle/>
        <a:p>
          <a:endParaRPr lang="en-US"/>
        </a:p>
      </dgm:t>
    </dgm:pt>
    <dgm:pt modelId="{0E089F34-CCF9-4A3F-9124-B089E9BE86B2}" type="pres">
      <dgm:prSet presAssocID="{0A52DE4F-AFD5-4DAB-893E-AA8363590CA4}" presName="rootConnector1" presStyleLbl="node1" presStyleIdx="0" presStyleCnt="0"/>
      <dgm:spPr/>
      <dgm:t>
        <a:bodyPr/>
        <a:lstStyle/>
        <a:p>
          <a:endParaRPr lang="en-US"/>
        </a:p>
      </dgm:t>
    </dgm:pt>
    <dgm:pt modelId="{A94DABAB-02F2-4C21-A04E-72C317807C7E}" type="pres">
      <dgm:prSet presAssocID="{0A52DE4F-AFD5-4DAB-893E-AA8363590CA4}" presName="hierChild2" presStyleCnt="0"/>
      <dgm:spPr/>
    </dgm:pt>
    <dgm:pt modelId="{82AD6EC6-960A-4973-9B80-AF489A994DA0}" type="pres">
      <dgm:prSet presAssocID="{13EB6561-C080-4625-96AA-EDBBB5047946}" presName="Name37"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en-US"/>
        </a:p>
      </dgm:t>
    </dgm:pt>
    <dgm:pt modelId="{01F62B9D-3797-4E1E-A6E8-44954F36EFD4}" type="pres">
      <dgm:prSet presAssocID="{7EB43374-20AB-4B0B-A027-DEB12488577A}" presName="hierRoot2" presStyleCnt="0">
        <dgm:presLayoutVars>
          <dgm:hierBranch val="init"/>
        </dgm:presLayoutVars>
      </dgm:prSet>
      <dgm:spPr/>
    </dgm:pt>
    <dgm:pt modelId="{82E28221-C636-4BA1-91A1-225B3B20300F}" type="pres">
      <dgm:prSet presAssocID="{7EB43374-20AB-4B0B-A027-DEB12488577A}" presName="rootComposite" presStyleCnt="0"/>
      <dgm:spPr/>
    </dgm:pt>
    <dgm:pt modelId="{0849B99F-B4F1-4742-AB3C-28D0E989BA9B}" type="pres">
      <dgm:prSet presAssocID="{7EB43374-20AB-4B0B-A027-DEB12488577A}" presName="rootText" presStyleLbl="node2" presStyleIdx="0" presStyleCnt="3" custScaleY="52688">
        <dgm:presLayoutVars>
          <dgm:chPref val="3"/>
        </dgm:presLayoutVars>
      </dgm:prSet>
      <dgm:spPr>
        <a:prstGeom prst="rect">
          <a:avLst/>
        </a:prstGeom>
      </dgm:spPr>
      <dgm:t>
        <a:bodyPr/>
        <a:lstStyle/>
        <a:p>
          <a:endParaRPr lang="en-US"/>
        </a:p>
      </dgm:t>
    </dgm:pt>
    <dgm:pt modelId="{9B6D7ED5-49D6-40B7-AF6C-65548DA88059}" type="pres">
      <dgm:prSet presAssocID="{7EB43374-20AB-4B0B-A027-DEB12488577A}" presName="rootConnector" presStyleLbl="node2" presStyleIdx="0" presStyleCnt="3"/>
      <dgm:spPr/>
      <dgm:t>
        <a:bodyPr/>
        <a:lstStyle/>
        <a:p>
          <a:endParaRPr lang="en-US"/>
        </a:p>
      </dgm:t>
    </dgm:pt>
    <dgm:pt modelId="{E2DFBA51-A9DE-4D06-8BC4-FBE79484204A}" type="pres">
      <dgm:prSet presAssocID="{7EB43374-20AB-4B0B-A027-DEB12488577A}" presName="hierChild4" presStyleCnt="0"/>
      <dgm:spPr/>
    </dgm:pt>
    <dgm:pt modelId="{4483784A-2116-438B-BAF1-094B0476BEF5}" type="pres">
      <dgm:prSet presAssocID="{7EB43374-20AB-4B0B-A027-DEB12488577A}" presName="hierChild5" presStyleCnt="0"/>
      <dgm:spPr/>
    </dgm:pt>
    <dgm:pt modelId="{E2DE115A-F1EA-4F5C-82FE-2903EF5AB1DE}" type="pres">
      <dgm:prSet presAssocID="{07F323E9-59C5-41A0-A166-B3602762BAE3}"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en-US"/>
        </a:p>
      </dgm:t>
    </dgm:pt>
    <dgm:pt modelId="{7D394E34-AB68-4C44-B49A-F1F081F9705B}" type="pres">
      <dgm:prSet presAssocID="{B4D1A3FD-9CB9-423D-80C2-D859CE1E9464}" presName="hierRoot2" presStyleCnt="0">
        <dgm:presLayoutVars>
          <dgm:hierBranch val="init"/>
        </dgm:presLayoutVars>
      </dgm:prSet>
      <dgm:spPr/>
    </dgm:pt>
    <dgm:pt modelId="{4E2CB516-B235-4E58-8803-458B0CFF049E}" type="pres">
      <dgm:prSet presAssocID="{B4D1A3FD-9CB9-423D-80C2-D859CE1E9464}" presName="rootComposite" presStyleCnt="0"/>
      <dgm:spPr/>
    </dgm:pt>
    <dgm:pt modelId="{570454D7-FD8E-40E5-B780-D608ED01BB1B}" type="pres">
      <dgm:prSet presAssocID="{B4D1A3FD-9CB9-423D-80C2-D859CE1E9464}" presName="rootText" presStyleLbl="node2" presStyleIdx="1" presStyleCnt="3" custScaleY="55732">
        <dgm:presLayoutVars>
          <dgm:chPref val="3"/>
        </dgm:presLayoutVars>
      </dgm:prSet>
      <dgm:spPr>
        <a:prstGeom prst="rect">
          <a:avLst/>
        </a:prstGeom>
      </dgm:spPr>
      <dgm:t>
        <a:bodyPr/>
        <a:lstStyle/>
        <a:p>
          <a:endParaRPr lang="en-US"/>
        </a:p>
      </dgm:t>
    </dgm:pt>
    <dgm:pt modelId="{BB0E2120-5575-473F-ACA0-96D3DAC29A58}" type="pres">
      <dgm:prSet presAssocID="{B4D1A3FD-9CB9-423D-80C2-D859CE1E9464}" presName="rootConnector" presStyleLbl="node2" presStyleIdx="1" presStyleCnt="3"/>
      <dgm:spPr/>
      <dgm:t>
        <a:bodyPr/>
        <a:lstStyle/>
        <a:p>
          <a:endParaRPr lang="en-US"/>
        </a:p>
      </dgm:t>
    </dgm:pt>
    <dgm:pt modelId="{FC88C68F-7C69-449A-A721-6E9DEFA4F515}" type="pres">
      <dgm:prSet presAssocID="{B4D1A3FD-9CB9-423D-80C2-D859CE1E9464}" presName="hierChild4" presStyleCnt="0"/>
      <dgm:spPr/>
    </dgm:pt>
    <dgm:pt modelId="{289F59C0-20AB-4136-BB05-A4384ED69190}" type="pres">
      <dgm:prSet presAssocID="{B4D1A3FD-9CB9-423D-80C2-D859CE1E9464}" presName="hierChild5" presStyleCnt="0"/>
      <dgm:spPr/>
    </dgm:pt>
    <dgm:pt modelId="{368F0A84-12AB-4BD9-9E48-65C2DD1A4725}" type="pres">
      <dgm:prSet presAssocID="{3218702F-0ED1-42D1-9ADD-12D61773F74B}" presName="Name37"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en-US"/>
        </a:p>
      </dgm:t>
    </dgm:pt>
    <dgm:pt modelId="{A31D4523-9DD5-48FC-9D43-9FCCD5D8D24D}" type="pres">
      <dgm:prSet presAssocID="{9CBCEA4A-B847-41A7-BFCD-869AC2D3DEFE}" presName="hierRoot2" presStyleCnt="0">
        <dgm:presLayoutVars>
          <dgm:hierBranch val="init"/>
        </dgm:presLayoutVars>
      </dgm:prSet>
      <dgm:spPr/>
    </dgm:pt>
    <dgm:pt modelId="{034A4B39-18E6-467D-9BA3-62A0D27E39CC}" type="pres">
      <dgm:prSet presAssocID="{9CBCEA4A-B847-41A7-BFCD-869AC2D3DEFE}" presName="rootComposite" presStyleCnt="0"/>
      <dgm:spPr/>
    </dgm:pt>
    <dgm:pt modelId="{72664932-5D73-4956-935B-FCBFF68B0028}" type="pres">
      <dgm:prSet presAssocID="{9CBCEA4A-B847-41A7-BFCD-869AC2D3DEFE}" presName="rootText" presStyleLbl="node2" presStyleIdx="2" presStyleCnt="3" custScaleY="56576">
        <dgm:presLayoutVars>
          <dgm:chPref val="3"/>
        </dgm:presLayoutVars>
      </dgm:prSet>
      <dgm:spPr>
        <a:prstGeom prst="rect">
          <a:avLst/>
        </a:prstGeom>
      </dgm:spPr>
      <dgm:t>
        <a:bodyPr/>
        <a:lstStyle/>
        <a:p>
          <a:endParaRPr lang="en-US"/>
        </a:p>
      </dgm:t>
    </dgm:pt>
    <dgm:pt modelId="{A1784CDC-8FEB-4218-8074-9D1D02CEFB7E}" type="pres">
      <dgm:prSet presAssocID="{9CBCEA4A-B847-41A7-BFCD-869AC2D3DEFE}" presName="rootConnector" presStyleLbl="node2" presStyleIdx="2" presStyleCnt="3"/>
      <dgm:spPr/>
      <dgm:t>
        <a:bodyPr/>
        <a:lstStyle/>
        <a:p>
          <a:endParaRPr lang="en-US"/>
        </a:p>
      </dgm:t>
    </dgm:pt>
    <dgm:pt modelId="{06BD74DC-3A6B-4B73-BC4D-C5918A71CEEE}" type="pres">
      <dgm:prSet presAssocID="{9CBCEA4A-B847-41A7-BFCD-869AC2D3DEFE}" presName="hierChild4" presStyleCnt="0"/>
      <dgm:spPr/>
    </dgm:pt>
    <dgm:pt modelId="{150A389A-1004-4844-89AC-EDA674827FD9}" type="pres">
      <dgm:prSet presAssocID="{9CBCEA4A-B847-41A7-BFCD-869AC2D3DEFE}" presName="hierChild5" presStyleCnt="0"/>
      <dgm:spPr/>
    </dgm:pt>
    <dgm:pt modelId="{49A9B419-A4A9-46CF-9AC2-3F722D5460B0}" type="pres">
      <dgm:prSet presAssocID="{0A52DE4F-AFD5-4DAB-893E-AA8363590CA4}" presName="hierChild3" presStyleCnt="0"/>
      <dgm:spPr/>
    </dgm:pt>
  </dgm:ptLst>
  <dgm:cxnLst>
    <dgm:cxn modelId="{4678A89E-4CED-48E6-9B07-15CAEC21806B}" srcId="{0A52DE4F-AFD5-4DAB-893E-AA8363590CA4}" destId="{B4D1A3FD-9CB9-423D-80C2-D859CE1E9464}" srcOrd="1" destOrd="0" parTransId="{07F323E9-59C5-41A0-A166-B3602762BAE3}" sibTransId="{32171BB3-55B6-440C-A45F-1A6B169E4E7E}"/>
    <dgm:cxn modelId="{D0506BE4-62B5-40F0-B55B-74C126A57093}" type="presOf" srcId="{D3B614C4-9BA0-4230-96B9-ABB423DBB19D}" destId="{88DC9059-1AA6-4109-9796-610C53EB6BC3}" srcOrd="0" destOrd="0" presId="urn:microsoft.com/office/officeart/2005/8/layout/orgChart1"/>
    <dgm:cxn modelId="{3E9F4432-22A3-4BE5-AFFA-0D7C3121B597}" type="presOf" srcId="{0A52DE4F-AFD5-4DAB-893E-AA8363590CA4}" destId="{97F1DAC0-B006-4B4B-975B-020F773FED13}" srcOrd="0" destOrd="0" presId="urn:microsoft.com/office/officeart/2005/8/layout/orgChart1"/>
    <dgm:cxn modelId="{E0F9F765-D3C3-4425-B619-2D863BDF11B4}" srcId="{0A52DE4F-AFD5-4DAB-893E-AA8363590CA4}" destId="{7EB43374-20AB-4B0B-A027-DEB12488577A}" srcOrd="0" destOrd="0" parTransId="{13EB6561-C080-4625-96AA-EDBBB5047946}" sibTransId="{D219C825-88F3-45BC-AD0F-B7F53E3721F4}"/>
    <dgm:cxn modelId="{CEABA468-7C3B-4371-9602-52265CFB5613}" type="presOf" srcId="{9CBCEA4A-B847-41A7-BFCD-869AC2D3DEFE}" destId="{72664932-5D73-4956-935B-FCBFF68B0028}" srcOrd="0" destOrd="0" presId="urn:microsoft.com/office/officeart/2005/8/layout/orgChart1"/>
    <dgm:cxn modelId="{9F558FFA-8D60-422F-987B-1F76F791EF9C}" type="presOf" srcId="{7EB43374-20AB-4B0B-A027-DEB12488577A}" destId="{9B6D7ED5-49D6-40B7-AF6C-65548DA88059}" srcOrd="1" destOrd="0" presId="urn:microsoft.com/office/officeart/2005/8/layout/orgChart1"/>
    <dgm:cxn modelId="{8F176DAE-1993-470F-9286-3991D2021AC7}" type="presOf" srcId="{9CBCEA4A-B847-41A7-BFCD-869AC2D3DEFE}" destId="{A1784CDC-8FEB-4218-8074-9D1D02CEFB7E}" srcOrd="1" destOrd="0" presId="urn:microsoft.com/office/officeart/2005/8/layout/orgChart1"/>
    <dgm:cxn modelId="{54BCD345-8CDD-4F5A-AB2B-00EFC9DB4F5A}" type="presOf" srcId="{0A52DE4F-AFD5-4DAB-893E-AA8363590CA4}" destId="{0E089F34-CCF9-4A3F-9124-B089E9BE86B2}" srcOrd="1" destOrd="0" presId="urn:microsoft.com/office/officeart/2005/8/layout/orgChart1"/>
    <dgm:cxn modelId="{0668896A-C198-4403-9A16-C643A16CCE68}" srcId="{0A52DE4F-AFD5-4DAB-893E-AA8363590CA4}" destId="{9CBCEA4A-B847-41A7-BFCD-869AC2D3DEFE}" srcOrd="2" destOrd="0" parTransId="{3218702F-0ED1-42D1-9ADD-12D61773F74B}" sibTransId="{423A543E-9F70-4E19-BC87-D1B0315C1FB6}"/>
    <dgm:cxn modelId="{A5911881-4992-493B-9900-EFF72F80B140}" type="presOf" srcId="{7EB43374-20AB-4B0B-A027-DEB12488577A}" destId="{0849B99F-B4F1-4742-AB3C-28D0E989BA9B}" srcOrd="0" destOrd="0" presId="urn:microsoft.com/office/officeart/2005/8/layout/orgChart1"/>
    <dgm:cxn modelId="{C6E1F988-8BD2-4297-A051-C0E2D699D6D6}" type="presOf" srcId="{07F323E9-59C5-41A0-A166-B3602762BAE3}" destId="{E2DE115A-F1EA-4F5C-82FE-2903EF5AB1DE}" srcOrd="0" destOrd="0" presId="urn:microsoft.com/office/officeart/2005/8/layout/orgChart1"/>
    <dgm:cxn modelId="{D139D081-2259-4C6D-9E38-E5D1C6071130}" type="presOf" srcId="{3218702F-0ED1-42D1-9ADD-12D61773F74B}" destId="{368F0A84-12AB-4BD9-9E48-65C2DD1A4725}" srcOrd="0" destOrd="0" presId="urn:microsoft.com/office/officeart/2005/8/layout/orgChart1"/>
    <dgm:cxn modelId="{5228FDDA-D22E-48EB-BA47-75DBE823C98A}" srcId="{D3B614C4-9BA0-4230-96B9-ABB423DBB19D}" destId="{0A52DE4F-AFD5-4DAB-893E-AA8363590CA4}" srcOrd="0" destOrd="0" parTransId="{E1BC2D4E-B0F2-42D7-9AA9-D574779A1B69}" sibTransId="{58AD4E9D-360C-492A-A2D1-0B90D49763FF}"/>
    <dgm:cxn modelId="{97435EB1-44F8-49CC-A243-918D2C43A14C}" type="presOf" srcId="{B4D1A3FD-9CB9-423D-80C2-D859CE1E9464}" destId="{BB0E2120-5575-473F-ACA0-96D3DAC29A58}" srcOrd="1" destOrd="0" presId="urn:microsoft.com/office/officeart/2005/8/layout/orgChart1"/>
    <dgm:cxn modelId="{C16576FE-EF6C-465A-9049-64E21824E42B}" type="presOf" srcId="{13EB6561-C080-4625-96AA-EDBBB5047946}" destId="{82AD6EC6-960A-4973-9B80-AF489A994DA0}" srcOrd="0" destOrd="0" presId="urn:microsoft.com/office/officeart/2005/8/layout/orgChart1"/>
    <dgm:cxn modelId="{91FE7E32-A003-408B-A1A8-2F39FB62D187}" type="presOf" srcId="{B4D1A3FD-9CB9-423D-80C2-D859CE1E9464}" destId="{570454D7-FD8E-40E5-B780-D608ED01BB1B}" srcOrd="0" destOrd="0" presId="urn:microsoft.com/office/officeart/2005/8/layout/orgChart1"/>
    <dgm:cxn modelId="{D0A3D80A-E102-4CFE-A3F7-4CD26A64BE2A}" type="presParOf" srcId="{88DC9059-1AA6-4109-9796-610C53EB6BC3}" destId="{85AD8C40-6C85-4E63-84FC-825EF0118899}" srcOrd="0" destOrd="0" presId="urn:microsoft.com/office/officeart/2005/8/layout/orgChart1"/>
    <dgm:cxn modelId="{45D9C523-1CD5-4233-BDEE-79F0961544AD}" type="presParOf" srcId="{85AD8C40-6C85-4E63-84FC-825EF0118899}" destId="{12523977-4BAB-4210-B86E-C9D799C26E03}" srcOrd="0" destOrd="0" presId="urn:microsoft.com/office/officeart/2005/8/layout/orgChart1"/>
    <dgm:cxn modelId="{95BD683A-FD82-458D-9619-11F24EA39236}" type="presParOf" srcId="{12523977-4BAB-4210-B86E-C9D799C26E03}" destId="{97F1DAC0-B006-4B4B-975B-020F773FED13}" srcOrd="0" destOrd="0" presId="urn:microsoft.com/office/officeart/2005/8/layout/orgChart1"/>
    <dgm:cxn modelId="{F28CFF0D-8719-4172-BCC1-2C209C14069E}" type="presParOf" srcId="{12523977-4BAB-4210-B86E-C9D799C26E03}" destId="{0E089F34-CCF9-4A3F-9124-B089E9BE86B2}" srcOrd="1" destOrd="0" presId="urn:microsoft.com/office/officeart/2005/8/layout/orgChart1"/>
    <dgm:cxn modelId="{B5682C1F-5BCE-4B9A-AB68-CF5270C474C6}" type="presParOf" srcId="{85AD8C40-6C85-4E63-84FC-825EF0118899}" destId="{A94DABAB-02F2-4C21-A04E-72C317807C7E}" srcOrd="1" destOrd="0" presId="urn:microsoft.com/office/officeart/2005/8/layout/orgChart1"/>
    <dgm:cxn modelId="{47E88A73-8D9C-4E62-8A2A-5B60304870DC}" type="presParOf" srcId="{A94DABAB-02F2-4C21-A04E-72C317807C7E}" destId="{82AD6EC6-960A-4973-9B80-AF489A994DA0}" srcOrd="0" destOrd="0" presId="urn:microsoft.com/office/officeart/2005/8/layout/orgChart1"/>
    <dgm:cxn modelId="{373CEA50-1620-40E7-992A-2D0D044D34F1}" type="presParOf" srcId="{A94DABAB-02F2-4C21-A04E-72C317807C7E}" destId="{01F62B9D-3797-4E1E-A6E8-44954F36EFD4}" srcOrd="1" destOrd="0" presId="urn:microsoft.com/office/officeart/2005/8/layout/orgChart1"/>
    <dgm:cxn modelId="{A49A41CC-F292-4F87-8E40-B422053F93AE}" type="presParOf" srcId="{01F62B9D-3797-4E1E-A6E8-44954F36EFD4}" destId="{82E28221-C636-4BA1-91A1-225B3B20300F}" srcOrd="0" destOrd="0" presId="urn:microsoft.com/office/officeart/2005/8/layout/orgChart1"/>
    <dgm:cxn modelId="{AC4BDD03-F585-486F-ABEF-E0D7B0071A0C}" type="presParOf" srcId="{82E28221-C636-4BA1-91A1-225B3B20300F}" destId="{0849B99F-B4F1-4742-AB3C-28D0E989BA9B}" srcOrd="0" destOrd="0" presId="urn:microsoft.com/office/officeart/2005/8/layout/orgChart1"/>
    <dgm:cxn modelId="{BF0E2120-0AA8-4A5A-88C4-53DA232BE27D}" type="presParOf" srcId="{82E28221-C636-4BA1-91A1-225B3B20300F}" destId="{9B6D7ED5-49D6-40B7-AF6C-65548DA88059}" srcOrd="1" destOrd="0" presId="urn:microsoft.com/office/officeart/2005/8/layout/orgChart1"/>
    <dgm:cxn modelId="{3929682E-4531-425A-9FCE-06E849893397}" type="presParOf" srcId="{01F62B9D-3797-4E1E-A6E8-44954F36EFD4}" destId="{E2DFBA51-A9DE-4D06-8BC4-FBE79484204A}" srcOrd="1" destOrd="0" presId="urn:microsoft.com/office/officeart/2005/8/layout/orgChart1"/>
    <dgm:cxn modelId="{622EB250-BC92-40C9-9507-0F1E5E610B5C}" type="presParOf" srcId="{01F62B9D-3797-4E1E-A6E8-44954F36EFD4}" destId="{4483784A-2116-438B-BAF1-094B0476BEF5}" srcOrd="2" destOrd="0" presId="urn:microsoft.com/office/officeart/2005/8/layout/orgChart1"/>
    <dgm:cxn modelId="{94C33E89-95B2-406A-A498-AC9EDDC6890A}" type="presParOf" srcId="{A94DABAB-02F2-4C21-A04E-72C317807C7E}" destId="{E2DE115A-F1EA-4F5C-82FE-2903EF5AB1DE}" srcOrd="2" destOrd="0" presId="urn:microsoft.com/office/officeart/2005/8/layout/orgChart1"/>
    <dgm:cxn modelId="{EB5BEADE-F062-48DF-8C22-CF94CB6CE1C6}" type="presParOf" srcId="{A94DABAB-02F2-4C21-A04E-72C317807C7E}" destId="{7D394E34-AB68-4C44-B49A-F1F081F9705B}" srcOrd="3" destOrd="0" presId="urn:microsoft.com/office/officeart/2005/8/layout/orgChart1"/>
    <dgm:cxn modelId="{92F5365D-6160-4D23-8418-85FC7C3E338B}" type="presParOf" srcId="{7D394E34-AB68-4C44-B49A-F1F081F9705B}" destId="{4E2CB516-B235-4E58-8803-458B0CFF049E}" srcOrd="0" destOrd="0" presId="urn:microsoft.com/office/officeart/2005/8/layout/orgChart1"/>
    <dgm:cxn modelId="{A7E2350E-548F-4D4E-9DF6-7D0F8FC0ED0C}" type="presParOf" srcId="{4E2CB516-B235-4E58-8803-458B0CFF049E}" destId="{570454D7-FD8E-40E5-B780-D608ED01BB1B}" srcOrd="0" destOrd="0" presId="urn:microsoft.com/office/officeart/2005/8/layout/orgChart1"/>
    <dgm:cxn modelId="{F023044C-2B85-4358-A3E3-AE781A9C11D9}" type="presParOf" srcId="{4E2CB516-B235-4E58-8803-458B0CFF049E}" destId="{BB0E2120-5575-473F-ACA0-96D3DAC29A58}" srcOrd="1" destOrd="0" presId="urn:microsoft.com/office/officeart/2005/8/layout/orgChart1"/>
    <dgm:cxn modelId="{1E0B7BEA-7A17-4CEE-94DD-F0E60203C2A9}" type="presParOf" srcId="{7D394E34-AB68-4C44-B49A-F1F081F9705B}" destId="{FC88C68F-7C69-449A-A721-6E9DEFA4F515}" srcOrd="1" destOrd="0" presId="urn:microsoft.com/office/officeart/2005/8/layout/orgChart1"/>
    <dgm:cxn modelId="{701D6202-D21E-4DA4-AD62-BEFCF31901A5}" type="presParOf" srcId="{7D394E34-AB68-4C44-B49A-F1F081F9705B}" destId="{289F59C0-20AB-4136-BB05-A4384ED69190}" srcOrd="2" destOrd="0" presId="urn:microsoft.com/office/officeart/2005/8/layout/orgChart1"/>
    <dgm:cxn modelId="{C52AE3E3-30B6-45B7-B427-6BA322F8F92C}" type="presParOf" srcId="{A94DABAB-02F2-4C21-A04E-72C317807C7E}" destId="{368F0A84-12AB-4BD9-9E48-65C2DD1A4725}" srcOrd="4" destOrd="0" presId="urn:microsoft.com/office/officeart/2005/8/layout/orgChart1"/>
    <dgm:cxn modelId="{8B9D8C42-0FDE-4615-B5F2-B6B4C58D7F35}" type="presParOf" srcId="{A94DABAB-02F2-4C21-A04E-72C317807C7E}" destId="{A31D4523-9DD5-48FC-9D43-9FCCD5D8D24D}" srcOrd="5" destOrd="0" presId="urn:microsoft.com/office/officeart/2005/8/layout/orgChart1"/>
    <dgm:cxn modelId="{DE0824BF-E3BD-401F-9C44-47E5FC14C0A0}" type="presParOf" srcId="{A31D4523-9DD5-48FC-9D43-9FCCD5D8D24D}" destId="{034A4B39-18E6-467D-9BA3-62A0D27E39CC}" srcOrd="0" destOrd="0" presId="urn:microsoft.com/office/officeart/2005/8/layout/orgChart1"/>
    <dgm:cxn modelId="{64E904A8-0D01-4006-9192-621133A85FA7}" type="presParOf" srcId="{034A4B39-18E6-467D-9BA3-62A0D27E39CC}" destId="{72664932-5D73-4956-935B-FCBFF68B0028}" srcOrd="0" destOrd="0" presId="urn:microsoft.com/office/officeart/2005/8/layout/orgChart1"/>
    <dgm:cxn modelId="{0B24F5FE-B0E1-4BE8-9683-B5BBD1B7A4DE}" type="presParOf" srcId="{034A4B39-18E6-467D-9BA3-62A0D27E39CC}" destId="{A1784CDC-8FEB-4218-8074-9D1D02CEFB7E}" srcOrd="1" destOrd="0" presId="urn:microsoft.com/office/officeart/2005/8/layout/orgChart1"/>
    <dgm:cxn modelId="{E7DAF51E-9A20-491C-9452-C4B6A6897EE9}" type="presParOf" srcId="{A31D4523-9DD5-48FC-9D43-9FCCD5D8D24D}" destId="{06BD74DC-3A6B-4B73-BC4D-C5918A71CEEE}" srcOrd="1" destOrd="0" presId="urn:microsoft.com/office/officeart/2005/8/layout/orgChart1"/>
    <dgm:cxn modelId="{C8E46A8A-51DF-4D97-B214-3561E8AE15FC}" type="presParOf" srcId="{A31D4523-9DD5-48FC-9D43-9FCCD5D8D24D}" destId="{150A389A-1004-4844-89AC-EDA674827FD9}" srcOrd="2" destOrd="0" presId="urn:microsoft.com/office/officeart/2005/8/layout/orgChart1"/>
    <dgm:cxn modelId="{FB10557C-9A93-47D6-BB8C-BDA05D206E5C}" type="presParOf" srcId="{85AD8C40-6C85-4E63-84FC-825EF0118899}" destId="{49A9B419-A4A9-46CF-9AC2-3F722D5460B0}"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8F0A84-12AB-4BD9-9E48-65C2DD1A4725}">
      <dsp:nvSpPr>
        <dsp:cNvPr id="0" name=""/>
        <dsp:cNvSpPr/>
      </dsp:nvSpPr>
      <dsp:spPr>
        <a:xfrm>
          <a:off x="2743200" y="587088"/>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DE115A-F1EA-4F5C-82FE-2903EF5AB1DE}">
      <dsp:nvSpPr>
        <dsp:cNvPr id="0" name=""/>
        <dsp:cNvSpPr/>
      </dsp:nvSpPr>
      <dsp:spPr>
        <a:xfrm>
          <a:off x="2697479" y="587088"/>
          <a:ext cx="91440" cy="336838"/>
        </a:xfrm>
        <a:custGeom>
          <a:avLst/>
          <a:gdLst/>
          <a:ahLst/>
          <a:cxnLst/>
          <a:rect l="0" t="0" r="0" b="0"/>
          <a:pathLst>
            <a:path>
              <a:moveTo>
                <a:pt x="45720" y="0"/>
              </a:moveTo>
              <a:lnTo>
                <a:pt x="4572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AD6EC6-960A-4973-9B80-AF489A994DA0}">
      <dsp:nvSpPr>
        <dsp:cNvPr id="0" name=""/>
        <dsp:cNvSpPr/>
      </dsp:nvSpPr>
      <dsp:spPr>
        <a:xfrm>
          <a:off x="802365" y="587088"/>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F1DAC0-B006-4B4B-975B-020F773FED13}">
      <dsp:nvSpPr>
        <dsp:cNvPr id="0" name=""/>
        <dsp:cNvSpPr/>
      </dsp:nvSpPr>
      <dsp:spPr>
        <a:xfrm>
          <a:off x="1941202" y="174909"/>
          <a:ext cx="1603995" cy="4121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Chief Executive</a:t>
          </a:r>
        </a:p>
      </dsp:txBody>
      <dsp:txXfrm>
        <a:off x="1941202" y="174909"/>
        <a:ext cx="1603995" cy="412178"/>
      </dsp:txXfrm>
    </dsp:sp>
    <dsp:sp modelId="{0849B99F-B4F1-4742-AB3C-28D0E989BA9B}">
      <dsp:nvSpPr>
        <dsp:cNvPr id="0" name=""/>
        <dsp:cNvSpPr/>
      </dsp:nvSpPr>
      <dsp:spPr>
        <a:xfrm>
          <a:off x="368" y="923927"/>
          <a:ext cx="1603995" cy="42255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Transformation &amp; Public Service Reform</a:t>
          </a:r>
        </a:p>
      </dsp:txBody>
      <dsp:txXfrm>
        <a:off x="368" y="923927"/>
        <a:ext cx="1603995" cy="422556"/>
      </dsp:txXfrm>
    </dsp:sp>
    <dsp:sp modelId="{570454D7-FD8E-40E5-B780-D608ED01BB1B}">
      <dsp:nvSpPr>
        <dsp:cNvPr id="0" name=""/>
        <dsp:cNvSpPr/>
      </dsp:nvSpPr>
      <dsp:spPr>
        <a:xfrm>
          <a:off x="1941202" y="923927"/>
          <a:ext cx="1603995" cy="44696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Regeneration, Environment &amp; Growth</a:t>
          </a:r>
        </a:p>
      </dsp:txBody>
      <dsp:txXfrm>
        <a:off x="1941202" y="923927"/>
        <a:ext cx="1603995" cy="446969"/>
      </dsp:txXfrm>
    </dsp:sp>
    <dsp:sp modelId="{72664932-5D73-4956-935B-FCBFF68B0028}">
      <dsp:nvSpPr>
        <dsp:cNvPr id="0" name=""/>
        <dsp:cNvSpPr/>
      </dsp:nvSpPr>
      <dsp:spPr>
        <a:xfrm>
          <a:off x="3882036" y="923927"/>
          <a:ext cx="1603995" cy="4537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Health &amp; Social Care Partnership</a:t>
          </a:r>
        </a:p>
      </dsp:txBody>
      <dsp:txXfrm>
        <a:off x="3882036" y="923927"/>
        <a:ext cx="1603995" cy="4537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A58C1-ACED-4B9F-92C2-DF5A5177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124</Pages>
  <Words>39508</Words>
  <Characters>225197</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264177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Williamson</dc:creator>
  <cp:lastModifiedBy>Gillian McNeilly</cp:lastModifiedBy>
  <cp:revision>6</cp:revision>
  <cp:lastPrinted>2020-11-13T17:36:00Z</cp:lastPrinted>
  <dcterms:created xsi:type="dcterms:W3CDTF">2020-11-20T11:36:00Z</dcterms:created>
  <dcterms:modified xsi:type="dcterms:W3CDTF">2020-11-27T10:43:00Z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