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36" w:rsidRPr="00DA6E0E" w:rsidRDefault="00440C36" w:rsidP="006E19FC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Housing </w:t>
      </w:r>
      <w:r w:rsidR="006E19FC">
        <w:rPr>
          <w:rFonts w:ascii="Calibri" w:hAnsi="Calibri" w:cs="Arial"/>
          <w:b/>
        </w:rPr>
        <w:t>Solutions Partnership meeting</w:t>
      </w:r>
    </w:p>
    <w:p w:rsidR="00440C36" w:rsidRPr="002A4FC0" w:rsidRDefault="00440C36" w:rsidP="00440C36">
      <w:pPr>
        <w:spacing w:after="0" w:line="240" w:lineRule="auto"/>
        <w:jc w:val="center"/>
        <w:rPr>
          <w:rFonts w:ascii="Calibri" w:hAnsi="Calibri" w:cs="Times New Roman"/>
          <w:sz w:val="16"/>
          <w:szCs w:val="16"/>
        </w:rPr>
      </w:pPr>
    </w:p>
    <w:p w:rsidR="00440C36" w:rsidRDefault="006E19FC" w:rsidP="00440C36">
      <w:pP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Thursday 17</w:t>
      </w:r>
      <w:r w:rsidR="00440C36" w:rsidRPr="00CB3103">
        <w:rPr>
          <w:rFonts w:ascii="Calibri" w:hAnsi="Calibri" w:cs="Times New Roman"/>
          <w:vertAlign w:val="superscript"/>
        </w:rPr>
        <w:t>th</w:t>
      </w:r>
      <w:r>
        <w:rPr>
          <w:rFonts w:ascii="Calibri" w:hAnsi="Calibri" w:cs="Times New Roman"/>
        </w:rPr>
        <w:t xml:space="preserve"> October</w:t>
      </w:r>
      <w:r w:rsidR="00440C36">
        <w:rPr>
          <w:rFonts w:ascii="Calibri" w:hAnsi="Calibri" w:cs="Times New Roman"/>
        </w:rPr>
        <w:t xml:space="preserve"> 2019, </w:t>
      </w:r>
      <w:r w:rsidR="00440C36" w:rsidRPr="00EF7CD0">
        <w:rPr>
          <w:rFonts w:ascii="Calibri" w:hAnsi="Calibri" w:cs="Times New Roman"/>
        </w:rPr>
        <w:t>1</w:t>
      </w:r>
      <w:r w:rsidR="00440C36">
        <w:rPr>
          <w:rFonts w:ascii="Calibri" w:hAnsi="Calibri" w:cs="Times New Roman"/>
        </w:rPr>
        <w:t>4</w:t>
      </w:r>
      <w:r w:rsidR="00440C36" w:rsidRPr="00EF7CD0">
        <w:rPr>
          <w:rFonts w:ascii="Calibri" w:hAnsi="Calibri" w:cs="Times New Roman"/>
        </w:rPr>
        <w:t>.00 – 1</w:t>
      </w:r>
      <w:r w:rsidR="00440C36">
        <w:rPr>
          <w:rFonts w:ascii="Calibri" w:hAnsi="Calibri" w:cs="Times New Roman"/>
        </w:rPr>
        <w:t>6</w:t>
      </w:r>
      <w:r w:rsidR="00440C36" w:rsidRPr="00EF7CD0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0</w:t>
      </w:r>
      <w:r w:rsidR="00440C36" w:rsidRPr="00EF7CD0">
        <w:rPr>
          <w:rFonts w:ascii="Calibri" w:hAnsi="Calibri" w:cs="Times New Roman"/>
        </w:rPr>
        <w:t>0</w:t>
      </w:r>
      <w:r>
        <w:rPr>
          <w:rFonts w:ascii="Calibri" w:hAnsi="Calibri" w:cs="Times New Roman"/>
        </w:rPr>
        <w:t>, Brock Training</w:t>
      </w:r>
      <w:r w:rsidR="00440C36">
        <w:rPr>
          <w:rFonts w:ascii="Calibri" w:hAnsi="Calibri" w:cs="Times New Roman"/>
        </w:rPr>
        <w:t xml:space="preserve"> Room, 16 Church Street</w:t>
      </w:r>
    </w:p>
    <w:p w:rsidR="00440C36" w:rsidRPr="002B5760" w:rsidRDefault="00440C36" w:rsidP="00440C36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:rsidR="00440C36" w:rsidRPr="00AB441A" w:rsidRDefault="00440C36" w:rsidP="006E19FC">
      <w:pPr>
        <w:spacing w:after="0" w:line="240" w:lineRule="auto"/>
        <w:ind w:left="-709"/>
        <w:rPr>
          <w:rFonts w:ascii="Calibri" w:hAnsi="Calibri" w:cs="Times New Roman"/>
        </w:rPr>
      </w:pPr>
      <w:r w:rsidRPr="001F008E">
        <w:rPr>
          <w:rFonts w:ascii="Calibri" w:hAnsi="Calibri" w:cs="Times New Roman"/>
          <w:b/>
        </w:rPr>
        <w:t>Pre</w:t>
      </w:r>
      <w:r w:rsidRPr="00772B00">
        <w:rPr>
          <w:rFonts w:ascii="Calibri" w:hAnsi="Calibri" w:cs="Times New Roman"/>
          <w:b/>
        </w:rPr>
        <w:t>sent</w:t>
      </w:r>
      <w:r>
        <w:rPr>
          <w:rFonts w:ascii="Calibri" w:hAnsi="Calibri" w:cs="Times New Roman"/>
        </w:rPr>
        <w:t xml:space="preserve">: </w:t>
      </w:r>
      <w:r w:rsidR="00FB51BD">
        <w:rPr>
          <w:rFonts w:ascii="Calibri" w:hAnsi="Calibri" w:cs="Times New Roman"/>
        </w:rPr>
        <w:t xml:space="preserve">Marion Gibbs (Scottish Government), John Kerr (WDC), Stefan Kristmanns (WDC), Claire Mckay (WDC), Fiona Campbell (Clydebank HA), Jennifer McKechnie (WDC), Pauline McEwan (BTHA </w:t>
      </w:r>
      <w:proofErr w:type="spellStart"/>
      <w:r w:rsidR="00FB51BD">
        <w:rPr>
          <w:rFonts w:ascii="Calibri" w:hAnsi="Calibri" w:cs="Times New Roman"/>
        </w:rPr>
        <w:t>Bonhill</w:t>
      </w:r>
      <w:proofErr w:type="spellEnd"/>
      <w:r w:rsidR="00FB51BD">
        <w:rPr>
          <w:rFonts w:ascii="Calibri" w:hAnsi="Calibri" w:cs="Times New Roman"/>
        </w:rPr>
        <w:t xml:space="preserve">), Laura </w:t>
      </w:r>
      <w:proofErr w:type="spellStart"/>
      <w:r w:rsidR="00FB51BD">
        <w:rPr>
          <w:rFonts w:ascii="Calibri" w:hAnsi="Calibri" w:cs="Times New Roman"/>
        </w:rPr>
        <w:t>Haining</w:t>
      </w:r>
      <w:proofErr w:type="spellEnd"/>
      <w:r w:rsidR="00FB51BD">
        <w:rPr>
          <w:rFonts w:ascii="Calibri" w:hAnsi="Calibri" w:cs="Times New Roman"/>
        </w:rPr>
        <w:t xml:space="preserve"> (Action for Children), Garry Burns (Homeless Action Scotland), Martin Harvey (</w:t>
      </w:r>
      <w:proofErr w:type="spellStart"/>
      <w:r w:rsidR="00FB51BD">
        <w:rPr>
          <w:rFonts w:ascii="Calibri" w:hAnsi="Calibri" w:cs="Times New Roman"/>
        </w:rPr>
        <w:t>Knowes</w:t>
      </w:r>
      <w:proofErr w:type="spellEnd"/>
      <w:r w:rsidR="00FB51BD">
        <w:rPr>
          <w:rFonts w:ascii="Calibri" w:hAnsi="Calibri" w:cs="Times New Roman"/>
        </w:rPr>
        <w:t xml:space="preserve"> HA), Liz Gillespie (DDWA), Kathryn Smith (WDC), Andy Cochrane (Alternatives), Donnie </w:t>
      </w:r>
      <w:proofErr w:type="spellStart"/>
      <w:r w:rsidR="00FB51BD">
        <w:rPr>
          <w:rFonts w:ascii="Calibri" w:hAnsi="Calibri" w:cs="Times New Roman"/>
        </w:rPr>
        <w:t>McGilveray</w:t>
      </w:r>
      <w:proofErr w:type="spellEnd"/>
      <w:r w:rsidR="00FB51BD">
        <w:rPr>
          <w:rFonts w:ascii="Calibri" w:hAnsi="Calibri" w:cs="Times New Roman"/>
        </w:rPr>
        <w:t xml:space="preserve"> (Alternatives), Leigh Pentland (WDC), Paul Ainsworth (WDC), Tricia McShane (</w:t>
      </w:r>
      <w:proofErr w:type="spellStart"/>
      <w:r w:rsidR="00FB51BD">
        <w:rPr>
          <w:rFonts w:ascii="Calibri" w:hAnsi="Calibri" w:cs="Times New Roman"/>
        </w:rPr>
        <w:t>Dunbritton</w:t>
      </w:r>
      <w:proofErr w:type="spellEnd"/>
      <w:r w:rsidR="00FB51BD">
        <w:rPr>
          <w:rFonts w:ascii="Calibri" w:hAnsi="Calibri" w:cs="Times New Roman"/>
        </w:rPr>
        <w:t xml:space="preserve"> HA)</w:t>
      </w:r>
      <w:r w:rsidR="002F0225">
        <w:rPr>
          <w:rFonts w:ascii="Calibri" w:hAnsi="Calibri" w:cs="Times New Roman"/>
        </w:rPr>
        <w:t xml:space="preserve">, </w:t>
      </w:r>
      <w:r w:rsidR="002F0225" w:rsidRPr="00AB441A">
        <w:rPr>
          <w:rFonts w:ascii="Calibri" w:hAnsi="Calibri" w:cs="Times New Roman"/>
        </w:rPr>
        <w:t xml:space="preserve">Carol Ann </w:t>
      </w:r>
      <w:proofErr w:type="spellStart"/>
      <w:r w:rsidR="002F0225" w:rsidRPr="00AB441A">
        <w:rPr>
          <w:rFonts w:ascii="Calibri" w:hAnsi="Calibri" w:cs="Times New Roman"/>
        </w:rPr>
        <w:t>Val</w:t>
      </w:r>
      <w:r w:rsidR="00AB441A" w:rsidRPr="00AB441A">
        <w:rPr>
          <w:rFonts w:ascii="Calibri" w:hAnsi="Calibri" w:cs="Times New Roman"/>
        </w:rPr>
        <w:t>lely</w:t>
      </w:r>
      <w:proofErr w:type="spellEnd"/>
      <w:r w:rsidR="002F0225" w:rsidRPr="00AB441A">
        <w:rPr>
          <w:rFonts w:ascii="Calibri" w:hAnsi="Calibri" w:cs="Times New Roman"/>
        </w:rPr>
        <w:t xml:space="preserve"> (CWA)</w:t>
      </w:r>
      <w:r w:rsidR="00AB441A">
        <w:rPr>
          <w:rFonts w:ascii="Calibri" w:hAnsi="Calibri" w:cs="Times New Roman"/>
        </w:rPr>
        <w:t>.</w:t>
      </w:r>
      <w:bookmarkStart w:id="0" w:name="_GoBack"/>
      <w:bookmarkEnd w:id="0"/>
    </w:p>
    <w:p w:rsidR="00440C36" w:rsidRPr="00772B00" w:rsidRDefault="00440C36" w:rsidP="00440C36">
      <w:pPr>
        <w:spacing w:after="0" w:line="240" w:lineRule="auto"/>
        <w:rPr>
          <w:rFonts w:ascii="Calibri" w:hAnsi="Calibri" w:cs="Times New Roman"/>
        </w:rPr>
      </w:pPr>
    </w:p>
    <w:p w:rsidR="00440C36" w:rsidRPr="00772B00" w:rsidRDefault="00440C36" w:rsidP="006E19FC">
      <w:pPr>
        <w:spacing w:after="0" w:line="240" w:lineRule="auto"/>
        <w:ind w:left="-709"/>
        <w:rPr>
          <w:rFonts w:ascii="Calibri" w:hAnsi="Calibri" w:cs="Times New Roman"/>
        </w:rPr>
      </w:pPr>
      <w:r w:rsidRPr="00772B00">
        <w:rPr>
          <w:rFonts w:ascii="Calibri" w:hAnsi="Calibri" w:cs="Times New Roman"/>
          <w:b/>
        </w:rPr>
        <w:t>Apologies</w:t>
      </w:r>
      <w:r w:rsidRPr="00772B00">
        <w:rPr>
          <w:rFonts w:ascii="Calibri" w:hAnsi="Calibri" w:cs="Times New Roman"/>
        </w:rPr>
        <w:t xml:space="preserve">: </w:t>
      </w:r>
      <w:r w:rsidR="00AC5804">
        <w:rPr>
          <w:rFonts w:ascii="Calibri" w:hAnsi="Calibri" w:cs="Times New Roman"/>
        </w:rPr>
        <w:t xml:space="preserve">Diane Docherty (Convenor, Housing and Communities Committee), </w:t>
      </w:r>
      <w:r w:rsidR="00FB51BD">
        <w:rPr>
          <w:rFonts w:ascii="Calibri" w:hAnsi="Calibri" w:cs="Times New Roman"/>
        </w:rPr>
        <w:t xml:space="preserve">Nicole </w:t>
      </w:r>
      <w:proofErr w:type="spellStart"/>
      <w:r w:rsidR="00FB51BD">
        <w:rPr>
          <w:rFonts w:ascii="Calibri" w:hAnsi="Calibri" w:cs="Times New Roman"/>
        </w:rPr>
        <w:t>McQuiston</w:t>
      </w:r>
      <w:proofErr w:type="spellEnd"/>
      <w:r w:rsidR="00FB51BD">
        <w:rPr>
          <w:rFonts w:ascii="Calibri" w:hAnsi="Calibri" w:cs="Times New Roman"/>
        </w:rPr>
        <w:t xml:space="preserve"> (Wheatley Group), Nora Sheridan (DWP)</w:t>
      </w:r>
    </w:p>
    <w:p w:rsidR="009901A3" w:rsidRDefault="009901A3" w:rsidP="007D7721">
      <w:pPr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8364"/>
      </w:tblGrid>
      <w:tr w:rsidR="00440C36" w:rsidRPr="0017032C" w:rsidTr="00440C36">
        <w:trPr>
          <w:trHeight w:val="4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C36" w:rsidRPr="0017032C" w:rsidRDefault="00440C36" w:rsidP="001C4E20">
            <w:pPr>
              <w:spacing w:line="48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</w:t>
            </w:r>
            <w:r w:rsidRPr="0017032C">
              <w:rPr>
                <w:rFonts w:ascii="Calibri" w:hAnsi="Calibri" w:cs="Arial"/>
                <w:b/>
              </w:rPr>
              <w:t>genda items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C36" w:rsidRDefault="006E19FC" w:rsidP="001C4E20">
            <w:pPr>
              <w:spacing w:line="48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Notes and agreed actions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440C36" w:rsidP="001C4E20">
            <w:pPr>
              <w:spacing w:line="480" w:lineRule="auto"/>
              <w:rPr>
                <w:rFonts w:ascii="Calibri" w:hAnsi="Calibri" w:cs="Arial"/>
              </w:rPr>
            </w:pPr>
            <w:r w:rsidRPr="00913EFB">
              <w:rPr>
                <w:rFonts w:ascii="Calibri" w:hAnsi="Calibri" w:cs="Arial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6E19FC" w:rsidP="00980E18">
            <w:pPr>
              <w:tabs>
                <w:tab w:val="left" w:pos="1646"/>
              </w:tabs>
            </w:pPr>
            <w:r>
              <w:t>Welcome and Introductions</w:t>
            </w:r>
          </w:p>
          <w:p w:rsidR="00440C36" w:rsidRPr="00913EFB" w:rsidRDefault="00AC5804" w:rsidP="00F158B9">
            <w:r>
              <w:t>John Kerr, Housing Development and Homelessness Manager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980E18">
            <w:pPr>
              <w:tabs>
                <w:tab w:val="left" w:pos="1646"/>
              </w:tabs>
            </w:pPr>
          </w:p>
          <w:p w:rsidR="006E19FC" w:rsidRDefault="006E19FC" w:rsidP="00980E18">
            <w:pPr>
              <w:tabs>
                <w:tab w:val="left" w:pos="1646"/>
              </w:tabs>
            </w:pPr>
          </w:p>
        </w:tc>
      </w:tr>
      <w:tr w:rsidR="00440C36" w:rsidRPr="0017032C" w:rsidTr="00440C36">
        <w:tc>
          <w:tcPr>
            <w:tcW w:w="567" w:type="dxa"/>
          </w:tcPr>
          <w:p w:rsidR="00440C36" w:rsidRDefault="00440C36" w:rsidP="003C40E3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6379" w:type="dxa"/>
          </w:tcPr>
          <w:p w:rsidR="00440C36" w:rsidRDefault="006E19FC" w:rsidP="006E19FC">
            <w:r>
              <w:t>Note of previous meeting</w:t>
            </w:r>
          </w:p>
          <w:p w:rsidR="006E19FC" w:rsidRDefault="00AC5804" w:rsidP="00AC5804">
            <w:r>
              <w:t>John Kerr</w:t>
            </w:r>
          </w:p>
        </w:tc>
        <w:tc>
          <w:tcPr>
            <w:tcW w:w="8364" w:type="dxa"/>
          </w:tcPr>
          <w:p w:rsidR="000347B3" w:rsidRDefault="000347B3" w:rsidP="000347B3">
            <w:r>
              <w:t>Note was agreed as accurate reflection of meeting.</w:t>
            </w:r>
          </w:p>
          <w:p w:rsidR="00562A42" w:rsidRDefault="00562A42" w:rsidP="00F665E0"/>
          <w:p w:rsidR="00562A42" w:rsidRDefault="000347B3" w:rsidP="00562A42">
            <w:r>
              <w:t>On-going actions from previous meeting;</w:t>
            </w:r>
          </w:p>
          <w:p w:rsidR="000347B3" w:rsidRDefault="000347B3" w:rsidP="00562A42">
            <w:pPr>
              <w:pStyle w:val="ListParagraph"/>
              <w:numPr>
                <w:ilvl w:val="0"/>
                <w:numId w:val="16"/>
              </w:numPr>
            </w:pPr>
            <w:r>
              <w:t xml:space="preserve">Contributions Statements – not all organisations </w:t>
            </w:r>
            <w:r w:rsidR="00AC5804">
              <w:t>have provided ap</w:t>
            </w:r>
            <w:r w:rsidR="00562A42">
              <w:t>proved Contributions Statements</w:t>
            </w:r>
          </w:p>
          <w:p w:rsidR="006E19FC" w:rsidRDefault="00562A42" w:rsidP="00C82B8E">
            <w:pPr>
              <w:pStyle w:val="ListParagraph"/>
              <w:numPr>
                <w:ilvl w:val="0"/>
                <w:numId w:val="16"/>
              </w:numPr>
            </w:pPr>
            <w:r>
              <w:t>Review of Section 11 protocol – timescales extended due to on-going consultation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980E18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4C22AC">
            <w:r>
              <w:t>Scottish Government update</w:t>
            </w:r>
          </w:p>
          <w:p w:rsidR="006E19FC" w:rsidRDefault="006E19FC" w:rsidP="004C22AC">
            <w:r>
              <w:t>Marion Gibb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A4" w:rsidRDefault="00BD0AD8" w:rsidP="004C22AC">
            <w:r>
              <w:t>4 teams within the Scottish Government – see attached document explaining each of the 4 teams.</w:t>
            </w:r>
          </w:p>
          <w:p w:rsidR="00E5260E" w:rsidRDefault="00E5260E" w:rsidP="004C22AC"/>
          <w:p w:rsidR="00BD0AD8" w:rsidRDefault="00BD0AD8" w:rsidP="004C22AC">
            <w:r>
              <w:t>Second round of feedback given to local authorities on their RRTP in September 2019.</w:t>
            </w:r>
          </w:p>
          <w:p w:rsidR="00BD0AD8" w:rsidRDefault="00E5260E" w:rsidP="00E5260E">
            <w:r>
              <w:t>Focus on cost</w:t>
            </w:r>
            <w:r w:rsidR="00BD0AD8">
              <w:t xml:space="preserve">ings – used </w:t>
            </w:r>
            <w:r>
              <w:t>previous formula to distribute this years finding but Minister wants more options .  Working with COSLA, a paper will be issued to leaders group on 31/10/19 for an announcement in December for the spending review which will account for Year 2 + 3 spends.</w:t>
            </w:r>
          </w:p>
          <w:p w:rsidR="00E5260E" w:rsidRDefault="00E5260E" w:rsidP="00E5260E"/>
          <w:p w:rsidR="00E5260E" w:rsidRDefault="00E5260E" w:rsidP="00E5260E">
            <w:r>
              <w:t>Housing First Pathfinders – not every local authority have these, the sub group is looking at monitoring framework – progress Vs spend.  Meeting next week will look at journey so far and softer indicators.</w:t>
            </w:r>
          </w:p>
          <w:p w:rsidR="00E5260E" w:rsidRDefault="00E5260E" w:rsidP="00E5260E"/>
          <w:p w:rsidR="00E5260E" w:rsidRDefault="00E5260E" w:rsidP="00E5260E">
            <w:r>
              <w:t>2 Government funds – Homeless Prevent Fund - £1.5 million (RSL Involvement) and Housing &amp; Voluntary Grant £4.5 million.  Want to open the latter up to other groups.  An arms length organisation would administer this fund.</w:t>
            </w:r>
          </w:p>
          <w:p w:rsidR="00E5260E" w:rsidRDefault="00E5260E" w:rsidP="00E5260E"/>
          <w:p w:rsidR="00E5260E" w:rsidRDefault="00E5260E" w:rsidP="00E5260E">
            <w:r>
              <w:t>Hard edges – mental health justice = complex – what can we do?</w:t>
            </w:r>
          </w:p>
          <w:p w:rsidR="006E19FC" w:rsidRDefault="006E19FC" w:rsidP="004C22AC"/>
          <w:p w:rsidR="006E19FC" w:rsidRDefault="00E5260E" w:rsidP="004C22AC">
            <w:r>
              <w:t>7/11/19 Legislative changes:</w:t>
            </w:r>
          </w:p>
          <w:p w:rsidR="00E5260E" w:rsidRDefault="00E5260E" w:rsidP="00E5260E">
            <w:pPr>
              <w:pStyle w:val="ListParagraph"/>
              <w:numPr>
                <w:ilvl w:val="0"/>
                <w:numId w:val="17"/>
              </w:numPr>
            </w:pPr>
            <w:r>
              <w:t>Intentionality – local authorities to officially have the discretion to apply intentionality or not when making a homeless assessment</w:t>
            </w:r>
          </w:p>
          <w:p w:rsidR="00E5260E" w:rsidRDefault="00146733" w:rsidP="00E5260E">
            <w:pPr>
              <w:pStyle w:val="ListParagraph"/>
              <w:numPr>
                <w:ilvl w:val="0"/>
                <w:numId w:val="17"/>
              </w:numPr>
            </w:pPr>
            <w:r>
              <w:t>New temporary accommodation standards will be issued</w:t>
            </w:r>
          </w:p>
          <w:p w:rsidR="00146733" w:rsidRDefault="00146733" w:rsidP="00E5260E">
            <w:pPr>
              <w:pStyle w:val="ListParagraph"/>
              <w:numPr>
                <w:ilvl w:val="0"/>
                <w:numId w:val="17"/>
              </w:numPr>
            </w:pPr>
            <w:r>
              <w:t>Longer term – looking at local connection, consultation ongoing with view to make a statement for November 2020</w:t>
            </w:r>
          </w:p>
          <w:p w:rsidR="00146733" w:rsidRDefault="00146733" w:rsidP="00146733">
            <w:pPr>
              <w:pStyle w:val="ListParagraph"/>
              <w:numPr>
                <w:ilvl w:val="0"/>
                <w:numId w:val="17"/>
              </w:numPr>
            </w:pPr>
            <w:r>
              <w:t>Unsuitable accommodation order – apply to all households – working to May 2021 – working with those who have the most breaches currently</w:t>
            </w:r>
          </w:p>
          <w:p w:rsidR="006E19FC" w:rsidRDefault="00146733" w:rsidP="00C82B8E">
            <w:pPr>
              <w:pStyle w:val="ListParagraph"/>
              <w:numPr>
                <w:ilvl w:val="0"/>
                <w:numId w:val="17"/>
              </w:numPr>
            </w:pPr>
            <w:r>
              <w:t>Code of Guidance – rewrite – intensive work on where this needs to go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980E18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C" w:rsidRDefault="006E19FC" w:rsidP="00FE5521">
            <w:r>
              <w:t>West Dunbartonshire’s Rapid Rehousing Transition Plan update</w:t>
            </w:r>
          </w:p>
          <w:p w:rsidR="00440C36" w:rsidRDefault="002F0225" w:rsidP="00FE5521">
            <w:r>
              <w:t>John Kerr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84CE7" w:rsidP="004C22AC">
            <w:r>
              <w:t>Good feedback 2</w:t>
            </w:r>
            <w:r w:rsidRPr="00484CE7">
              <w:rPr>
                <w:vertAlign w:val="superscript"/>
              </w:rPr>
              <w:t>nd</w:t>
            </w:r>
            <w:r>
              <w:t xml:space="preserve"> time round.</w:t>
            </w:r>
          </w:p>
          <w:p w:rsidR="00484CE7" w:rsidRDefault="00484CE7" w:rsidP="004C22AC"/>
          <w:p w:rsidR="00484CE7" w:rsidRDefault="00484CE7" w:rsidP="004C22AC">
            <w:r>
              <w:t>Looking at different pathways:</w:t>
            </w:r>
          </w:p>
          <w:p w:rsidR="00484CE7" w:rsidRDefault="00484CE7" w:rsidP="00266208">
            <w:pPr>
              <w:pStyle w:val="ListParagraph"/>
              <w:numPr>
                <w:ilvl w:val="0"/>
                <w:numId w:val="18"/>
              </w:numPr>
            </w:pPr>
            <w:r>
              <w:t xml:space="preserve">Young – upscaling and want more consistency, every young person to </w:t>
            </w:r>
            <w:r w:rsidR="00131506">
              <w:t xml:space="preserve">have the opportunity for a </w:t>
            </w:r>
            <w:r>
              <w:t xml:space="preserve">housing options, </w:t>
            </w:r>
            <w:r w:rsidR="00266208">
              <w:t xml:space="preserve">initially to those on WDC waiting list but will establish </w:t>
            </w:r>
            <w:r>
              <w:t>referral system with RSL’s</w:t>
            </w:r>
            <w:r w:rsidR="00266208">
              <w:t xml:space="preserve"> early in 2020</w:t>
            </w:r>
          </w:p>
          <w:p w:rsidR="00484CE7" w:rsidRDefault="00484CE7" w:rsidP="00484CE7">
            <w:pPr>
              <w:pStyle w:val="ListParagraph"/>
              <w:numPr>
                <w:ilvl w:val="0"/>
                <w:numId w:val="18"/>
              </w:numPr>
            </w:pPr>
            <w:r>
              <w:t>Care leavers and Prison leavers – both pathways operating well</w:t>
            </w:r>
          </w:p>
          <w:p w:rsidR="00484CE7" w:rsidRDefault="00484CE7" w:rsidP="00484CE7">
            <w:pPr>
              <w:pStyle w:val="ListParagraph"/>
              <w:numPr>
                <w:ilvl w:val="0"/>
                <w:numId w:val="18"/>
              </w:numPr>
            </w:pPr>
            <w:r>
              <w:t>To be developed – hospital discharge, domestic abuse, LGBT and armed forces discharge</w:t>
            </w:r>
          </w:p>
          <w:p w:rsidR="00484CE7" w:rsidRDefault="00484CE7" w:rsidP="00484CE7"/>
          <w:p w:rsidR="00484CE7" w:rsidRDefault="00484CE7" w:rsidP="00484CE7">
            <w:r>
              <w:t>£265K funding to be used on housing first and conversions initially.</w:t>
            </w:r>
          </w:p>
          <w:p w:rsidR="00484CE7" w:rsidRDefault="00484CE7" w:rsidP="00484CE7"/>
          <w:p w:rsidR="006E19FC" w:rsidRDefault="00484CE7" w:rsidP="00484CE7">
            <w:r>
              <w:t>New service</w:t>
            </w:r>
            <w:r w:rsidR="00131506">
              <w:t xml:space="preserve"> to be developed from funding </w:t>
            </w:r>
            <w:r>
              <w:t xml:space="preserve"> – prevention worker (sec 11’s) resettlement</w:t>
            </w:r>
            <w:r w:rsidR="00131506">
              <w:t xml:space="preserve"> (tenancy sustainment)</w:t>
            </w:r>
            <w:r>
              <w:t xml:space="preserve"> worker.</w:t>
            </w:r>
          </w:p>
          <w:p w:rsidR="00484CE7" w:rsidRDefault="00484CE7" w:rsidP="00484CE7"/>
          <w:p w:rsidR="006E19FC" w:rsidRDefault="00484CE7" w:rsidP="00C82B8E">
            <w:r>
              <w:t>Be mindful of our letting targets – required to keep RRTP on track.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980E18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6E19FC">
            <w:r>
              <w:t>“More than a roof” statistical update</w:t>
            </w:r>
          </w:p>
          <w:p w:rsidR="006E19FC" w:rsidRDefault="006E19FC" w:rsidP="006E19FC">
            <w:r>
              <w:t>Stefan Kristmanns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19" w:rsidRDefault="00C82B8E" w:rsidP="00C82B8E">
            <w:r>
              <w:t>Discussion around Q2 performance and data included. Group to feedback thoughts in terms of</w:t>
            </w:r>
            <w:r w:rsidR="00BD0AD8">
              <w:t xml:space="preserve"> other data </w:t>
            </w:r>
            <w:r>
              <w:t>that would be beneficial to include</w:t>
            </w:r>
            <w:r w:rsidR="00BD0AD8">
              <w:t xml:space="preserve"> for future meetings.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980E18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4B3CBC">
            <w:r>
              <w:t>Housing First update</w:t>
            </w:r>
          </w:p>
          <w:p w:rsidR="006E19FC" w:rsidRDefault="006E19FC" w:rsidP="004B3CBC">
            <w:r>
              <w:t>Jennifer McKechnie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Default="00484CE7" w:rsidP="00C82B8E">
            <w:r w:rsidRPr="00484CE7">
              <w:t xml:space="preserve">Started phasing in but expect to be at capacity by April 2020.  2 referrals have got homes, 1 has secured an </w:t>
            </w:r>
            <w:r w:rsidR="00C82B8E">
              <w:t>offer and 3 waiting on an offer.</w:t>
            </w:r>
          </w:p>
          <w:p w:rsidR="00C82B8E" w:rsidRPr="00484CE7" w:rsidRDefault="00C82B8E" w:rsidP="00C82B8E"/>
          <w:p w:rsidR="00484CE7" w:rsidRPr="00484CE7" w:rsidRDefault="00484CE7" w:rsidP="00131506">
            <w:r w:rsidRPr="00484CE7">
              <w:t xml:space="preserve">Challenges – </w:t>
            </w:r>
            <w:r w:rsidR="00131506">
              <w:t>N</w:t>
            </w:r>
            <w:r w:rsidRPr="00484CE7">
              <w:t>eed to work on terminology being used and thoughts of “deserve” in relation to addiction, managing the clients expectations – expecting instant offers when this isn’t the case, need to also develop with RSLs which would then help with the wait for offers.</w:t>
            </w:r>
          </w:p>
          <w:p w:rsidR="00484CE7" w:rsidRPr="00484CE7" w:rsidRDefault="00484CE7" w:rsidP="00484CE7"/>
          <w:p w:rsidR="006E19FC" w:rsidRDefault="00484CE7" w:rsidP="00131506">
            <w:r w:rsidRPr="00484CE7">
              <w:t xml:space="preserve">Positives – </w:t>
            </w:r>
            <w:r w:rsidR="00131506">
              <w:t>M</w:t>
            </w:r>
            <w:r w:rsidRPr="00484CE7">
              <w:t xml:space="preserve">aking the allocation </w:t>
            </w:r>
            <w:r w:rsidR="00131506">
              <w:t xml:space="preserve">effective and personalised budgeting </w:t>
            </w:r>
            <w:r w:rsidRPr="00484CE7">
              <w:t>makes it easier to get things done and making a difference.</w:t>
            </w:r>
          </w:p>
          <w:p w:rsidR="006E19FC" w:rsidRDefault="006E19FC" w:rsidP="003960A2"/>
          <w:p w:rsidR="00C82B8E" w:rsidRDefault="00C82B8E" w:rsidP="003960A2">
            <w:r>
              <w:t>Agreed to provide update to HSP on a quarterly basis using the Housing First tracked used in pathfinders.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DF27AE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6E19FC">
            <w:r>
              <w:t>Welfare Reform update</w:t>
            </w:r>
          </w:p>
          <w:p w:rsidR="006E19FC" w:rsidRDefault="006E19FC" w:rsidP="006E19FC">
            <w:r>
              <w:t>DWP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C" w:rsidRPr="00BA4725" w:rsidRDefault="000347B3" w:rsidP="00C82B8E">
            <w:r>
              <w:t>Nora Sheridan from DWP provided apologies as could not attend meeting. Advised that there was</w:t>
            </w:r>
            <w:r w:rsidRPr="000347B3">
              <w:t xml:space="preserve"> nothing specific </w:t>
            </w:r>
            <w:r>
              <w:t xml:space="preserve">in terms of an update but wanted to highlight again she is </w:t>
            </w:r>
            <w:r w:rsidRPr="000347B3">
              <w:t xml:space="preserve"> happy to engage with any RSL’s, private landlords etc</w:t>
            </w:r>
            <w:r>
              <w:t>. where</w:t>
            </w:r>
            <w:r w:rsidRPr="000347B3">
              <w:t xml:space="preserve"> they feel that will help</w:t>
            </w:r>
            <w:r>
              <w:t>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DF27AE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3960A2">
            <w:r>
              <w:t>West Housing Options  Hub update</w:t>
            </w:r>
          </w:p>
          <w:p w:rsidR="006E19FC" w:rsidRDefault="006E19FC" w:rsidP="003960A2">
            <w:r>
              <w:t>John Kerr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BD" w:rsidRDefault="00FB51BD" w:rsidP="00FB51BD">
            <w:r w:rsidRPr="00FB51BD">
              <w:t xml:space="preserve">A PREVENT1 guidance is being developed by the West Hub, so far </w:t>
            </w:r>
            <w:r>
              <w:t>feedback on this has been</w:t>
            </w:r>
            <w:r w:rsidRPr="00FB51BD">
              <w:t xml:space="preserve"> positive (also discussed at the last </w:t>
            </w:r>
            <w:r>
              <w:t>SG Homeless S</w:t>
            </w:r>
            <w:r w:rsidRPr="00FB51BD">
              <w:t>tat</w:t>
            </w:r>
            <w:r>
              <w:t>i</w:t>
            </w:r>
            <w:r w:rsidRPr="00FB51BD">
              <w:t>s</w:t>
            </w:r>
            <w:r>
              <w:t>tics User Group). T</w:t>
            </w:r>
            <w:r w:rsidRPr="00FB51BD">
              <w:t xml:space="preserve">he intention is that </w:t>
            </w:r>
            <w:r>
              <w:t xml:space="preserve">there is </w:t>
            </w:r>
            <w:r w:rsidRPr="00FB51BD">
              <w:t>guidance which can be used by all LA’s, which is consistent with the toolkit and which is suppo</w:t>
            </w:r>
            <w:r>
              <w:t>rted by</w:t>
            </w:r>
            <w:r w:rsidR="006F0B48">
              <w:t xml:space="preserve"> the SG</w:t>
            </w:r>
            <w:r>
              <w:t xml:space="preserve"> and Regulator. </w:t>
            </w:r>
          </w:p>
          <w:p w:rsidR="00FB51BD" w:rsidRDefault="00FB51BD" w:rsidP="00FB51BD"/>
          <w:p w:rsidR="00FB51BD" w:rsidRPr="00FB51BD" w:rsidRDefault="00FB51BD" w:rsidP="00FB51BD">
            <w:r>
              <w:t>Housing Options</w:t>
            </w:r>
            <w:r w:rsidRPr="00FB51BD">
              <w:t xml:space="preserve"> the toolkit – module one is nearly there, currently being refined by North Lanarkshire, workshop has been held for module 2.  Noted that in terms of timescale this is being reviewed with provider (</w:t>
            </w:r>
            <w:proofErr w:type="spellStart"/>
            <w:r w:rsidRPr="00FB51BD">
              <w:t>Aurion</w:t>
            </w:r>
            <w:proofErr w:type="spellEnd"/>
            <w:r w:rsidRPr="00FB51BD">
              <w:t>) and a plan in place for a 6 month secondment to support delivery.</w:t>
            </w:r>
          </w:p>
          <w:p w:rsidR="006F0B48" w:rsidRDefault="006F0B48" w:rsidP="006F0B48"/>
          <w:p w:rsidR="006E19FC" w:rsidRDefault="006F0B48" w:rsidP="00C82B8E">
            <w:r>
              <w:t>There is</w:t>
            </w:r>
            <w:r w:rsidR="00FB51BD" w:rsidRPr="00FB51BD">
              <w:t xml:space="preserve"> some discussion regards the slightly changing role of the HUB (RRTP and SHORE) –</w:t>
            </w:r>
            <w:r>
              <w:t>and</w:t>
            </w:r>
            <w:r w:rsidR="00FB51BD" w:rsidRPr="00FB51BD">
              <w:t xml:space="preserve"> action plan</w:t>
            </w:r>
            <w:r w:rsidR="000347B3">
              <w:t xml:space="preserve"> </w:t>
            </w:r>
            <w:r>
              <w:t>is therefore being reviewed and updated.</w:t>
            </w:r>
          </w:p>
        </w:tc>
      </w:tr>
      <w:tr w:rsidR="00440C36" w:rsidRPr="0017032C" w:rsidTr="001A1139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440C36" w:rsidP="001D3DEC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6E19FC" w:rsidP="001D3DEC">
            <w:r>
              <w:t>What’s new? Service initiatives, best practice examples, partnerships</w:t>
            </w:r>
          </w:p>
          <w:p w:rsidR="006E19FC" w:rsidRDefault="006E19FC" w:rsidP="001D3DEC">
            <w:r>
              <w:t>All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C" w:rsidRDefault="00146733" w:rsidP="00C82B8E">
            <w:r>
              <w:t>Papers to be circulated.</w:t>
            </w:r>
          </w:p>
          <w:p w:rsidR="00C82B8E" w:rsidRDefault="00C82B8E" w:rsidP="00C82B8E"/>
          <w:p w:rsidR="006E19FC" w:rsidRDefault="00146733" w:rsidP="00C82B8E">
            <w:r>
              <w:t>Topics came up during other conversations.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440C36" w:rsidP="001D3DEC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10</w:t>
            </w:r>
            <w:r w:rsidRPr="00913EFB">
              <w:rPr>
                <w:rFonts w:ascii="Calibri" w:hAnsi="Calibri" w:cs="Arial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6E19FC" w:rsidP="001A1139">
            <w:r>
              <w:t>AOCB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Default="00146733" w:rsidP="003960A2">
            <w:r>
              <w:t>SHR Engagement under Homelessness – meeting held last week, don’t see any issues and potentially just looking at quarterly updates.  To note 20 out of the 32 local authorities the SHR is engaging under homelessness.</w:t>
            </w:r>
          </w:p>
          <w:p w:rsidR="00146733" w:rsidRDefault="00146733" w:rsidP="003960A2"/>
          <w:p w:rsidR="006E19FC" w:rsidRDefault="00146733" w:rsidP="00146733">
            <w:r>
              <w:t>Code of Guidance – advisory standards for temporary accommodation – seen a rough draft and given feedback, there will be another meeting after 07/11/19</w:t>
            </w:r>
            <w:r w:rsidR="00131506">
              <w:t xml:space="preserve"> publication.</w:t>
            </w:r>
          </w:p>
          <w:p w:rsidR="00146733" w:rsidRDefault="00146733" w:rsidP="00146733"/>
          <w:p w:rsidR="00146733" w:rsidRDefault="00146733" w:rsidP="00131506">
            <w:r>
              <w:t xml:space="preserve">New domestic abuse legislation – barring orders – to discuss at </w:t>
            </w:r>
            <w:r w:rsidR="00131506">
              <w:t xml:space="preserve">future </w:t>
            </w:r>
            <w:r>
              <w:t>meeting</w:t>
            </w:r>
            <w:r w:rsidR="00131506">
              <w:t xml:space="preserve"> as more detail emerges</w:t>
            </w:r>
            <w:r>
              <w:t>.</w:t>
            </w:r>
          </w:p>
          <w:p w:rsidR="00146733" w:rsidRDefault="00146733" w:rsidP="00146733"/>
          <w:p w:rsidR="006E19FC" w:rsidRDefault="00146733" w:rsidP="00C82B8E">
            <w:r>
              <w:t>Homeless Action Scotland  working with SAMH, looking for an advisory panel of people who are homeless and affected by suicide – if we know anyone to contact Garry.</w:t>
            </w:r>
          </w:p>
        </w:tc>
      </w:tr>
      <w:tr w:rsidR="00440C36" w:rsidRPr="0017032C" w:rsidTr="00440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440C36" w:rsidP="001D3DEC">
            <w:pPr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  <w:r w:rsidRPr="00913EFB">
              <w:rPr>
                <w:rFonts w:ascii="Calibri" w:hAnsi="Calibri" w:cs="Arial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6" w:rsidRPr="00913EFB" w:rsidRDefault="00440C36" w:rsidP="00C82B8E">
            <w:pPr>
              <w:ind w:left="720" w:hanging="720"/>
            </w:pPr>
            <w:r w:rsidRPr="00913EFB">
              <w:t>Date of Next Meeting</w:t>
            </w:r>
            <w: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C" w:rsidRPr="00913EFB" w:rsidRDefault="00B50865" w:rsidP="006E19FC">
            <w:r>
              <w:t>19</w:t>
            </w:r>
            <w:r w:rsidRPr="00B50865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</w:tbl>
    <w:p w:rsidR="001C4E20" w:rsidRPr="00605E00" w:rsidRDefault="001C4E20" w:rsidP="00605E00">
      <w:pPr>
        <w:rPr>
          <w:rFonts w:ascii="Calibri" w:hAnsi="Calibri" w:cs="Arial"/>
        </w:rPr>
      </w:pPr>
    </w:p>
    <w:sectPr w:rsidR="001C4E20" w:rsidRPr="00605E00" w:rsidSect="00440C36">
      <w:headerReference w:type="default" r:id="rId9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CD" w:rsidRDefault="00744CCD" w:rsidP="00A056EF">
      <w:pPr>
        <w:spacing w:after="0" w:line="240" w:lineRule="auto"/>
      </w:pPr>
      <w:r>
        <w:separator/>
      </w:r>
    </w:p>
  </w:endnote>
  <w:endnote w:type="continuationSeparator" w:id="0">
    <w:p w:rsidR="00744CCD" w:rsidRDefault="00744CCD" w:rsidP="00A0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CD" w:rsidRDefault="00744CCD" w:rsidP="00A056EF">
      <w:pPr>
        <w:spacing w:after="0" w:line="240" w:lineRule="auto"/>
      </w:pPr>
      <w:r>
        <w:separator/>
      </w:r>
    </w:p>
  </w:footnote>
  <w:footnote w:type="continuationSeparator" w:id="0">
    <w:p w:rsidR="00744CCD" w:rsidRDefault="00744CCD" w:rsidP="00A0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E7" w:rsidRDefault="00484CE7" w:rsidP="007652F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DF264C" wp14:editId="5ECD2419">
          <wp:extent cx="1286510" cy="7683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9C"/>
    <w:multiLevelType w:val="hybridMultilevel"/>
    <w:tmpl w:val="A45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6227"/>
    <w:multiLevelType w:val="hybridMultilevel"/>
    <w:tmpl w:val="720A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34425"/>
    <w:multiLevelType w:val="hybridMultilevel"/>
    <w:tmpl w:val="E6BA2358"/>
    <w:lvl w:ilvl="0" w:tplc="9BE2C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2D5D"/>
    <w:multiLevelType w:val="hybridMultilevel"/>
    <w:tmpl w:val="07CA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EB0"/>
    <w:multiLevelType w:val="hybridMultilevel"/>
    <w:tmpl w:val="4C10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749AE"/>
    <w:multiLevelType w:val="hybridMultilevel"/>
    <w:tmpl w:val="AFB0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06433"/>
    <w:multiLevelType w:val="hybridMultilevel"/>
    <w:tmpl w:val="5B32F1D0"/>
    <w:lvl w:ilvl="0" w:tplc="9BE2C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3E3D"/>
    <w:multiLevelType w:val="hybridMultilevel"/>
    <w:tmpl w:val="BFB4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53D9B"/>
    <w:multiLevelType w:val="hybridMultilevel"/>
    <w:tmpl w:val="5CC68616"/>
    <w:lvl w:ilvl="0" w:tplc="9BE2C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3279"/>
    <w:multiLevelType w:val="hybridMultilevel"/>
    <w:tmpl w:val="1CF0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B2C25"/>
    <w:multiLevelType w:val="hybridMultilevel"/>
    <w:tmpl w:val="CBF06AC4"/>
    <w:lvl w:ilvl="0" w:tplc="9BE2C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6CA3"/>
    <w:multiLevelType w:val="hybridMultilevel"/>
    <w:tmpl w:val="EB00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65A32"/>
    <w:multiLevelType w:val="hybridMultilevel"/>
    <w:tmpl w:val="E0CE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6B5F"/>
    <w:multiLevelType w:val="hybridMultilevel"/>
    <w:tmpl w:val="700A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71CC1"/>
    <w:multiLevelType w:val="hybridMultilevel"/>
    <w:tmpl w:val="F0128106"/>
    <w:lvl w:ilvl="0" w:tplc="B8E6F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7958"/>
    <w:multiLevelType w:val="hybridMultilevel"/>
    <w:tmpl w:val="05D054A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77037B9B"/>
    <w:multiLevelType w:val="hybridMultilevel"/>
    <w:tmpl w:val="5966F3F6"/>
    <w:lvl w:ilvl="0" w:tplc="9BE2C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8115C"/>
    <w:multiLevelType w:val="hybridMultilevel"/>
    <w:tmpl w:val="5058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F"/>
    <w:rsid w:val="00011D56"/>
    <w:rsid w:val="0003120F"/>
    <w:rsid w:val="000347B3"/>
    <w:rsid w:val="00045026"/>
    <w:rsid w:val="00047421"/>
    <w:rsid w:val="00052052"/>
    <w:rsid w:val="00055198"/>
    <w:rsid w:val="000557D3"/>
    <w:rsid w:val="00055A16"/>
    <w:rsid w:val="000571B9"/>
    <w:rsid w:val="0006008C"/>
    <w:rsid w:val="000629F4"/>
    <w:rsid w:val="000653AF"/>
    <w:rsid w:val="00066564"/>
    <w:rsid w:val="00081626"/>
    <w:rsid w:val="00097751"/>
    <w:rsid w:val="000A785D"/>
    <w:rsid w:val="000C4E35"/>
    <w:rsid w:val="000D4E40"/>
    <w:rsid w:val="000D6BF5"/>
    <w:rsid w:val="000D6E41"/>
    <w:rsid w:val="000E2274"/>
    <w:rsid w:val="000F2395"/>
    <w:rsid w:val="0010586E"/>
    <w:rsid w:val="001213E1"/>
    <w:rsid w:val="00131506"/>
    <w:rsid w:val="00135345"/>
    <w:rsid w:val="00146733"/>
    <w:rsid w:val="00146A5B"/>
    <w:rsid w:val="00146BB4"/>
    <w:rsid w:val="0015102E"/>
    <w:rsid w:val="00152F9B"/>
    <w:rsid w:val="00154CCA"/>
    <w:rsid w:val="0017032C"/>
    <w:rsid w:val="001878F5"/>
    <w:rsid w:val="00196485"/>
    <w:rsid w:val="001A1139"/>
    <w:rsid w:val="001A47FC"/>
    <w:rsid w:val="001A6410"/>
    <w:rsid w:val="001B5A9F"/>
    <w:rsid w:val="001C4E20"/>
    <w:rsid w:val="001C50A8"/>
    <w:rsid w:val="001C5D0E"/>
    <w:rsid w:val="001D31A0"/>
    <w:rsid w:val="001D3DEC"/>
    <w:rsid w:val="001E0315"/>
    <w:rsid w:val="001E6970"/>
    <w:rsid w:val="001E7804"/>
    <w:rsid w:val="001F34B1"/>
    <w:rsid w:val="001F4436"/>
    <w:rsid w:val="00212FBB"/>
    <w:rsid w:val="00223BF0"/>
    <w:rsid w:val="0022489F"/>
    <w:rsid w:val="00230986"/>
    <w:rsid w:val="0024003B"/>
    <w:rsid w:val="0025496D"/>
    <w:rsid w:val="00255857"/>
    <w:rsid w:val="00257037"/>
    <w:rsid w:val="002629BA"/>
    <w:rsid w:val="00266208"/>
    <w:rsid w:val="00266851"/>
    <w:rsid w:val="00273A02"/>
    <w:rsid w:val="002745B6"/>
    <w:rsid w:val="002841D2"/>
    <w:rsid w:val="0028705F"/>
    <w:rsid w:val="002951B9"/>
    <w:rsid w:val="00296B40"/>
    <w:rsid w:val="002A3C40"/>
    <w:rsid w:val="002A4FC0"/>
    <w:rsid w:val="002A7BD3"/>
    <w:rsid w:val="002B06B0"/>
    <w:rsid w:val="002B1752"/>
    <w:rsid w:val="002C0168"/>
    <w:rsid w:val="002E0B31"/>
    <w:rsid w:val="002E0DED"/>
    <w:rsid w:val="002F0225"/>
    <w:rsid w:val="002F585F"/>
    <w:rsid w:val="0030515B"/>
    <w:rsid w:val="00320290"/>
    <w:rsid w:val="0032740D"/>
    <w:rsid w:val="00334B32"/>
    <w:rsid w:val="0034739B"/>
    <w:rsid w:val="00350914"/>
    <w:rsid w:val="00362743"/>
    <w:rsid w:val="00362FB4"/>
    <w:rsid w:val="00381592"/>
    <w:rsid w:val="00386AE3"/>
    <w:rsid w:val="0039531F"/>
    <w:rsid w:val="003960A2"/>
    <w:rsid w:val="0039627C"/>
    <w:rsid w:val="003A0C76"/>
    <w:rsid w:val="003A4EF5"/>
    <w:rsid w:val="003B1176"/>
    <w:rsid w:val="003B1980"/>
    <w:rsid w:val="003C15D1"/>
    <w:rsid w:val="003C40E3"/>
    <w:rsid w:val="003D0F42"/>
    <w:rsid w:val="003E00B5"/>
    <w:rsid w:val="003E2421"/>
    <w:rsid w:val="003F71D1"/>
    <w:rsid w:val="0040182A"/>
    <w:rsid w:val="004072B5"/>
    <w:rsid w:val="00410085"/>
    <w:rsid w:val="00411E4B"/>
    <w:rsid w:val="00413E38"/>
    <w:rsid w:val="00413F52"/>
    <w:rsid w:val="00420165"/>
    <w:rsid w:val="00433320"/>
    <w:rsid w:val="00434F3B"/>
    <w:rsid w:val="004363DF"/>
    <w:rsid w:val="00440C36"/>
    <w:rsid w:val="00443FFF"/>
    <w:rsid w:val="0045113B"/>
    <w:rsid w:val="00452072"/>
    <w:rsid w:val="00455676"/>
    <w:rsid w:val="00456485"/>
    <w:rsid w:val="00464636"/>
    <w:rsid w:val="00471FDB"/>
    <w:rsid w:val="00483AF3"/>
    <w:rsid w:val="00484CE7"/>
    <w:rsid w:val="0048584D"/>
    <w:rsid w:val="00487A27"/>
    <w:rsid w:val="0049075C"/>
    <w:rsid w:val="004914D2"/>
    <w:rsid w:val="00493FD8"/>
    <w:rsid w:val="00495CE3"/>
    <w:rsid w:val="004966C0"/>
    <w:rsid w:val="004A1F91"/>
    <w:rsid w:val="004A43F8"/>
    <w:rsid w:val="004B3CBC"/>
    <w:rsid w:val="004B5668"/>
    <w:rsid w:val="004C0F09"/>
    <w:rsid w:val="004C22AC"/>
    <w:rsid w:val="004C6C49"/>
    <w:rsid w:val="004C7EDA"/>
    <w:rsid w:val="004D3D6E"/>
    <w:rsid w:val="004D574A"/>
    <w:rsid w:val="004E546A"/>
    <w:rsid w:val="004F676E"/>
    <w:rsid w:val="005065EC"/>
    <w:rsid w:val="0051235E"/>
    <w:rsid w:val="005132B0"/>
    <w:rsid w:val="00514975"/>
    <w:rsid w:val="005171E1"/>
    <w:rsid w:val="005177F7"/>
    <w:rsid w:val="00517F3E"/>
    <w:rsid w:val="0052160C"/>
    <w:rsid w:val="00522813"/>
    <w:rsid w:val="00524344"/>
    <w:rsid w:val="00526448"/>
    <w:rsid w:val="00532EF0"/>
    <w:rsid w:val="00536A6E"/>
    <w:rsid w:val="00542719"/>
    <w:rsid w:val="00543799"/>
    <w:rsid w:val="00545556"/>
    <w:rsid w:val="0054765C"/>
    <w:rsid w:val="0055146A"/>
    <w:rsid w:val="00551F18"/>
    <w:rsid w:val="005624C4"/>
    <w:rsid w:val="00562A42"/>
    <w:rsid w:val="005646D5"/>
    <w:rsid w:val="00564F36"/>
    <w:rsid w:val="0056749A"/>
    <w:rsid w:val="0058355E"/>
    <w:rsid w:val="005836A9"/>
    <w:rsid w:val="00594807"/>
    <w:rsid w:val="005A3A00"/>
    <w:rsid w:val="005A44A2"/>
    <w:rsid w:val="005B3A02"/>
    <w:rsid w:val="005B3EF5"/>
    <w:rsid w:val="005D12D1"/>
    <w:rsid w:val="005D4425"/>
    <w:rsid w:val="005D758B"/>
    <w:rsid w:val="005F188F"/>
    <w:rsid w:val="00601DCA"/>
    <w:rsid w:val="00605E00"/>
    <w:rsid w:val="00610C21"/>
    <w:rsid w:val="00626780"/>
    <w:rsid w:val="00630C1E"/>
    <w:rsid w:val="00640734"/>
    <w:rsid w:val="0064509A"/>
    <w:rsid w:val="006615AA"/>
    <w:rsid w:val="00661AD5"/>
    <w:rsid w:val="0066735E"/>
    <w:rsid w:val="0067086F"/>
    <w:rsid w:val="00685E9C"/>
    <w:rsid w:val="00693CE9"/>
    <w:rsid w:val="006A2E5E"/>
    <w:rsid w:val="006A4E76"/>
    <w:rsid w:val="006B2A1E"/>
    <w:rsid w:val="006C1EB4"/>
    <w:rsid w:val="006C452A"/>
    <w:rsid w:val="006C53C5"/>
    <w:rsid w:val="006D1098"/>
    <w:rsid w:val="006E0B13"/>
    <w:rsid w:val="006E19FC"/>
    <w:rsid w:val="006E4684"/>
    <w:rsid w:val="006F0B48"/>
    <w:rsid w:val="006F1B4C"/>
    <w:rsid w:val="006F3B9D"/>
    <w:rsid w:val="00701C8C"/>
    <w:rsid w:val="00706D6E"/>
    <w:rsid w:val="0071003C"/>
    <w:rsid w:val="00711A26"/>
    <w:rsid w:val="00744CCD"/>
    <w:rsid w:val="00750634"/>
    <w:rsid w:val="0075285E"/>
    <w:rsid w:val="00752F4C"/>
    <w:rsid w:val="007624BD"/>
    <w:rsid w:val="007652FB"/>
    <w:rsid w:val="007704CF"/>
    <w:rsid w:val="00771D13"/>
    <w:rsid w:val="00780C59"/>
    <w:rsid w:val="007826D5"/>
    <w:rsid w:val="00782D76"/>
    <w:rsid w:val="007839A0"/>
    <w:rsid w:val="007854AE"/>
    <w:rsid w:val="00794745"/>
    <w:rsid w:val="007A0485"/>
    <w:rsid w:val="007A17A4"/>
    <w:rsid w:val="007A7A4C"/>
    <w:rsid w:val="007B0A8C"/>
    <w:rsid w:val="007D6941"/>
    <w:rsid w:val="007D7721"/>
    <w:rsid w:val="00815C4F"/>
    <w:rsid w:val="00817813"/>
    <w:rsid w:val="00823C6F"/>
    <w:rsid w:val="00826F2E"/>
    <w:rsid w:val="00830527"/>
    <w:rsid w:val="00830AD5"/>
    <w:rsid w:val="00863685"/>
    <w:rsid w:val="00870F0F"/>
    <w:rsid w:val="0089023F"/>
    <w:rsid w:val="008977DE"/>
    <w:rsid w:val="00897A06"/>
    <w:rsid w:val="008A0BC7"/>
    <w:rsid w:val="008A5D5C"/>
    <w:rsid w:val="008C36E9"/>
    <w:rsid w:val="008D46D6"/>
    <w:rsid w:val="008F2335"/>
    <w:rsid w:val="008F5C0A"/>
    <w:rsid w:val="008F7314"/>
    <w:rsid w:val="0090029A"/>
    <w:rsid w:val="00907A1D"/>
    <w:rsid w:val="00911C05"/>
    <w:rsid w:val="0091200B"/>
    <w:rsid w:val="00913EFB"/>
    <w:rsid w:val="00936F43"/>
    <w:rsid w:val="00953F9D"/>
    <w:rsid w:val="009550D9"/>
    <w:rsid w:val="009673DF"/>
    <w:rsid w:val="00971118"/>
    <w:rsid w:val="00980E18"/>
    <w:rsid w:val="009851E6"/>
    <w:rsid w:val="00986983"/>
    <w:rsid w:val="009901A3"/>
    <w:rsid w:val="009933AD"/>
    <w:rsid w:val="009964E0"/>
    <w:rsid w:val="009A4038"/>
    <w:rsid w:val="009C14C8"/>
    <w:rsid w:val="009C62D0"/>
    <w:rsid w:val="009F7B6F"/>
    <w:rsid w:val="00A02AEC"/>
    <w:rsid w:val="00A056EF"/>
    <w:rsid w:val="00A103FD"/>
    <w:rsid w:val="00A13AEB"/>
    <w:rsid w:val="00A15CA9"/>
    <w:rsid w:val="00A24D70"/>
    <w:rsid w:val="00A27FEE"/>
    <w:rsid w:val="00A4498F"/>
    <w:rsid w:val="00A4761B"/>
    <w:rsid w:val="00A477D0"/>
    <w:rsid w:val="00A65CD5"/>
    <w:rsid w:val="00A861B0"/>
    <w:rsid w:val="00AA1737"/>
    <w:rsid w:val="00AA2818"/>
    <w:rsid w:val="00AB3CAC"/>
    <w:rsid w:val="00AB441A"/>
    <w:rsid w:val="00AC5804"/>
    <w:rsid w:val="00AD3A87"/>
    <w:rsid w:val="00AD6C7F"/>
    <w:rsid w:val="00AF3D7E"/>
    <w:rsid w:val="00AF634D"/>
    <w:rsid w:val="00B040AD"/>
    <w:rsid w:val="00B063C9"/>
    <w:rsid w:val="00B14180"/>
    <w:rsid w:val="00B303CF"/>
    <w:rsid w:val="00B32EFA"/>
    <w:rsid w:val="00B35D91"/>
    <w:rsid w:val="00B36C38"/>
    <w:rsid w:val="00B50865"/>
    <w:rsid w:val="00B53243"/>
    <w:rsid w:val="00B565C2"/>
    <w:rsid w:val="00B62690"/>
    <w:rsid w:val="00B63B32"/>
    <w:rsid w:val="00B649A7"/>
    <w:rsid w:val="00B73F67"/>
    <w:rsid w:val="00B849B0"/>
    <w:rsid w:val="00B9677F"/>
    <w:rsid w:val="00B96BB5"/>
    <w:rsid w:val="00BA051E"/>
    <w:rsid w:val="00BA0A64"/>
    <w:rsid w:val="00BA41C0"/>
    <w:rsid w:val="00BA4725"/>
    <w:rsid w:val="00BB2367"/>
    <w:rsid w:val="00BC3D33"/>
    <w:rsid w:val="00BC5BF0"/>
    <w:rsid w:val="00BD0AD8"/>
    <w:rsid w:val="00BD4274"/>
    <w:rsid w:val="00BD6B40"/>
    <w:rsid w:val="00BE1C74"/>
    <w:rsid w:val="00BE2A30"/>
    <w:rsid w:val="00BE4B66"/>
    <w:rsid w:val="00BE656A"/>
    <w:rsid w:val="00BF2670"/>
    <w:rsid w:val="00BF27D1"/>
    <w:rsid w:val="00C01C71"/>
    <w:rsid w:val="00C061A9"/>
    <w:rsid w:val="00C13793"/>
    <w:rsid w:val="00C14D8B"/>
    <w:rsid w:val="00C15187"/>
    <w:rsid w:val="00C20A2B"/>
    <w:rsid w:val="00C27E07"/>
    <w:rsid w:val="00C337D4"/>
    <w:rsid w:val="00C44C4F"/>
    <w:rsid w:val="00C464A4"/>
    <w:rsid w:val="00C52F91"/>
    <w:rsid w:val="00C76C1D"/>
    <w:rsid w:val="00C82B8E"/>
    <w:rsid w:val="00C82DED"/>
    <w:rsid w:val="00C93429"/>
    <w:rsid w:val="00CA0F05"/>
    <w:rsid w:val="00CA2805"/>
    <w:rsid w:val="00CA63C9"/>
    <w:rsid w:val="00CB3103"/>
    <w:rsid w:val="00CB4683"/>
    <w:rsid w:val="00CC0C7B"/>
    <w:rsid w:val="00CD48A9"/>
    <w:rsid w:val="00CD5ED4"/>
    <w:rsid w:val="00CD606F"/>
    <w:rsid w:val="00CE33E1"/>
    <w:rsid w:val="00CE5FCC"/>
    <w:rsid w:val="00D01FAE"/>
    <w:rsid w:val="00D127BD"/>
    <w:rsid w:val="00D20333"/>
    <w:rsid w:val="00D226E9"/>
    <w:rsid w:val="00D31AD9"/>
    <w:rsid w:val="00D31C7C"/>
    <w:rsid w:val="00D31EBC"/>
    <w:rsid w:val="00D372BB"/>
    <w:rsid w:val="00D4027A"/>
    <w:rsid w:val="00D41621"/>
    <w:rsid w:val="00D560F5"/>
    <w:rsid w:val="00D626E8"/>
    <w:rsid w:val="00D6422D"/>
    <w:rsid w:val="00D7300B"/>
    <w:rsid w:val="00D873E0"/>
    <w:rsid w:val="00D92559"/>
    <w:rsid w:val="00D97352"/>
    <w:rsid w:val="00DA4320"/>
    <w:rsid w:val="00DA6E0E"/>
    <w:rsid w:val="00DB448E"/>
    <w:rsid w:val="00DC4A5A"/>
    <w:rsid w:val="00DF27AE"/>
    <w:rsid w:val="00DF67DD"/>
    <w:rsid w:val="00E2285A"/>
    <w:rsid w:val="00E33E9A"/>
    <w:rsid w:val="00E379C4"/>
    <w:rsid w:val="00E50C69"/>
    <w:rsid w:val="00E5260E"/>
    <w:rsid w:val="00E56571"/>
    <w:rsid w:val="00E6159A"/>
    <w:rsid w:val="00E73AC9"/>
    <w:rsid w:val="00E75CE3"/>
    <w:rsid w:val="00E91933"/>
    <w:rsid w:val="00E91B52"/>
    <w:rsid w:val="00E93109"/>
    <w:rsid w:val="00E93907"/>
    <w:rsid w:val="00E97A82"/>
    <w:rsid w:val="00EA267B"/>
    <w:rsid w:val="00EB45C0"/>
    <w:rsid w:val="00EB7C4A"/>
    <w:rsid w:val="00EC481D"/>
    <w:rsid w:val="00ED1918"/>
    <w:rsid w:val="00ED6696"/>
    <w:rsid w:val="00EE3188"/>
    <w:rsid w:val="00EE4D84"/>
    <w:rsid w:val="00EF0C55"/>
    <w:rsid w:val="00EF7CD0"/>
    <w:rsid w:val="00F025AB"/>
    <w:rsid w:val="00F13126"/>
    <w:rsid w:val="00F13677"/>
    <w:rsid w:val="00F158B9"/>
    <w:rsid w:val="00F16892"/>
    <w:rsid w:val="00F21468"/>
    <w:rsid w:val="00F30E53"/>
    <w:rsid w:val="00F31D3B"/>
    <w:rsid w:val="00F339EE"/>
    <w:rsid w:val="00F43173"/>
    <w:rsid w:val="00F44613"/>
    <w:rsid w:val="00F54A5D"/>
    <w:rsid w:val="00F61DDB"/>
    <w:rsid w:val="00F665E0"/>
    <w:rsid w:val="00F73D2D"/>
    <w:rsid w:val="00F76587"/>
    <w:rsid w:val="00F961AE"/>
    <w:rsid w:val="00FA04D1"/>
    <w:rsid w:val="00FA134C"/>
    <w:rsid w:val="00FB51BD"/>
    <w:rsid w:val="00FC0D6C"/>
    <w:rsid w:val="00FC5250"/>
    <w:rsid w:val="00FC5E05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styleId="BalloonText">
    <w:name w:val="Balloon Text"/>
    <w:basedOn w:val="Normal"/>
    <w:link w:val="BalloonTextChar"/>
    <w:uiPriority w:val="99"/>
    <w:semiHidden/>
    <w:unhideWhenUsed/>
    <w:rsid w:val="00A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7BD"/>
    <w:rPr>
      <w:color w:val="0000FF" w:themeColor="hyperlink"/>
      <w:u w:val="single"/>
    </w:rPr>
  </w:style>
  <w:style w:type="paragraph" w:customStyle="1" w:styleId="Default">
    <w:name w:val="Default"/>
    <w:rsid w:val="00610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styleId="BalloonText">
    <w:name w:val="Balloon Text"/>
    <w:basedOn w:val="Normal"/>
    <w:link w:val="BalloonTextChar"/>
    <w:uiPriority w:val="99"/>
    <w:semiHidden/>
    <w:unhideWhenUsed/>
    <w:rsid w:val="00A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7BD"/>
    <w:rPr>
      <w:color w:val="0000FF" w:themeColor="hyperlink"/>
      <w:u w:val="single"/>
    </w:rPr>
  </w:style>
  <w:style w:type="paragraph" w:customStyle="1" w:styleId="Default">
    <w:name w:val="Default"/>
    <w:rsid w:val="00610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AFB5-21AE-401B-8239-D4AF3D5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Kerr</dc:creator>
  <cp:lastModifiedBy>Jennifer MacMahon</cp:lastModifiedBy>
  <cp:revision>2</cp:revision>
  <cp:lastPrinted>2019-10-17T11:44:00Z</cp:lastPrinted>
  <dcterms:created xsi:type="dcterms:W3CDTF">2019-12-12T10:56:00Z</dcterms:created>
  <dcterms:modified xsi:type="dcterms:W3CDTF">2019-12-12T10:56:00Z</dcterms:modified>
</cp:coreProperties>
</file>